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eastAsia"/>
          <w:lang w:val="en-US" w:eastAsia="zh-CN"/>
        </w:rPr>
      </w:pPr>
      <w:r>
        <w:drawing>
          <wp:anchor distT="0" distB="0" distL="114300" distR="114300" simplePos="0" relativeHeight="251660288" behindDoc="0" locked="0" layoutInCell="1" allowOverlap="1">
            <wp:simplePos x="0" y="0"/>
            <wp:positionH relativeFrom="column">
              <wp:posOffset>-341630</wp:posOffset>
            </wp:positionH>
            <wp:positionV relativeFrom="paragraph">
              <wp:posOffset>570865</wp:posOffset>
            </wp:positionV>
            <wp:extent cx="2293620" cy="1185545"/>
            <wp:effectExtent l="0" t="0" r="7620" b="317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2293620" cy="1185545"/>
                    </a:xfrm>
                    <a:prstGeom prst="rect">
                      <a:avLst/>
                    </a:prstGeom>
                    <a:noFill/>
                    <a:ln w="9525">
                      <a:noFill/>
                    </a:ln>
                  </pic:spPr>
                </pic:pic>
              </a:graphicData>
            </a:graphic>
          </wp:anchor>
        </w:drawing>
      </w:r>
      <w:r>
        <w:rPr>
          <w:rFonts w:hint="eastAsia"/>
          <w:lang w:val="en-US" w:eastAsia="zh-CN"/>
        </w:rPr>
        <w:t>郑棉周报（20180618--20180622）</w:t>
      </w:r>
    </w:p>
    <w:p>
      <w:pPr>
        <w:spacing w:line="240" w:lineRule="auto"/>
        <w:ind w:firstLine="1760" w:firstLineChars="11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800" w:firstLineChars="5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800" w:firstLineChars="5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pStyle w:val="9"/>
        <w:numPr>
          <w:ilvl w:val="0"/>
          <w:numId w:val="1"/>
        </w:numPr>
        <w:spacing w:line="360" w:lineRule="auto"/>
        <w:rPr>
          <w:rFonts w:hint="eastAsia"/>
          <w:szCs w:val="22"/>
          <w:lang w:val="en-US" w:eastAsia="zh-CN"/>
        </w:rPr>
      </w:pPr>
      <w:r>
        <w:rPr>
          <w:rFonts w:hint="eastAsia"/>
          <w:szCs w:val="22"/>
          <w:lang w:val="en-US" w:eastAsia="zh-CN"/>
        </w:rPr>
        <w:t>棉花现货</w:t>
      </w:r>
    </w:p>
    <w:p>
      <w:pPr>
        <w:pStyle w:val="10"/>
        <w:numPr>
          <w:ilvl w:val="0"/>
          <w:numId w:val="2"/>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现货报价</w:t>
      </w:r>
    </w:p>
    <w:p>
      <w:pPr>
        <w:numPr>
          <w:ilvl w:val="0"/>
          <w:numId w:val="0"/>
        </w:num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18</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日），棉花现货价格CC Index 3128B周度</w:t>
      </w:r>
      <w:r>
        <w:rPr>
          <w:rFonts w:hint="eastAsia" w:asciiTheme="minorEastAsia" w:hAnsiTheme="minorEastAsia" w:cstheme="minorEastAsia"/>
          <w:lang w:val="en-US" w:eastAsia="zh-CN"/>
        </w:rPr>
        <w:t>下跌48</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小</w:t>
      </w:r>
      <w:r>
        <w:rPr>
          <w:rFonts w:hint="eastAsia" w:asciiTheme="minorEastAsia" w:hAnsiTheme="minorEastAsia" w:eastAsiaTheme="minorEastAsia" w:cstheme="minorEastAsia"/>
          <w:lang w:val="en-US" w:eastAsia="zh-CN"/>
        </w:rPr>
        <w:t>幅</w:t>
      </w:r>
      <w:r>
        <w:rPr>
          <w:rFonts w:hint="eastAsia" w:asciiTheme="minorEastAsia" w:hAnsiTheme="minorEastAsia" w:cstheme="minorEastAsia"/>
          <w:lang w:val="en-US" w:eastAsia="zh-CN"/>
        </w:rPr>
        <w:t>下</w:t>
      </w:r>
      <w:r>
        <w:rPr>
          <w:rFonts w:hint="eastAsia" w:asciiTheme="minorEastAsia" w:hAnsiTheme="minorEastAsia" w:eastAsiaTheme="minorEastAsia" w:cstheme="minorEastAsia"/>
          <w:lang w:val="en-US" w:eastAsia="zh-CN"/>
        </w:rPr>
        <w:t>调，6月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日报价16</w:t>
      </w:r>
      <w:r>
        <w:rPr>
          <w:rFonts w:hint="eastAsia" w:asciiTheme="minorEastAsia" w:hAnsiTheme="minorEastAsia" w:cstheme="minorEastAsia"/>
          <w:lang w:val="en-US" w:eastAsia="zh-CN"/>
        </w:rPr>
        <w:t>353</w:t>
      </w:r>
      <w:r>
        <w:rPr>
          <w:rFonts w:hint="eastAsia" w:asciiTheme="minorEastAsia" w:hAnsiTheme="minorEastAsia" w:eastAsiaTheme="minorEastAsia" w:cstheme="minorEastAsia"/>
          <w:lang w:val="en-US" w:eastAsia="zh-CN"/>
        </w:rPr>
        <w:t>元/吨；外棉FC Index M周度</w:t>
      </w:r>
      <w:r>
        <w:rPr>
          <w:rFonts w:hint="eastAsia" w:asciiTheme="minorEastAsia" w:hAnsiTheme="minorEastAsia" w:cstheme="minorEastAsia"/>
          <w:lang w:val="en-US" w:eastAsia="zh-CN"/>
        </w:rPr>
        <w:t>下跌6.82</w:t>
      </w:r>
      <w:r>
        <w:rPr>
          <w:rFonts w:hint="eastAsia" w:asciiTheme="minorEastAsia" w:hAnsiTheme="minorEastAsia" w:eastAsiaTheme="minorEastAsia" w:cstheme="minorEastAsia"/>
          <w:lang w:val="en-US" w:eastAsia="zh-CN"/>
        </w:rPr>
        <w:t>美分/磅，小幅</w:t>
      </w:r>
      <w:r>
        <w:rPr>
          <w:rFonts w:hint="eastAsia" w:asciiTheme="minorEastAsia" w:hAnsiTheme="minorEastAsia" w:cstheme="minorEastAsia"/>
          <w:lang w:val="en-US" w:eastAsia="zh-CN"/>
        </w:rPr>
        <w:t>下跌</w:t>
      </w:r>
      <w:r>
        <w:rPr>
          <w:rFonts w:hint="eastAsia" w:asciiTheme="minorEastAsia" w:hAnsiTheme="minorEastAsia" w:eastAsiaTheme="minorEastAsia" w:cstheme="minorEastAsia"/>
          <w:lang w:val="en-US" w:eastAsia="zh-CN"/>
        </w:rPr>
        <w:t>，6月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日报价</w:t>
      </w:r>
      <w:r>
        <w:rPr>
          <w:rFonts w:hint="eastAsia" w:asciiTheme="minorEastAsia" w:hAnsiTheme="minorEastAsia" w:cstheme="minorEastAsia"/>
          <w:lang w:val="en-US" w:eastAsia="zh-CN"/>
        </w:rPr>
        <w:t>96.36</w:t>
      </w:r>
      <w:r>
        <w:rPr>
          <w:rFonts w:hint="eastAsia" w:asciiTheme="minorEastAsia" w:hAnsiTheme="minorEastAsia" w:eastAsiaTheme="minorEastAsia" w:cstheme="minorEastAsia"/>
          <w:lang w:val="en-US" w:eastAsia="zh-CN"/>
        </w:rPr>
        <w:t>美分/磅；考特鲁克指数Cotlook A 周度</w:t>
      </w:r>
      <w:r>
        <w:rPr>
          <w:rFonts w:hint="eastAsia" w:asciiTheme="minorEastAsia" w:hAnsiTheme="minorEastAsia" w:cstheme="minorEastAsia"/>
          <w:lang w:val="en-US" w:eastAsia="zh-CN"/>
        </w:rPr>
        <w:t>下跌8.05</w:t>
      </w:r>
      <w:r>
        <w:rPr>
          <w:rFonts w:hint="eastAsia" w:asciiTheme="minorEastAsia" w:hAnsiTheme="minorEastAsia" w:eastAsiaTheme="minorEastAsia" w:cstheme="minorEastAsia"/>
          <w:lang w:val="en-US" w:eastAsia="zh-CN"/>
        </w:rPr>
        <w:t>美分/磅，</w:t>
      </w:r>
      <w:r>
        <w:rPr>
          <w:rFonts w:hint="eastAsia" w:asciiTheme="minorEastAsia" w:hAnsiTheme="minorEastAsia" w:cstheme="minorEastAsia"/>
          <w:lang w:val="en-US" w:eastAsia="zh-CN"/>
        </w:rPr>
        <w:t>小</w:t>
      </w:r>
      <w:r>
        <w:rPr>
          <w:rFonts w:hint="eastAsia" w:asciiTheme="minorEastAsia" w:hAnsiTheme="minorEastAsia" w:eastAsiaTheme="minorEastAsia" w:cstheme="minorEastAsia"/>
          <w:lang w:val="en-US" w:eastAsia="zh-CN"/>
        </w:rPr>
        <w:t>幅</w:t>
      </w:r>
      <w:r>
        <w:rPr>
          <w:rFonts w:hint="eastAsia" w:asciiTheme="minorEastAsia" w:hAnsiTheme="minorEastAsia" w:cstheme="minorEastAsia"/>
          <w:lang w:val="en-US" w:eastAsia="zh-CN"/>
        </w:rPr>
        <w:t>下跌</w:t>
      </w:r>
      <w:r>
        <w:rPr>
          <w:rFonts w:hint="eastAsia" w:asciiTheme="minorEastAsia" w:hAnsiTheme="minorEastAsia" w:eastAsiaTheme="minorEastAsia" w:cstheme="minorEastAsia"/>
          <w:lang w:val="en-US" w:eastAsia="zh-CN"/>
        </w:rPr>
        <w:t>，6月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日报价</w:t>
      </w:r>
      <w:r>
        <w:rPr>
          <w:rFonts w:hint="eastAsia" w:asciiTheme="minorEastAsia" w:hAnsiTheme="minorEastAsia" w:cstheme="minorEastAsia"/>
          <w:lang w:val="en-US" w:eastAsia="zh-CN"/>
        </w:rPr>
        <w:t>93.4</w:t>
      </w:r>
      <w:r>
        <w:rPr>
          <w:rFonts w:hint="eastAsia" w:asciiTheme="minorEastAsia" w:hAnsiTheme="minorEastAsia" w:eastAsiaTheme="minorEastAsia" w:cstheme="minorEastAsia"/>
          <w:lang w:val="en-US" w:eastAsia="zh-CN"/>
        </w:rPr>
        <w:t>美分/磅，1%关税后折合人民币1</w:t>
      </w:r>
      <w:r>
        <w:rPr>
          <w:rFonts w:hint="eastAsia" w:asciiTheme="minorEastAsia" w:hAnsiTheme="minorEastAsia" w:cstheme="minorEastAsia"/>
          <w:lang w:val="en-US" w:eastAsia="zh-CN"/>
        </w:rPr>
        <w:t>4783</w:t>
      </w:r>
      <w:r>
        <w:rPr>
          <w:rFonts w:hint="eastAsia" w:asciiTheme="minorEastAsia" w:hAnsiTheme="minorEastAsia" w:eastAsiaTheme="minorEastAsia" w:cstheme="minorEastAsia"/>
          <w:lang w:val="en-US" w:eastAsia="zh-CN"/>
        </w:rPr>
        <w:t>元/吨；中国棉纱价格指数CY Index C32S周度上涨20元/吨，</w:t>
      </w:r>
      <w:r>
        <w:rPr>
          <w:rFonts w:hint="eastAsia" w:asciiTheme="minorEastAsia" w:hAnsiTheme="minorEastAsia" w:cstheme="minorEastAsia"/>
          <w:lang w:val="en-US" w:eastAsia="zh-CN"/>
        </w:rPr>
        <w:t>小</w:t>
      </w:r>
      <w:r>
        <w:rPr>
          <w:rFonts w:hint="eastAsia" w:asciiTheme="minorEastAsia" w:hAnsiTheme="minorEastAsia" w:eastAsiaTheme="minorEastAsia" w:cstheme="minorEastAsia"/>
          <w:lang w:val="en-US" w:eastAsia="zh-CN"/>
        </w:rPr>
        <w:t>幅上调，6月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日报价23860元/；进口棉纱价格指数FCY Index C32S周度</w:t>
      </w:r>
      <w:r>
        <w:rPr>
          <w:rFonts w:hint="eastAsia" w:asciiTheme="minorEastAsia" w:hAnsiTheme="minorEastAsia" w:cstheme="minorEastAsia"/>
          <w:lang w:val="en-US" w:eastAsia="zh-CN"/>
        </w:rPr>
        <w:t>上涨211</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小幅上涨</w:t>
      </w:r>
      <w:r>
        <w:rPr>
          <w:rFonts w:hint="eastAsia" w:asciiTheme="minorEastAsia" w:hAnsiTheme="minorEastAsia" w:eastAsiaTheme="minorEastAsia" w:cstheme="minorEastAsia"/>
          <w:lang w:val="en-US" w:eastAsia="zh-CN"/>
        </w:rPr>
        <w:t>，6月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日报价24</w:t>
      </w:r>
      <w:r>
        <w:rPr>
          <w:rFonts w:hint="eastAsia" w:asciiTheme="minorEastAsia" w:hAnsiTheme="minorEastAsia" w:cstheme="minorEastAsia"/>
          <w:lang w:val="en-US" w:eastAsia="zh-CN"/>
        </w:rPr>
        <w:t>824</w:t>
      </w:r>
      <w:r>
        <w:rPr>
          <w:rFonts w:hint="eastAsia" w:asciiTheme="minorEastAsia" w:hAnsiTheme="minorEastAsia" w:eastAsiaTheme="minorEastAsia" w:cstheme="minorEastAsia"/>
          <w:lang w:val="en-US" w:eastAsia="zh-CN"/>
        </w:rPr>
        <w:t>元/吨。</w:t>
      </w:r>
    </w:p>
    <w:p>
      <w:pPr>
        <w:numPr>
          <w:ilvl w:val="0"/>
          <w:numId w:val="0"/>
        </w:numPr>
        <w:spacing w:line="360" w:lineRule="auto"/>
        <w:jc w:val="center"/>
      </w:pPr>
      <w:r>
        <w:drawing>
          <wp:inline distT="0" distB="0" distL="114300" distR="114300">
            <wp:extent cx="5271135" cy="2282825"/>
            <wp:effectExtent l="4445" t="4445" r="12700"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spacing w:line="360" w:lineRule="auto"/>
        <w:jc w:val="center"/>
      </w:pPr>
      <w:r>
        <w:drawing>
          <wp:inline distT="0" distB="0" distL="114300" distR="114300">
            <wp:extent cx="5272405" cy="2182495"/>
            <wp:effectExtent l="4445" t="4445" r="11430" b="762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0"/>
        <w:numPr>
          <w:ilvl w:val="0"/>
          <w:numId w:val="2"/>
        </w:numPr>
        <w:tabs>
          <w:tab w:val="left" w:pos="312"/>
        </w:tabs>
        <w:ind w:left="425" w:leftChars="0" w:hanging="425" w:firstLineChars="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储备棉轮出</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当</w:t>
      </w:r>
      <w:r>
        <w:rPr>
          <w:rFonts w:hint="eastAsia" w:asciiTheme="minorEastAsia" w:hAnsiTheme="minorEastAsia" w:eastAsiaTheme="minorEastAsia" w:cstheme="minorEastAsia"/>
          <w:lang w:val="en-US" w:eastAsia="zh-CN"/>
        </w:rPr>
        <w:t>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18</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储备棉轮出第八周轮出</w:t>
      </w:r>
      <w:r>
        <w:rPr>
          <w:rFonts w:hint="eastAsia" w:asciiTheme="minorEastAsia" w:hAnsiTheme="minorEastAsia" w:cstheme="minorEastAsia"/>
          <w:lang w:val="en-US" w:eastAsia="zh-CN"/>
        </w:rPr>
        <w:t>销售底价</w:t>
      </w:r>
      <w:r>
        <w:rPr>
          <w:rFonts w:hint="eastAsia" w:asciiTheme="minorEastAsia" w:hAnsiTheme="minorEastAsia" w:eastAsiaTheme="minorEastAsia" w:cstheme="minorEastAsia"/>
          <w:lang w:val="en-US" w:eastAsia="zh-CN"/>
        </w:rPr>
        <w:t>为</w:t>
      </w:r>
      <w:r>
        <w:rPr>
          <w:rFonts w:hint="default" w:asciiTheme="minorEastAsia" w:hAnsiTheme="minorEastAsia" w:eastAsiaTheme="minorEastAsia" w:cstheme="minorEastAsia"/>
          <w:lang w:val="en-US" w:eastAsia="zh-CN"/>
        </w:rPr>
        <w:t>16</w:t>
      </w:r>
      <w:r>
        <w:rPr>
          <w:rFonts w:hint="eastAsia" w:asciiTheme="minorEastAsia" w:hAnsiTheme="minorEastAsia" w:cstheme="minorEastAsia"/>
          <w:lang w:val="en-US" w:eastAsia="zh-CN"/>
        </w:rPr>
        <w:t>103</w:t>
      </w:r>
      <w:r>
        <w:rPr>
          <w:rFonts w:hint="eastAsia" w:asciiTheme="minorEastAsia" w:hAnsiTheme="minorEastAsia" w:eastAsiaTheme="minorEastAsia" w:cstheme="minorEastAsia"/>
          <w:lang w:val="en-US" w:eastAsia="zh-CN"/>
        </w:rPr>
        <w:t>元</w:t>
      </w:r>
      <w:r>
        <w:rPr>
          <w:rFonts w:hint="eastAsia" w:asciiTheme="minorEastAsia" w:hAnsiTheme="minorEastAsia" w:cstheme="minorEastAsia"/>
          <w:lang w:val="en-US" w:eastAsia="zh-CN"/>
        </w:rPr>
        <w:t>/吨</w:t>
      </w:r>
      <w:r>
        <w:rPr>
          <w:rFonts w:hint="eastAsia" w:asciiTheme="minorEastAsia" w:hAnsiTheme="minorEastAsia" w:eastAsiaTheme="minorEastAsia" w:cstheme="minorEastAsia"/>
          <w:lang w:val="en-US" w:eastAsia="zh-CN"/>
        </w:rPr>
        <w:t>（标准级价格），较前一周</w:t>
      </w:r>
      <w:r>
        <w:rPr>
          <w:rFonts w:hint="eastAsia" w:asciiTheme="minorEastAsia" w:hAnsiTheme="minorEastAsia" w:cstheme="minorEastAsia"/>
          <w:lang w:val="en-US" w:eastAsia="zh-CN"/>
        </w:rPr>
        <w:t>上调28</w:t>
      </w:r>
      <w:r>
        <w:rPr>
          <w:rFonts w:hint="eastAsia" w:asciiTheme="minorEastAsia" w:hAnsiTheme="minorEastAsia" w:eastAsiaTheme="minorEastAsia" w:cstheme="minorEastAsia"/>
          <w:lang w:val="en-US" w:eastAsia="zh-CN"/>
        </w:rPr>
        <w:t>元</w:t>
      </w:r>
      <w:r>
        <w:rPr>
          <w:rFonts w:hint="default"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吨；储备棉轮出成交量</w:t>
      </w:r>
      <w:r>
        <w:rPr>
          <w:rFonts w:hint="eastAsia" w:asciiTheme="minorEastAsia" w:hAnsiTheme="minorEastAsia" w:cstheme="minorEastAsia"/>
          <w:lang w:val="en-US" w:eastAsia="zh-CN"/>
        </w:rPr>
        <w:t>下跌。</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default" w:asciiTheme="minorEastAsia" w:hAnsiTheme="minorEastAsia" w:cstheme="minorEastAsia"/>
          <w:lang w:val="en-US" w:eastAsia="zh-CN"/>
        </w:rPr>
        <w:t>6</w:t>
      </w:r>
      <w:r>
        <w:rPr>
          <w:rFonts w:hint="eastAsia" w:asciiTheme="minorEastAsia" w:hAnsiTheme="minorEastAsia" w:cstheme="minorEastAsia"/>
          <w:lang w:val="en-US" w:eastAsia="zh-CN"/>
        </w:rPr>
        <w:t>月</w:t>
      </w:r>
      <w:r>
        <w:rPr>
          <w:rFonts w:hint="default" w:asciiTheme="minorEastAsia" w:hAnsiTheme="minorEastAsia" w:cstheme="minorEastAsia"/>
          <w:lang w:val="en-US" w:eastAsia="zh-CN"/>
        </w:rPr>
        <w:t>21</w:t>
      </w:r>
      <w:r>
        <w:rPr>
          <w:rFonts w:hint="eastAsia" w:asciiTheme="minorEastAsia" w:hAnsiTheme="minorEastAsia" w:cstheme="minorEastAsia"/>
          <w:lang w:val="en-US" w:eastAsia="zh-CN"/>
        </w:rPr>
        <w:t>日，中国储备棉管理有限公司计划挂牌出库销售储备棉</w:t>
      </w:r>
      <w:r>
        <w:rPr>
          <w:rFonts w:hint="default" w:asciiTheme="minorEastAsia" w:hAnsiTheme="minorEastAsia" w:cstheme="minorEastAsia"/>
          <w:lang w:val="en-US" w:eastAsia="zh-CN"/>
        </w:rPr>
        <w:t>3</w:t>
      </w:r>
      <w:r>
        <w:rPr>
          <w:rFonts w:hint="eastAsia" w:asciiTheme="minorEastAsia" w:hAnsiTheme="minorEastAsia" w:cstheme="minorEastAsia"/>
          <w:lang w:val="en-US" w:eastAsia="zh-CN"/>
        </w:rPr>
        <w:t>万吨，实际成交</w:t>
      </w:r>
      <w:r>
        <w:rPr>
          <w:rFonts w:hint="default" w:asciiTheme="minorEastAsia" w:hAnsiTheme="minorEastAsia" w:cstheme="minorEastAsia"/>
          <w:lang w:val="en-US" w:eastAsia="zh-CN"/>
        </w:rPr>
        <w:t>0.85</w:t>
      </w:r>
      <w:r>
        <w:rPr>
          <w:rFonts w:hint="eastAsia" w:asciiTheme="minorEastAsia" w:hAnsiTheme="minorEastAsia" w:cstheme="minorEastAsia"/>
          <w:lang w:val="en-US" w:eastAsia="zh-CN"/>
        </w:rPr>
        <w:t>万吨，成交率</w:t>
      </w:r>
      <w:r>
        <w:rPr>
          <w:rFonts w:hint="default" w:asciiTheme="minorEastAsia" w:hAnsiTheme="minorEastAsia" w:cstheme="minorEastAsia"/>
          <w:lang w:val="en-US" w:eastAsia="zh-CN"/>
        </w:rPr>
        <w:t>28.46%</w:t>
      </w:r>
      <w:r>
        <w:rPr>
          <w:rFonts w:hint="eastAsia" w:asciiTheme="minorEastAsia" w:hAnsiTheme="minorEastAsia" w:cstheme="minorEastAsia"/>
          <w:lang w:val="en-US" w:eastAsia="zh-CN"/>
        </w:rPr>
        <w:t>，成交均价</w:t>
      </w:r>
      <w:r>
        <w:rPr>
          <w:rFonts w:hint="default" w:asciiTheme="minorEastAsia" w:hAnsiTheme="minorEastAsia" w:cstheme="minorEastAsia"/>
          <w:lang w:val="en-US" w:eastAsia="zh-CN"/>
        </w:rPr>
        <w:t>15267</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吨，上涨</w:t>
      </w:r>
      <w:r>
        <w:rPr>
          <w:rFonts w:hint="default" w:asciiTheme="minorEastAsia" w:hAnsiTheme="minorEastAsia" w:cstheme="minorEastAsia"/>
          <w:lang w:val="en-US" w:eastAsia="zh-CN"/>
        </w:rPr>
        <w:t>35</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吨，折</w:t>
      </w:r>
      <w:r>
        <w:rPr>
          <w:rFonts w:hint="default" w:asciiTheme="minorEastAsia" w:hAnsiTheme="minorEastAsia" w:cstheme="minorEastAsia"/>
          <w:lang w:val="en-US" w:eastAsia="zh-CN"/>
        </w:rPr>
        <w:t>3128</w:t>
      </w:r>
      <w:r>
        <w:rPr>
          <w:rFonts w:hint="eastAsia" w:asciiTheme="minorEastAsia" w:hAnsiTheme="minorEastAsia" w:cstheme="minorEastAsia"/>
          <w:lang w:val="en-US" w:eastAsia="zh-CN"/>
        </w:rPr>
        <w:t>价格</w:t>
      </w:r>
      <w:r>
        <w:rPr>
          <w:rFonts w:hint="default" w:asciiTheme="minorEastAsia" w:hAnsiTheme="minorEastAsia" w:cstheme="minorEastAsia"/>
          <w:lang w:val="en-US" w:eastAsia="zh-CN"/>
        </w:rPr>
        <w:t>16733</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吨，上涨</w:t>
      </w:r>
      <w:r>
        <w:rPr>
          <w:rFonts w:hint="default" w:asciiTheme="minorEastAsia" w:hAnsiTheme="minorEastAsia" w:cstheme="minorEastAsia"/>
          <w:lang w:val="en-US" w:eastAsia="zh-CN"/>
        </w:rPr>
        <w:t>108</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截至</w:t>
      </w:r>
      <w:r>
        <w:rPr>
          <w:rFonts w:hint="default" w:asciiTheme="minorEastAsia" w:hAnsiTheme="minorEastAsia" w:cstheme="minorEastAsia"/>
          <w:lang w:val="en-US" w:eastAsia="zh-CN"/>
        </w:rPr>
        <w:t>6</w:t>
      </w:r>
      <w:r>
        <w:rPr>
          <w:rFonts w:hint="eastAsia" w:asciiTheme="minorEastAsia" w:hAnsiTheme="minorEastAsia" w:cstheme="minorEastAsia"/>
          <w:lang w:val="en-US" w:eastAsia="zh-CN"/>
        </w:rPr>
        <w:t>月</w:t>
      </w:r>
      <w:r>
        <w:rPr>
          <w:rFonts w:hint="default" w:asciiTheme="minorEastAsia" w:hAnsiTheme="minorEastAsia" w:cstheme="minorEastAsia"/>
          <w:lang w:val="en-US" w:eastAsia="zh-CN"/>
        </w:rPr>
        <w:t>21</w:t>
      </w:r>
      <w:r>
        <w:rPr>
          <w:rFonts w:hint="eastAsia" w:asciiTheme="minorEastAsia" w:hAnsiTheme="minorEastAsia" w:cstheme="minorEastAsia"/>
          <w:lang w:val="en-US" w:eastAsia="zh-CN"/>
        </w:rPr>
        <w:t>日，累计计划出库</w:t>
      </w:r>
      <w:r>
        <w:rPr>
          <w:rFonts w:hint="default" w:asciiTheme="minorEastAsia" w:hAnsiTheme="minorEastAsia" w:cstheme="minorEastAsia"/>
          <w:lang w:val="en-US" w:eastAsia="zh-CN"/>
        </w:rPr>
        <w:t>213</w:t>
      </w:r>
      <w:r>
        <w:rPr>
          <w:rFonts w:hint="eastAsia" w:asciiTheme="minorEastAsia" w:hAnsiTheme="minorEastAsia" w:cstheme="minorEastAsia"/>
          <w:lang w:val="en-US" w:eastAsia="zh-CN"/>
        </w:rPr>
        <w:t>万吨，累计出库成交</w:t>
      </w:r>
      <w:r>
        <w:rPr>
          <w:rFonts w:hint="default" w:asciiTheme="minorEastAsia" w:hAnsiTheme="minorEastAsia" w:cstheme="minorEastAsia"/>
          <w:lang w:val="en-US" w:eastAsia="zh-CN"/>
        </w:rPr>
        <w:t>130.8</w:t>
      </w:r>
      <w:r>
        <w:rPr>
          <w:rFonts w:hint="eastAsia" w:asciiTheme="minorEastAsia" w:hAnsiTheme="minorEastAsia" w:cstheme="minorEastAsia"/>
          <w:lang w:val="en-US" w:eastAsia="zh-CN"/>
        </w:rPr>
        <w:t>万吨，成交率为</w:t>
      </w:r>
      <w:r>
        <w:rPr>
          <w:rFonts w:hint="default" w:asciiTheme="minorEastAsia" w:hAnsiTheme="minorEastAsia" w:cstheme="minorEastAsia"/>
          <w:lang w:val="en-US" w:eastAsia="zh-CN"/>
        </w:rPr>
        <w:t>61%</w:t>
      </w:r>
      <w:r>
        <w:rPr>
          <w:rFonts w:hint="eastAsia" w:asciiTheme="minorEastAsia" w:hAnsiTheme="minorEastAsia" w:cstheme="minorEastAsia"/>
          <w:lang w:val="en-US" w:eastAsia="zh-CN"/>
        </w:rPr>
        <w:t>；成交最高价</w:t>
      </w:r>
      <w:r>
        <w:rPr>
          <w:rFonts w:hint="default" w:asciiTheme="minorEastAsia" w:hAnsiTheme="minorEastAsia" w:cstheme="minorEastAsia"/>
          <w:lang w:val="en-US" w:eastAsia="zh-CN"/>
        </w:rPr>
        <w:t>17700</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吨，最低价</w:t>
      </w:r>
      <w:r>
        <w:rPr>
          <w:rFonts w:hint="default" w:asciiTheme="minorEastAsia" w:hAnsiTheme="minorEastAsia" w:cstheme="minorEastAsia"/>
          <w:lang w:val="en-US" w:eastAsia="zh-CN"/>
        </w:rPr>
        <w:t>12700</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327650" cy="1734185"/>
            <wp:effectExtent l="0" t="0" r="635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327650" cy="1734185"/>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kern w:val="0"/>
          <w:sz w:val="24"/>
          <w:szCs w:val="24"/>
          <w:lang w:val="en-US" w:eastAsia="zh-CN" w:bidi="ar"/>
        </w:rPr>
      </w:pPr>
    </w:p>
    <w:p>
      <w:pPr>
        <w:pStyle w:val="10"/>
        <w:numPr>
          <w:ilvl w:val="0"/>
          <w:numId w:val="2"/>
        </w:numPr>
        <w:tabs>
          <w:tab w:val="left" w:pos="312"/>
        </w:tabs>
        <w:ind w:left="425" w:leftChars="0" w:hanging="425" w:firstLineChars="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中国棉花生长情况及主产区天气</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据中国棉花协会棉农分会消息，2018年6月以来，新疆棉苗总体长势喜人。其中：北疆棉区随着气温的逐步升高，棉花苗情日见好转，长势较好的为8片叶两台以上果枝，大部分为7片叶。南疆棉区天气晴朗，棉株加速生长，进入现蕾开花期，部分早播棉花株高50厘米以上，果枝6-7台/株。晚播棉花株高也在25-30厘米，且全部进入盛蕾期，个别底部开白花。近期棉农的工作主要为化控除虫防害和通渠灌溉。</w:t>
      </w:r>
    </w:p>
    <w:p>
      <w:pPr>
        <w:numPr>
          <w:ilvl w:val="0"/>
          <w:numId w:val="0"/>
        </w:numPr>
        <w:spacing w:line="360" w:lineRule="auto"/>
        <w:ind w:firstLine="480" w:firstLineChars="20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cstheme="minorEastAsia"/>
          <w:lang w:val="en-US" w:eastAsia="zh-CN"/>
        </w:rPr>
        <w:t>天气情况：据气象台预报，未来三天乌市城区将出现中雨，南郊和南山山区大到暴雨，最高温下降10℃左右。预计城区、米东区、达坂城区多云转晴，南郊南山山区多云有阵雨，各区气温有所回升；明天夜间至后天白天，各区晴间多云，气温回升。</w:t>
      </w:r>
    </w:p>
    <w:p>
      <w:pPr>
        <w:keepNext w:val="0"/>
        <w:keepLines w:val="0"/>
        <w:widowControl/>
        <w:suppressLineNumbers w:val="0"/>
        <w:jc w:val="center"/>
        <w:rPr>
          <w:rFonts w:hint="eastAsia" w:eastAsia="宋体"/>
          <w:lang w:eastAsia="zh-CN"/>
        </w:rPr>
      </w:pPr>
      <w:r>
        <w:rPr>
          <w:rFonts w:hint="eastAsia" w:eastAsia="宋体"/>
          <w:lang w:eastAsia="zh-CN"/>
        </w:rPr>
        <w:drawing>
          <wp:inline distT="0" distB="0" distL="114300" distR="114300">
            <wp:extent cx="5269230" cy="4270375"/>
            <wp:effectExtent l="0" t="0" r="3810" b="12065"/>
            <wp:docPr id="4" name="图片 4" descr="SEVP_NMC_CGRM_SFER_EMH1_ACHN_L88_P9_20180615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EVP_NMC_CGRM_SFER_EMH1_ACHN_L88_P9_20180615000000000"/>
                    <pic:cNvPicPr>
                      <a:picLocks noChangeAspect="1"/>
                    </pic:cNvPicPr>
                  </pic:nvPicPr>
                  <pic:blipFill>
                    <a:blip r:embed="rId8"/>
                    <a:stretch>
                      <a:fillRect/>
                    </a:stretch>
                  </pic:blipFill>
                  <pic:spPr>
                    <a:xfrm>
                      <a:off x="0" y="0"/>
                      <a:ext cx="5269230" cy="4270375"/>
                    </a:xfrm>
                    <a:prstGeom prst="rect">
                      <a:avLst/>
                    </a:prstGeom>
                  </pic:spPr>
                </pic:pic>
              </a:graphicData>
            </a:graphic>
          </wp:inline>
        </w:drawing>
      </w:r>
    </w:p>
    <w:p>
      <w:pPr>
        <w:numPr>
          <w:ilvl w:val="0"/>
          <w:numId w:val="0"/>
        </w:num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inline distT="0" distB="0" distL="114300" distR="114300">
            <wp:extent cx="5273040" cy="3075940"/>
            <wp:effectExtent l="0" t="0" r="0" b="2540"/>
            <wp:docPr id="6" name="图片 6" descr="PWCP_TWC_WEAP_S99_ERDP10_TWC_L88_P9_2018062204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WCP_TWC_WEAP_S99_ERDP10_TWC_L88_P9_20180622040000000"/>
                    <pic:cNvPicPr>
                      <a:picLocks noChangeAspect="1"/>
                    </pic:cNvPicPr>
                  </pic:nvPicPr>
                  <pic:blipFill>
                    <a:blip r:embed="rId9"/>
                    <a:stretch>
                      <a:fillRect/>
                    </a:stretch>
                  </pic:blipFill>
                  <pic:spPr>
                    <a:xfrm>
                      <a:off x="0" y="0"/>
                      <a:ext cx="5273040" cy="3075940"/>
                    </a:xfrm>
                    <a:prstGeom prst="rect">
                      <a:avLst/>
                    </a:prstGeom>
                  </pic:spPr>
                </pic:pic>
              </a:graphicData>
            </a:graphic>
          </wp:inline>
        </w:drawing>
      </w:r>
    </w:p>
    <w:p>
      <w:pPr>
        <w:pStyle w:val="9"/>
        <w:numPr>
          <w:ilvl w:val="0"/>
          <w:numId w:val="1"/>
        </w:numPr>
        <w:spacing w:line="360" w:lineRule="auto"/>
        <w:rPr>
          <w:rFonts w:hint="eastAsia"/>
          <w:lang w:val="en-US" w:eastAsia="zh-CN"/>
        </w:rPr>
      </w:pPr>
      <w:r>
        <w:rPr>
          <w:rFonts w:hint="eastAsia"/>
          <w:szCs w:val="22"/>
          <w:lang w:val="en-US" w:eastAsia="zh-CN"/>
        </w:rPr>
        <w:t>棉花期货</w:t>
      </w:r>
    </w:p>
    <w:p>
      <w:pPr>
        <w:pStyle w:val="10"/>
        <w:numPr>
          <w:ilvl w:val="0"/>
          <w:numId w:val="3"/>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ICE期棉主力合约</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洲际交易所(ICE)纽约期棉周四收涨0.13%，因本周稍早因中美贸易战忧虑大跌后，投资者心有余悸。12月期棉合约收高0.11美分/磅，报每84.29美分/磅。</w:t>
      </w:r>
      <w:r>
        <w:rPr>
          <w:rFonts w:hint="eastAsia" w:asciiTheme="minorEastAsia" w:hAnsiTheme="minorEastAsia" w:eastAsiaTheme="minorEastAsia" w:cstheme="minorEastAsia"/>
          <w:lang w:val="en-US" w:eastAsia="zh-CN"/>
        </w:rPr>
        <w:t>交易区间为</w:t>
      </w:r>
      <w:r>
        <w:rPr>
          <w:rFonts w:hint="eastAsia" w:asciiTheme="minorEastAsia" w:hAnsiTheme="minorEastAsia" w:cstheme="minorEastAsia"/>
          <w:lang w:val="en-US" w:eastAsia="zh-CN"/>
        </w:rPr>
        <w:t>84.13-85.14</w:t>
      </w:r>
      <w:r>
        <w:rPr>
          <w:rFonts w:hint="eastAsia" w:asciiTheme="minorEastAsia" w:hAnsiTheme="minorEastAsia" w:eastAsiaTheme="minorEastAsia" w:cstheme="minorEastAsia"/>
          <w:lang w:val="en-US" w:eastAsia="zh-CN"/>
        </w:rPr>
        <w:t>美分/磅。市期货市场总成交量</w:t>
      </w:r>
      <w:r>
        <w:rPr>
          <w:rFonts w:hint="eastAsia" w:asciiTheme="minorEastAsia" w:hAnsiTheme="minorEastAsia" w:cstheme="minorEastAsia"/>
          <w:lang w:val="en-US" w:eastAsia="zh-CN"/>
        </w:rPr>
        <w:t>减少14537</w:t>
      </w:r>
      <w:r>
        <w:rPr>
          <w:rFonts w:hint="eastAsia" w:asciiTheme="minorEastAsia" w:hAnsiTheme="minorEastAsia" w:eastAsiaTheme="minorEastAsia" w:cstheme="minorEastAsia"/>
          <w:lang w:val="en-US" w:eastAsia="zh-CN"/>
        </w:rPr>
        <w:t>手，至</w:t>
      </w:r>
      <w:r>
        <w:rPr>
          <w:rFonts w:hint="eastAsia" w:asciiTheme="minorEastAsia" w:hAnsiTheme="minorEastAsia" w:cstheme="minorEastAsia"/>
          <w:lang w:val="en-US" w:eastAsia="zh-CN"/>
        </w:rPr>
        <w:t>22217</w:t>
      </w:r>
      <w:r>
        <w:rPr>
          <w:rFonts w:hint="eastAsia" w:asciiTheme="minorEastAsia" w:hAnsiTheme="minorEastAsia" w:eastAsiaTheme="minorEastAsia" w:cstheme="minorEastAsia"/>
          <w:lang w:val="en-US" w:eastAsia="zh-CN"/>
        </w:rPr>
        <w:t>手。数据显示，前一交易日持仓量增加</w:t>
      </w:r>
      <w:r>
        <w:rPr>
          <w:rFonts w:hint="eastAsia" w:asciiTheme="minorEastAsia" w:hAnsiTheme="minorEastAsia" w:cstheme="minorEastAsia"/>
          <w:lang w:val="en-US" w:eastAsia="zh-CN"/>
        </w:rPr>
        <w:t>7020</w:t>
      </w:r>
      <w:r>
        <w:rPr>
          <w:rFonts w:hint="eastAsia" w:asciiTheme="minorEastAsia" w:hAnsiTheme="minorEastAsia" w:eastAsiaTheme="minorEastAsia" w:cstheme="minorEastAsia"/>
          <w:lang w:val="en-US" w:eastAsia="zh-CN"/>
        </w:rPr>
        <w:t>手，至</w:t>
      </w:r>
      <w:r>
        <w:rPr>
          <w:rFonts w:hint="eastAsia" w:asciiTheme="minorEastAsia" w:hAnsiTheme="minorEastAsia" w:cstheme="minorEastAsia"/>
          <w:lang w:val="en-US" w:eastAsia="zh-CN"/>
        </w:rPr>
        <w:t>265826</w:t>
      </w:r>
      <w:r>
        <w:rPr>
          <w:rFonts w:hint="eastAsia" w:asciiTheme="minorEastAsia" w:hAnsiTheme="minorEastAsia" w:eastAsiaTheme="minorEastAsia" w:cstheme="minorEastAsia"/>
          <w:lang w:val="en-US" w:eastAsia="zh-CN"/>
        </w:rPr>
        <w:t>手。</w:t>
      </w:r>
    </w:p>
    <w:p>
      <w:pPr>
        <w:numPr>
          <w:ilvl w:val="0"/>
          <w:numId w:val="0"/>
        </w:numPr>
        <w:jc w:val="center"/>
      </w:pPr>
      <w:r>
        <w:drawing>
          <wp:inline distT="0" distB="0" distL="114300" distR="114300">
            <wp:extent cx="4930775" cy="3025140"/>
            <wp:effectExtent l="0" t="0" r="6985" b="762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4930775" cy="3025140"/>
                    </a:xfrm>
                    <a:prstGeom prst="rect">
                      <a:avLst/>
                    </a:prstGeom>
                    <a:noFill/>
                    <a:ln w="9525">
                      <a:noFill/>
                    </a:ln>
                  </pic:spPr>
                </pic:pic>
              </a:graphicData>
            </a:graphic>
          </wp:inline>
        </w:drawing>
      </w:r>
    </w:p>
    <w:p>
      <w:pPr>
        <w:pStyle w:val="10"/>
        <w:numPr>
          <w:ilvl w:val="0"/>
          <w:numId w:val="3"/>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郑棉主力合约</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当</w:t>
      </w:r>
      <w:r>
        <w:rPr>
          <w:rFonts w:hint="eastAsia" w:asciiTheme="minorEastAsia" w:hAnsiTheme="minorEastAsia" w:eastAsiaTheme="minorEastAsia" w:cstheme="minorEastAsia"/>
          <w:lang w:val="en-US" w:eastAsia="zh-CN"/>
        </w:rPr>
        <w:t>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18</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郑棉主力合约收盘价较上周五</w:t>
      </w:r>
      <w:r>
        <w:rPr>
          <w:rFonts w:hint="eastAsia" w:asciiTheme="minorEastAsia" w:hAnsiTheme="minorEastAsia" w:cstheme="minorEastAsia"/>
          <w:lang w:val="en-US" w:eastAsia="zh-CN"/>
        </w:rPr>
        <w:t>下跌75</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6月22</w:t>
      </w:r>
      <w:r>
        <w:rPr>
          <w:rFonts w:hint="eastAsia" w:asciiTheme="minorEastAsia" w:hAnsiTheme="minorEastAsia" w:eastAsiaTheme="minorEastAsia" w:cstheme="minorEastAsia"/>
          <w:lang w:val="en-US" w:eastAsia="zh-CN"/>
        </w:rPr>
        <w:t>日主主力合约收盘价</w:t>
      </w:r>
      <w:r>
        <w:rPr>
          <w:rFonts w:hint="eastAsia" w:asciiTheme="minorEastAsia" w:hAnsiTheme="minorEastAsia" w:cstheme="minorEastAsia"/>
          <w:lang w:val="en-US" w:eastAsia="zh-CN"/>
        </w:rPr>
        <w:t>16935</w:t>
      </w:r>
      <w:r>
        <w:rPr>
          <w:rFonts w:hint="eastAsia" w:asciiTheme="minorEastAsia" w:hAnsiTheme="minorEastAsia" w:eastAsiaTheme="minorEastAsia" w:cstheme="minorEastAsia"/>
          <w:lang w:val="en-US" w:eastAsia="zh-CN"/>
        </w:rPr>
        <w:t>元/吨，开盘价</w:t>
      </w:r>
      <w:r>
        <w:rPr>
          <w:rFonts w:hint="eastAsia" w:asciiTheme="minorEastAsia" w:hAnsiTheme="minorEastAsia" w:cstheme="minorEastAsia"/>
          <w:lang w:val="en-US" w:eastAsia="zh-CN"/>
        </w:rPr>
        <w:t>16920</w:t>
      </w:r>
      <w:r>
        <w:rPr>
          <w:rFonts w:hint="eastAsia" w:asciiTheme="minorEastAsia" w:hAnsiTheme="minorEastAsia" w:eastAsiaTheme="minorEastAsia" w:cstheme="minorEastAsia"/>
          <w:lang w:val="en-US" w:eastAsia="zh-CN"/>
        </w:rPr>
        <w:t>元/吨，全天高价</w:t>
      </w:r>
      <w:r>
        <w:rPr>
          <w:rFonts w:hint="eastAsia" w:asciiTheme="minorEastAsia" w:hAnsiTheme="minorEastAsia" w:cstheme="minorEastAsia"/>
          <w:lang w:val="en-US" w:eastAsia="zh-CN"/>
        </w:rPr>
        <w:t>17030</w:t>
      </w:r>
      <w:r>
        <w:rPr>
          <w:rFonts w:hint="eastAsia" w:asciiTheme="minorEastAsia" w:hAnsiTheme="minorEastAsia" w:eastAsiaTheme="minorEastAsia" w:cstheme="minorEastAsia"/>
          <w:lang w:val="en-US" w:eastAsia="zh-CN"/>
        </w:rPr>
        <w:t>元/吨，最低价</w:t>
      </w:r>
      <w:r>
        <w:rPr>
          <w:rFonts w:hint="eastAsia" w:asciiTheme="minorEastAsia" w:hAnsiTheme="minorEastAsia" w:cstheme="minorEastAsia"/>
          <w:lang w:val="en-US" w:eastAsia="zh-CN"/>
        </w:rPr>
        <w:t>16850</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上涨45</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涨幅0.27</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6月22</w:t>
      </w:r>
      <w:r>
        <w:rPr>
          <w:rFonts w:hint="eastAsia" w:asciiTheme="minorEastAsia" w:hAnsiTheme="minorEastAsia" w:eastAsiaTheme="minorEastAsia" w:cstheme="minorEastAsia"/>
          <w:lang w:val="en-US" w:eastAsia="zh-CN"/>
        </w:rPr>
        <w:t>日郑棉主力合约持仓量</w:t>
      </w:r>
      <w:r>
        <w:rPr>
          <w:rFonts w:hint="eastAsia" w:asciiTheme="minorEastAsia" w:hAnsiTheme="minorEastAsia" w:cstheme="minorEastAsia"/>
          <w:lang w:val="en-US" w:eastAsia="zh-CN"/>
        </w:rPr>
        <w:t>67.9</w:t>
      </w:r>
      <w:r>
        <w:rPr>
          <w:rFonts w:hint="eastAsia" w:asciiTheme="minorEastAsia" w:hAnsiTheme="minorEastAsia" w:eastAsiaTheme="minorEastAsia" w:cstheme="minorEastAsia"/>
          <w:lang w:val="en-US" w:eastAsia="zh-CN"/>
        </w:rPr>
        <w:t>万手，</w:t>
      </w:r>
      <w:r>
        <w:rPr>
          <w:rFonts w:hint="eastAsia" w:asciiTheme="minorEastAsia" w:hAnsiTheme="minorEastAsia" w:cstheme="minorEastAsia"/>
          <w:lang w:val="en-US" w:eastAsia="zh-CN"/>
        </w:rPr>
        <w:t>减少3.09万</w:t>
      </w:r>
      <w:r>
        <w:rPr>
          <w:rFonts w:hint="eastAsia" w:asciiTheme="minorEastAsia" w:hAnsiTheme="minorEastAsia" w:eastAsiaTheme="minorEastAsia" w:cstheme="minorEastAsia"/>
          <w:lang w:val="en-US" w:eastAsia="zh-CN"/>
        </w:rPr>
        <w:t>手；成交</w:t>
      </w:r>
      <w:r>
        <w:rPr>
          <w:rFonts w:hint="eastAsia" w:asciiTheme="minorEastAsia" w:hAnsiTheme="minorEastAsia" w:cstheme="minorEastAsia"/>
          <w:lang w:val="en-US" w:eastAsia="zh-CN"/>
        </w:rPr>
        <w:t>57.3</w:t>
      </w:r>
      <w:r>
        <w:rPr>
          <w:rFonts w:hint="eastAsia" w:asciiTheme="minorEastAsia" w:hAnsiTheme="minorEastAsia" w:eastAsiaTheme="minorEastAsia" w:cstheme="minorEastAsia"/>
          <w:lang w:val="en-US" w:eastAsia="zh-CN"/>
        </w:rPr>
        <w:t>万手，</w:t>
      </w:r>
      <w:r>
        <w:rPr>
          <w:rFonts w:hint="eastAsia" w:asciiTheme="minorEastAsia" w:hAnsiTheme="minorEastAsia" w:cstheme="minorEastAsia"/>
          <w:lang w:val="en-US" w:eastAsia="zh-CN"/>
        </w:rPr>
        <w:t>减少25.0</w:t>
      </w:r>
      <w:r>
        <w:rPr>
          <w:rFonts w:hint="eastAsia" w:asciiTheme="minorEastAsia" w:hAnsiTheme="minorEastAsia" w:eastAsiaTheme="minorEastAsia" w:cstheme="minorEastAsia"/>
          <w:lang w:val="en-US" w:eastAsia="zh-CN"/>
        </w:rPr>
        <w:t>万手。</w:t>
      </w:r>
    </w:p>
    <w:p>
      <w:pPr>
        <w:numPr>
          <w:ilvl w:val="0"/>
          <w:numId w:val="0"/>
        </w:numPr>
        <w:spacing w:line="360" w:lineRule="auto"/>
        <w:jc w:val="center"/>
      </w:pPr>
      <w:r>
        <w:drawing>
          <wp:inline distT="0" distB="0" distL="114300" distR="114300">
            <wp:extent cx="4747895" cy="2887980"/>
            <wp:effectExtent l="0" t="0" r="6985" b="762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4747895" cy="2887980"/>
                    </a:xfrm>
                    <a:prstGeom prst="rect">
                      <a:avLst/>
                    </a:prstGeom>
                    <a:noFill/>
                    <a:ln w="9525">
                      <a:noFill/>
                    </a:ln>
                  </pic:spPr>
                </pic:pic>
              </a:graphicData>
            </a:graphic>
          </wp:inline>
        </w:drawing>
      </w:r>
    </w:p>
    <w:p>
      <w:pPr>
        <w:numPr>
          <w:ilvl w:val="0"/>
          <w:numId w:val="0"/>
        </w:numPr>
        <w:spacing w:line="360" w:lineRule="auto"/>
        <w:jc w:val="center"/>
      </w:pPr>
      <w:r>
        <w:rPr>
          <w:rFonts w:hint="eastAsia" w:asciiTheme="minorEastAsia" w:hAnsiTheme="minorEastAsia" w:eastAsiaTheme="minorEastAsia" w:cstheme="minorEastAsia"/>
          <w:lang w:val="en-US" w:eastAsia="zh-CN"/>
        </w:rPr>
        <w:drawing>
          <wp:inline distT="0" distB="0" distL="114300" distR="114300">
            <wp:extent cx="4772025" cy="1689100"/>
            <wp:effectExtent l="0" t="0" r="13335" b="2540"/>
            <wp:docPr id="9" name="图片 9" descr="IMG_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3192"/>
                    <pic:cNvPicPr>
                      <a:picLocks noChangeAspect="1"/>
                    </pic:cNvPicPr>
                  </pic:nvPicPr>
                  <pic:blipFill>
                    <a:blip r:embed="rId12"/>
                    <a:stretch>
                      <a:fillRect/>
                    </a:stretch>
                  </pic:blipFill>
                  <pic:spPr>
                    <a:xfrm>
                      <a:off x="0" y="0"/>
                      <a:ext cx="4772025" cy="1689100"/>
                    </a:xfrm>
                    <a:prstGeom prst="rect">
                      <a:avLst/>
                    </a:prstGeom>
                  </pic:spPr>
                </pic:pic>
              </a:graphicData>
            </a:graphic>
          </wp:inline>
        </w:drawing>
      </w:r>
    </w:p>
    <w:p>
      <w:pPr>
        <w:pStyle w:val="10"/>
        <w:numPr>
          <w:ilvl w:val="0"/>
          <w:numId w:val="3"/>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仓单数量及有效预报</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当</w:t>
      </w:r>
      <w:r>
        <w:rPr>
          <w:rFonts w:hint="eastAsia" w:asciiTheme="minorEastAsia" w:hAnsiTheme="minorEastAsia" w:eastAsiaTheme="minorEastAsia" w:cstheme="minorEastAsia"/>
          <w:lang w:val="en-US" w:eastAsia="zh-CN"/>
        </w:rPr>
        <w:t>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18</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仓单加有效预报折现货约4</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多万吨，持续在高位，屡创新高。</w:t>
      </w:r>
      <w:r>
        <w:rPr>
          <w:rFonts w:hint="eastAsia" w:asciiTheme="minorEastAsia" w:hAnsiTheme="minorEastAsia" w:cstheme="minorEastAsia"/>
          <w:lang w:val="en-US" w:eastAsia="zh-CN"/>
        </w:rPr>
        <w:t>6月22</w:t>
      </w:r>
      <w:r>
        <w:rPr>
          <w:rFonts w:hint="eastAsia" w:asciiTheme="minorEastAsia" w:hAnsiTheme="minorEastAsia" w:eastAsiaTheme="minorEastAsia" w:cstheme="minorEastAsia"/>
          <w:lang w:val="en-US" w:eastAsia="zh-CN"/>
        </w:rPr>
        <w:t>日郑棉仓单预报：仓单数量</w:t>
      </w:r>
      <w:r>
        <w:rPr>
          <w:rFonts w:hint="eastAsia" w:asciiTheme="minorEastAsia" w:hAnsiTheme="minorEastAsia" w:cstheme="minorEastAsia"/>
          <w:lang w:val="en-US" w:eastAsia="zh-CN"/>
        </w:rPr>
        <w:t>8832张</w:t>
      </w:r>
      <w:r>
        <w:rPr>
          <w:rFonts w:hint="eastAsia" w:asciiTheme="minorEastAsia" w:hAnsiTheme="minorEastAsia" w:eastAsiaTheme="minorEastAsia" w:cstheme="minorEastAsia"/>
          <w:lang w:val="en-US" w:eastAsia="zh-CN"/>
        </w:rPr>
        <w:t>，有效预报</w:t>
      </w:r>
      <w:r>
        <w:rPr>
          <w:rFonts w:hint="eastAsia" w:asciiTheme="minorEastAsia" w:hAnsiTheme="minorEastAsia" w:cstheme="minorEastAsia"/>
          <w:lang w:val="en-US" w:eastAsia="zh-CN"/>
        </w:rPr>
        <w:t>2401张</w:t>
      </w:r>
      <w:r>
        <w:rPr>
          <w:rFonts w:hint="eastAsia" w:asciiTheme="minorEastAsia" w:hAnsiTheme="minorEastAsia" w:eastAsiaTheme="minorEastAsia" w:cstheme="minorEastAsia"/>
          <w:lang w:val="en-US" w:eastAsia="zh-CN"/>
        </w:rPr>
        <w:t>，合计</w:t>
      </w:r>
      <w:r>
        <w:rPr>
          <w:rFonts w:hint="eastAsia" w:asciiTheme="minorEastAsia" w:hAnsiTheme="minorEastAsia" w:cstheme="minorEastAsia"/>
          <w:lang w:val="en-US" w:eastAsia="zh-CN"/>
        </w:rPr>
        <w:t>11322张</w:t>
      </w:r>
      <w:r>
        <w:rPr>
          <w:rFonts w:hint="eastAsia" w:asciiTheme="minorEastAsia" w:hAnsiTheme="minorEastAsia" w:eastAsiaTheme="minorEastAsia" w:cstheme="minorEastAsia"/>
          <w:lang w:val="en-US" w:eastAsia="zh-CN"/>
        </w:rPr>
        <w:t>，较上周五</w:t>
      </w:r>
      <w:r>
        <w:rPr>
          <w:rFonts w:hint="eastAsia" w:asciiTheme="minorEastAsia" w:hAnsiTheme="minorEastAsia" w:cstheme="minorEastAsia"/>
          <w:lang w:val="en-US" w:eastAsia="zh-CN"/>
        </w:rPr>
        <w:t>增加356</w:t>
      </w:r>
      <w:r>
        <w:rPr>
          <w:rFonts w:hint="eastAsia" w:asciiTheme="minorEastAsia" w:hAnsiTheme="minorEastAsia" w:eastAsiaTheme="minorEastAsia" w:cstheme="minorEastAsia"/>
          <w:lang w:val="en-US" w:eastAsia="zh-CN"/>
        </w:rPr>
        <w:t>张。</w:t>
      </w:r>
    </w:p>
    <w:p>
      <w:pPr>
        <w:numPr>
          <w:ilvl w:val="0"/>
          <w:numId w:val="0"/>
        </w:numPr>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5271135" cy="1877695"/>
            <wp:effectExtent l="0" t="0" r="1905" b="12065"/>
            <wp:docPr id="10" name="图片 10" descr="IMG_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3193"/>
                    <pic:cNvPicPr>
                      <a:picLocks noChangeAspect="1"/>
                    </pic:cNvPicPr>
                  </pic:nvPicPr>
                  <pic:blipFill>
                    <a:blip r:embed="rId13"/>
                    <a:stretch>
                      <a:fillRect/>
                    </a:stretch>
                  </pic:blipFill>
                  <pic:spPr>
                    <a:xfrm>
                      <a:off x="0" y="0"/>
                      <a:ext cx="5271135" cy="1877695"/>
                    </a:xfrm>
                    <a:prstGeom prst="rect">
                      <a:avLst/>
                    </a:prstGeom>
                  </pic:spPr>
                </pic:pic>
              </a:graphicData>
            </a:graphic>
          </wp:inline>
        </w:drawing>
      </w:r>
    </w:p>
    <w:p>
      <w:pPr>
        <w:pStyle w:val="9"/>
        <w:numPr>
          <w:ilvl w:val="0"/>
          <w:numId w:val="1"/>
        </w:numPr>
        <w:spacing w:line="360" w:lineRule="auto"/>
        <w:rPr>
          <w:rFonts w:hint="eastAsia"/>
          <w:color w:val="auto"/>
          <w:szCs w:val="22"/>
          <w:lang w:val="en-US" w:eastAsia="zh-CN"/>
        </w:rPr>
      </w:pPr>
      <w:r>
        <w:rPr>
          <w:rFonts w:hint="eastAsia"/>
          <w:color w:val="auto"/>
          <w:szCs w:val="22"/>
          <w:lang w:val="en-US" w:eastAsia="zh-CN"/>
        </w:rPr>
        <w:t>美棉数据报告</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美国农业部的统计，截至2017年6月10日，美国棉花种植进度90%，较前周增加14个百分点，较上年同期持平，较过去五年平均水平增加2个百分点；现蕾进度完成15%，较前周增加6个百分点，较上年同期增加1个百分点，较过去五年平均水平增加5个百分点；棉花生长状况达到良好级以上的达到42%，与前周持平，较过去五年平均水平减少24个百分点。</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美国农业部的统计，2018年6月1-7日，2017/18年度美棉出口净签约量7892吨，较前周显著增加，较前四周平均值减少39%。2018/19年度美国陆地棉净签约量为5.14万吨，2017/18年度陆地棉装运量为10.43万吨，较前周减少20%，较前四周平均值增长4%。2017/18年度皮马棉净出口签约量为1746吨，较前周减少42%，较前四周平均值减少19%，2017/18年度皮马棉装运量为2109吨，较前周增长11%，较前四周平均值增减少24%。</w:t>
      </w:r>
    </w:p>
    <w:p>
      <w:pPr>
        <w:pStyle w:val="9"/>
        <w:numPr>
          <w:ilvl w:val="0"/>
          <w:numId w:val="1"/>
        </w:numPr>
        <w:spacing w:line="360" w:lineRule="auto"/>
        <w:rPr>
          <w:rFonts w:hint="eastAsia"/>
          <w:szCs w:val="22"/>
          <w:lang w:val="en-US" w:eastAsia="zh-CN"/>
        </w:rPr>
      </w:pPr>
      <w:r>
        <w:rPr>
          <w:rFonts w:hint="eastAsia"/>
          <w:szCs w:val="22"/>
          <w:lang w:val="en-US" w:eastAsia="zh-CN"/>
        </w:rPr>
        <w:t>后市行情研判</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储备棉竞拍底价上</w:t>
      </w:r>
      <w:r>
        <w:rPr>
          <w:rFonts w:hint="eastAsia" w:asciiTheme="minorEastAsia" w:hAnsiTheme="minorEastAsia" w:eastAsiaTheme="minorEastAsia" w:cstheme="minorEastAsia"/>
          <w:lang w:val="en-US" w:eastAsia="zh-CN"/>
        </w:rPr>
        <w:t>调28元/吨</w:t>
      </w:r>
      <w:r>
        <w:rPr>
          <w:rFonts w:hint="eastAsia" w:asciiTheme="minorEastAsia" w:hAnsiTheme="minorEastAsia" w:eastAsiaTheme="minorEastAsia" w:cstheme="minorEastAsia"/>
          <w:lang w:val="en-US" w:eastAsia="zh-CN"/>
        </w:rPr>
        <w:t>，储备棉成交率有所回落</w:t>
      </w:r>
      <w:r>
        <w:rPr>
          <w:rFonts w:hint="eastAsia" w:asciiTheme="minorEastAsia" w:hAnsiTheme="minorEastAsia" w:eastAsiaTheme="minorEastAsia" w:cstheme="minorEastAsia"/>
          <w:lang w:val="en-US" w:eastAsia="zh-CN"/>
        </w:rPr>
        <w:t>，今日成交28.46</w:t>
      </w:r>
      <w:r>
        <w:rPr>
          <w:rFonts w:hint="eastAsia" w:asciiTheme="minorEastAsia" w:hAnsiTheme="minorEastAsia" w:eastAsiaTheme="minorEastAsia" w:cstheme="minorEastAsia"/>
          <w:lang w:val="en-US" w:eastAsia="zh-CN"/>
        </w:rPr>
        <w:t>%，现货价格有所下跌</w:t>
      </w:r>
      <w:r>
        <w:rPr>
          <w:rFonts w:hint="eastAsia" w:asciiTheme="minorEastAsia" w:hAnsiTheme="minorEastAsia" w:eastAsiaTheme="minorEastAsia" w:cstheme="minorEastAsia"/>
          <w:lang w:val="en-US" w:eastAsia="zh-CN"/>
        </w:rPr>
        <w:t>，3128B周度价格下跌48</w:t>
      </w:r>
      <w:r>
        <w:rPr>
          <w:rFonts w:hint="eastAsia" w:asciiTheme="minorEastAsia" w:hAnsiTheme="minorEastAsia" w:eastAsiaTheme="minorEastAsia" w:cstheme="minorEastAsia"/>
          <w:lang w:val="en-US" w:eastAsia="zh-CN"/>
        </w:rPr>
        <w:t>元/吨。外棉FC Index M周度下跌6.82</w:t>
      </w:r>
      <w:r>
        <w:rPr>
          <w:rFonts w:hint="eastAsia" w:asciiTheme="minorEastAsia" w:hAnsiTheme="minorEastAsia" w:eastAsiaTheme="minorEastAsia" w:cstheme="minorEastAsia"/>
          <w:lang w:val="en-US" w:eastAsia="zh-CN"/>
        </w:rPr>
        <w:t>美分/磅，CY Index C32S周度上涨20</w:t>
      </w:r>
      <w:r>
        <w:rPr>
          <w:rFonts w:hint="eastAsia" w:asciiTheme="minorEastAsia" w:hAnsiTheme="minorEastAsia" w:eastAsiaTheme="minorEastAsia" w:cstheme="minorEastAsia"/>
          <w:lang w:val="en-US" w:eastAsia="zh-CN"/>
        </w:rPr>
        <w:t>元/吨，</w:t>
      </w:r>
      <w:r>
        <w:rPr>
          <w:rFonts w:hint="eastAsia" w:asciiTheme="minorEastAsia" w:hAnsiTheme="minorEastAsia" w:eastAsiaTheme="minorEastAsia" w:cstheme="minorEastAsia"/>
          <w:lang w:val="en-US" w:eastAsia="zh-CN"/>
        </w:rPr>
        <w:t>FCY Index C32S周度上涨211</w:t>
      </w:r>
      <w:r>
        <w:rPr>
          <w:rFonts w:hint="eastAsia" w:asciiTheme="minorEastAsia" w:hAnsiTheme="minorEastAsia" w:eastAsiaTheme="minorEastAsia" w:cstheme="minorEastAsia"/>
          <w:lang w:val="en-US" w:eastAsia="zh-CN"/>
        </w:rPr>
        <w:t>元/吨。</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从过去棉花的炒作题材看，在</w:t>
      </w:r>
      <w:r>
        <w:rPr>
          <w:rFonts w:hint="default" w:asciiTheme="minorEastAsia" w:hAnsiTheme="minorEastAsia" w:eastAsiaTheme="minorEastAsia" w:cstheme="minorEastAsia"/>
          <w:lang w:val="en-US" w:eastAsia="zh-CN"/>
        </w:rPr>
        <w:t>4-5</w:t>
      </w:r>
      <w:r>
        <w:rPr>
          <w:rFonts w:hint="eastAsia" w:asciiTheme="minorEastAsia" w:hAnsiTheme="minorEastAsia" w:eastAsiaTheme="minorEastAsia" w:cstheme="minorEastAsia"/>
          <w:lang w:val="en-US" w:eastAsia="zh-CN"/>
        </w:rPr>
        <w:t>月份炒作完播种面积后，开始真正进入了炒作天气时期。今年国内新疆地区在棉花种植初期不太顺利，尤其是南疆部分地区。同样美国德克萨斯州出现的干旱天气让棉花种植进度落后于去年，因此今年天气状况预计会对棉花生长造成一定影响。在</w:t>
      </w:r>
      <w:r>
        <w:rPr>
          <w:rFonts w:hint="default" w:asciiTheme="minorEastAsia" w:hAnsiTheme="minorEastAsia" w:eastAsiaTheme="minorEastAsia" w:cstheme="minorEastAsia"/>
          <w:lang w:val="en-US" w:eastAsia="zh-CN"/>
        </w:rPr>
        <w:t>7-8</w:t>
      </w:r>
      <w:r>
        <w:rPr>
          <w:rFonts w:hint="eastAsia" w:asciiTheme="minorEastAsia" w:hAnsiTheme="minorEastAsia" w:eastAsiaTheme="minorEastAsia" w:cstheme="minorEastAsia"/>
          <w:lang w:val="en-US" w:eastAsia="zh-CN"/>
        </w:rPr>
        <w:t>月份棉花生长最关键时期，棉花期货难免波澜不惊。</w:t>
      </w:r>
    </w:p>
    <w:p>
      <w:pPr>
        <w:numPr>
          <w:ilvl w:val="0"/>
          <w:numId w:val="0"/>
        </w:numPr>
        <w:spacing w:line="360" w:lineRule="auto"/>
        <w:ind w:firstLine="480" w:firstLineChars="200"/>
        <w:jc w:val="left"/>
        <w:rPr>
          <w:rFonts w:hint="eastAsia" w:asciiTheme="minorEastAsia" w:hAnsiTheme="minorEastAsia" w:cstheme="minorEastAsia"/>
          <w:color w:val="auto"/>
          <w:lang w:val="en-US" w:eastAsia="zh-CN"/>
        </w:rPr>
      </w:pPr>
      <w:r>
        <w:rPr>
          <w:rFonts w:hint="eastAsia" w:asciiTheme="minorEastAsia" w:hAnsiTheme="minorEastAsia" w:eastAsiaTheme="minorEastAsia" w:cstheme="minorEastAsia"/>
          <w:lang w:val="en-US" w:eastAsia="zh-CN"/>
        </w:rPr>
        <w:t>棉花此波上涨行情熄火主要源于国内政策和国际贸易战双重打压，但国内、国际供求关系依然在改善中，期货价格也几乎回到了起始点，继续下跌的幅度越来越小，后期将逐步展开反弹修复行情。</w:t>
      </w:r>
      <w:bookmarkStart w:id="0" w:name="_GoBack"/>
      <w:bookmarkEnd w:id="0"/>
      <w:r>
        <w:rPr>
          <w:rFonts w:hint="eastAsia" w:asciiTheme="minorEastAsia" w:hAnsiTheme="minorEastAsia" w:cstheme="minorEastAsia"/>
          <w:color w:val="auto"/>
          <w:lang w:val="en-US" w:eastAsia="zh-CN"/>
        </w:rPr>
        <w:t>操作上，郑棉1901合约建议保持观望。</w:t>
      </w:r>
    </w:p>
    <w:p>
      <w:pPr>
        <w:pStyle w:val="9"/>
        <w:numPr>
          <w:ilvl w:val="0"/>
          <w:numId w:val="1"/>
        </w:numPr>
        <w:spacing w:line="360" w:lineRule="auto"/>
        <w:rPr>
          <w:rFonts w:hint="eastAsia"/>
          <w:szCs w:val="22"/>
          <w:lang w:val="en-US" w:eastAsia="zh-CN"/>
        </w:rPr>
      </w:pPr>
      <w:r>
        <w:rPr>
          <w:rFonts w:hint="eastAsia"/>
          <w:szCs w:val="22"/>
          <w:lang w:val="en-US" w:eastAsia="zh-CN"/>
        </w:rPr>
        <w:t>交易策略建议</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郑棉1</w:t>
      </w:r>
      <w:r>
        <w:rPr>
          <w:rFonts w:hint="eastAsia" w:asciiTheme="minorEastAsia" w:hAnsiTheme="minorEastAsia" w:cstheme="minorEastAsia"/>
          <w:lang w:val="en-US" w:eastAsia="zh-CN"/>
        </w:rPr>
        <w:t>901</w:t>
      </w:r>
      <w:r>
        <w:rPr>
          <w:rFonts w:hint="eastAsia" w:asciiTheme="minorEastAsia" w:hAnsiTheme="minorEastAsia" w:eastAsiaTheme="minorEastAsia" w:cstheme="minorEastAsia"/>
          <w:lang w:val="en-US" w:eastAsia="zh-CN"/>
        </w:rPr>
        <w:t>合约</w:t>
      </w:r>
      <w:r>
        <w:rPr>
          <w:rFonts w:hint="eastAsia" w:asciiTheme="minorEastAsia" w:hAnsiTheme="minorEastAsia" w:cstheme="minorEastAsia"/>
          <w:lang w:val="en-US" w:eastAsia="zh-CN"/>
        </w:rPr>
        <w:t>建议保持观望。</w:t>
      </w: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keepNext w:val="0"/>
        <w:keepLines w:val="0"/>
        <w:pageBreakBefore w:val="0"/>
        <w:kinsoku/>
        <w:wordWrap/>
        <w:overflowPunct/>
        <w:topLinePunct w:val="0"/>
        <w:autoSpaceDE/>
        <w:autoSpaceDN/>
        <w:bidi w:val="0"/>
        <w:adjustRightInd w:val="0"/>
        <w:snapToGrid w:val="0"/>
        <w:spacing w:line="240" w:lineRule="exact"/>
        <w:ind w:firstLine="361" w:firstLineChars="200"/>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bCs/>
          <w:sz w:val="18"/>
          <w:szCs w:val="18"/>
          <w:lang w:val="en-US" w:eastAsia="zh-CN"/>
        </w:rPr>
        <w:t>风险揭示：</w:t>
      </w:r>
      <w:r>
        <w:rPr>
          <w:rFonts w:hint="eastAsia" w:asciiTheme="minorEastAsia" w:hAnsiTheme="minorEastAsia" w:eastAsiaTheme="minorEastAsia" w:cstheme="minorEastAsia"/>
          <w:b w:val="0"/>
          <w:bCs w:val="0"/>
          <w:sz w:val="18"/>
          <w:szCs w:val="18"/>
          <w:lang w:val="en-US" w:eastAsia="zh-CN"/>
        </w:rPr>
        <w:t>您应当客观评估自身财务状况、交易经验，确定自身的风险偏好、风险承受能力和服务需求，自行决定是否采纳期货公司提供的报告中所给出的建议并承担相应的责任。您应当充分了解期货市场变化的不确定性和投资风险，任何有关期货行情的预测都可能与实际情况有差异，若您据此入市操作，您需要承担由此带来的风险和损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1"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lang w:eastAsia="zh-CN"/>
        </w:rPr>
        <w:t>免责声明：</w:t>
      </w:r>
      <w:r>
        <w:rPr>
          <w:rFonts w:hint="eastAsia" w:asciiTheme="minorEastAsia" w:hAnsiTheme="minorEastAsia" w:eastAsiaTheme="minorEastAsia" w:cstheme="minorEastAsia"/>
          <w:sz w:val="18"/>
          <w:szCs w:val="18"/>
          <w:lang w:val="en-US" w:eastAsia="zh-CN"/>
        </w:rPr>
        <w:t>和合期货有限公司是由中国证监会批准，工商局核准登记注册的专业期货公司。经营范围包括：商品期货经纪业务、金融期货经纪业务、期货投资咨询业务、公开募集证券投资基金销售业务。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本公司对本报告所含信息可在不发出通知的情形下做出修改，投资者应当自行关注相应的更新或修改。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本公司及作者在自身所知情范围内，与本报告中所评价或推荐的内容不存在法律法规要求披露或采取限制、静默措施的利益冲突。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公司网址：</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begin"/>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instrText xml:space="preserve"> HYPERLINK "http://www.hhqh.com.cn" </w:instrTex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separate"/>
      </w:r>
      <w:r>
        <w:rPr>
          <w:rStyle w:val="14"/>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http://www.hhqh.com.cn</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end"/>
      </w:r>
    </w:p>
    <w:p>
      <w:pPr>
        <w:adjustRightInd w:val="0"/>
        <w:snapToGrid w:val="0"/>
        <w:spacing w:line="600" w:lineRule="exact"/>
        <w:ind w:firstLine="480" w:firstLineChars="200"/>
      </w:pPr>
    </w:p>
    <w:p>
      <w:pPr>
        <w:rPr>
          <w:rFonts w:hint="eastAsia"/>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77C43"/>
    <w:multiLevelType w:val="singleLevel"/>
    <w:tmpl w:val="A7177C43"/>
    <w:lvl w:ilvl="0" w:tentative="0">
      <w:start w:val="1"/>
      <w:numFmt w:val="decimal"/>
      <w:lvlText w:val="%1."/>
      <w:lvlJc w:val="left"/>
      <w:pPr>
        <w:ind w:left="425" w:hanging="425"/>
      </w:pPr>
      <w:rPr>
        <w:rFonts w:hint="default"/>
      </w:rPr>
    </w:lvl>
  </w:abstractNum>
  <w:abstractNum w:abstractNumId="1">
    <w:nsid w:val="C276E184"/>
    <w:multiLevelType w:val="singleLevel"/>
    <w:tmpl w:val="C276E184"/>
    <w:lvl w:ilvl="0" w:tentative="0">
      <w:start w:val="1"/>
      <w:numFmt w:val="decimal"/>
      <w:lvlText w:val="%1."/>
      <w:lvlJc w:val="left"/>
      <w:pPr>
        <w:ind w:left="425" w:hanging="425"/>
      </w:pPr>
      <w:rPr>
        <w:rFonts w:hint="default"/>
      </w:rPr>
    </w:lvl>
  </w:abstractNum>
  <w:abstractNum w:abstractNumId="2">
    <w:nsid w:val="FF832449"/>
    <w:multiLevelType w:val="singleLevel"/>
    <w:tmpl w:val="FF83244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1E2"/>
    <w:rsid w:val="002507A9"/>
    <w:rsid w:val="0041312C"/>
    <w:rsid w:val="005073F0"/>
    <w:rsid w:val="009D497A"/>
    <w:rsid w:val="00C55259"/>
    <w:rsid w:val="01131362"/>
    <w:rsid w:val="012F40A2"/>
    <w:rsid w:val="01454539"/>
    <w:rsid w:val="019D631C"/>
    <w:rsid w:val="019E724C"/>
    <w:rsid w:val="01B24BB1"/>
    <w:rsid w:val="01F24B6C"/>
    <w:rsid w:val="021A204B"/>
    <w:rsid w:val="02534FA5"/>
    <w:rsid w:val="028A69AC"/>
    <w:rsid w:val="02964CD9"/>
    <w:rsid w:val="02B30D02"/>
    <w:rsid w:val="02B47328"/>
    <w:rsid w:val="02F339C0"/>
    <w:rsid w:val="03677581"/>
    <w:rsid w:val="036C6456"/>
    <w:rsid w:val="03DE1F72"/>
    <w:rsid w:val="04547032"/>
    <w:rsid w:val="045876FF"/>
    <w:rsid w:val="04C87B2B"/>
    <w:rsid w:val="04EA13E4"/>
    <w:rsid w:val="052359BC"/>
    <w:rsid w:val="05F32E9A"/>
    <w:rsid w:val="065821A1"/>
    <w:rsid w:val="0667488E"/>
    <w:rsid w:val="0696462C"/>
    <w:rsid w:val="06FA5D33"/>
    <w:rsid w:val="07860B1A"/>
    <w:rsid w:val="08075AB6"/>
    <w:rsid w:val="084E50A4"/>
    <w:rsid w:val="084E6A75"/>
    <w:rsid w:val="08A34A89"/>
    <w:rsid w:val="08F83C6B"/>
    <w:rsid w:val="092B6589"/>
    <w:rsid w:val="09661612"/>
    <w:rsid w:val="097E7B9D"/>
    <w:rsid w:val="09A14C2D"/>
    <w:rsid w:val="09A23AD5"/>
    <w:rsid w:val="09C46C36"/>
    <w:rsid w:val="0A65639F"/>
    <w:rsid w:val="0A6C1E03"/>
    <w:rsid w:val="0A72023A"/>
    <w:rsid w:val="0A8956AB"/>
    <w:rsid w:val="0B0C4874"/>
    <w:rsid w:val="0B294880"/>
    <w:rsid w:val="0B3E785A"/>
    <w:rsid w:val="0B485407"/>
    <w:rsid w:val="0B684FC4"/>
    <w:rsid w:val="0B744FF1"/>
    <w:rsid w:val="0B847962"/>
    <w:rsid w:val="0B873DB7"/>
    <w:rsid w:val="0BD87117"/>
    <w:rsid w:val="0C141E1D"/>
    <w:rsid w:val="0C5F2850"/>
    <w:rsid w:val="0D0956F3"/>
    <w:rsid w:val="0D2A4759"/>
    <w:rsid w:val="0DDB0FBB"/>
    <w:rsid w:val="0E29570F"/>
    <w:rsid w:val="0E7A6849"/>
    <w:rsid w:val="0E9C4CC5"/>
    <w:rsid w:val="0EBC3469"/>
    <w:rsid w:val="0F016D9B"/>
    <w:rsid w:val="0F0444CC"/>
    <w:rsid w:val="0FA935EC"/>
    <w:rsid w:val="10574A20"/>
    <w:rsid w:val="10592E32"/>
    <w:rsid w:val="10665808"/>
    <w:rsid w:val="107515AE"/>
    <w:rsid w:val="10D81A51"/>
    <w:rsid w:val="10FA0DDF"/>
    <w:rsid w:val="1100413E"/>
    <w:rsid w:val="1130031A"/>
    <w:rsid w:val="12623727"/>
    <w:rsid w:val="12BD4D78"/>
    <w:rsid w:val="13715A4B"/>
    <w:rsid w:val="13A75445"/>
    <w:rsid w:val="13BB2266"/>
    <w:rsid w:val="13DB08B6"/>
    <w:rsid w:val="13FE6D93"/>
    <w:rsid w:val="1402394F"/>
    <w:rsid w:val="141B2668"/>
    <w:rsid w:val="144F2170"/>
    <w:rsid w:val="146A6F72"/>
    <w:rsid w:val="1470553B"/>
    <w:rsid w:val="148E1854"/>
    <w:rsid w:val="152E0B20"/>
    <w:rsid w:val="1564759A"/>
    <w:rsid w:val="16663180"/>
    <w:rsid w:val="167660DE"/>
    <w:rsid w:val="16822328"/>
    <w:rsid w:val="16AB490F"/>
    <w:rsid w:val="16B05451"/>
    <w:rsid w:val="170D4FCC"/>
    <w:rsid w:val="17364941"/>
    <w:rsid w:val="17B24662"/>
    <w:rsid w:val="17E20DCB"/>
    <w:rsid w:val="18136CD5"/>
    <w:rsid w:val="1820126D"/>
    <w:rsid w:val="18B35036"/>
    <w:rsid w:val="19271C35"/>
    <w:rsid w:val="193B0526"/>
    <w:rsid w:val="19550D10"/>
    <w:rsid w:val="1970664E"/>
    <w:rsid w:val="197C09C2"/>
    <w:rsid w:val="1984269C"/>
    <w:rsid w:val="199C1E49"/>
    <w:rsid w:val="19B02B75"/>
    <w:rsid w:val="19D14469"/>
    <w:rsid w:val="19E17DE9"/>
    <w:rsid w:val="1A1960A9"/>
    <w:rsid w:val="1A275295"/>
    <w:rsid w:val="1A4E3832"/>
    <w:rsid w:val="1A6A5F2A"/>
    <w:rsid w:val="1AC644C7"/>
    <w:rsid w:val="1B191422"/>
    <w:rsid w:val="1B1F4300"/>
    <w:rsid w:val="1B2E1110"/>
    <w:rsid w:val="1B9814A5"/>
    <w:rsid w:val="1B993604"/>
    <w:rsid w:val="1B9B0DED"/>
    <w:rsid w:val="1BA75F70"/>
    <w:rsid w:val="1BA86D82"/>
    <w:rsid w:val="1BF13BA1"/>
    <w:rsid w:val="1C5E0E7D"/>
    <w:rsid w:val="1C680AD2"/>
    <w:rsid w:val="1C7208D7"/>
    <w:rsid w:val="1C850955"/>
    <w:rsid w:val="1CB31A89"/>
    <w:rsid w:val="1D095762"/>
    <w:rsid w:val="1D1F4BDE"/>
    <w:rsid w:val="1D5D4712"/>
    <w:rsid w:val="1D780CD9"/>
    <w:rsid w:val="1D8524F0"/>
    <w:rsid w:val="1DA3495F"/>
    <w:rsid w:val="1DB5333C"/>
    <w:rsid w:val="1E2E5F71"/>
    <w:rsid w:val="1E3B2351"/>
    <w:rsid w:val="1E3B2843"/>
    <w:rsid w:val="1E6170D5"/>
    <w:rsid w:val="1E865FD7"/>
    <w:rsid w:val="1EDD3F20"/>
    <w:rsid w:val="1F6B5AE4"/>
    <w:rsid w:val="1FAE5230"/>
    <w:rsid w:val="1FDE7B64"/>
    <w:rsid w:val="206F2CA1"/>
    <w:rsid w:val="209636BE"/>
    <w:rsid w:val="20B74CC7"/>
    <w:rsid w:val="20C4255E"/>
    <w:rsid w:val="20D324BD"/>
    <w:rsid w:val="212E7F8B"/>
    <w:rsid w:val="21371720"/>
    <w:rsid w:val="218E3078"/>
    <w:rsid w:val="219F1AF0"/>
    <w:rsid w:val="21A01494"/>
    <w:rsid w:val="21D8746E"/>
    <w:rsid w:val="21EC240F"/>
    <w:rsid w:val="22DD4C27"/>
    <w:rsid w:val="236F4DED"/>
    <w:rsid w:val="23D12D0F"/>
    <w:rsid w:val="23D932A4"/>
    <w:rsid w:val="23F93FDA"/>
    <w:rsid w:val="241549B6"/>
    <w:rsid w:val="244304F5"/>
    <w:rsid w:val="24454DBB"/>
    <w:rsid w:val="245B30F5"/>
    <w:rsid w:val="24741AA9"/>
    <w:rsid w:val="249A168C"/>
    <w:rsid w:val="250E5714"/>
    <w:rsid w:val="253A1A3D"/>
    <w:rsid w:val="25463837"/>
    <w:rsid w:val="255D20D7"/>
    <w:rsid w:val="2583027F"/>
    <w:rsid w:val="25AC44BD"/>
    <w:rsid w:val="25BF279C"/>
    <w:rsid w:val="25C0008E"/>
    <w:rsid w:val="25F248E7"/>
    <w:rsid w:val="265E1E00"/>
    <w:rsid w:val="26B70F34"/>
    <w:rsid w:val="26BC57FF"/>
    <w:rsid w:val="270F57A5"/>
    <w:rsid w:val="271B052A"/>
    <w:rsid w:val="2773305E"/>
    <w:rsid w:val="27FD2071"/>
    <w:rsid w:val="2844585F"/>
    <w:rsid w:val="28C27865"/>
    <w:rsid w:val="28DB7E31"/>
    <w:rsid w:val="28F527FF"/>
    <w:rsid w:val="29470CFF"/>
    <w:rsid w:val="29815ED6"/>
    <w:rsid w:val="29A40AF9"/>
    <w:rsid w:val="29AD5A1E"/>
    <w:rsid w:val="29D9498D"/>
    <w:rsid w:val="2A4739D8"/>
    <w:rsid w:val="2A4A35DB"/>
    <w:rsid w:val="2A9205E2"/>
    <w:rsid w:val="2ADB7279"/>
    <w:rsid w:val="2AEF1D11"/>
    <w:rsid w:val="2AFA6515"/>
    <w:rsid w:val="2AFA6E2B"/>
    <w:rsid w:val="2B631EEF"/>
    <w:rsid w:val="2B8D0B93"/>
    <w:rsid w:val="2B8F7742"/>
    <w:rsid w:val="2B936EE2"/>
    <w:rsid w:val="2B9975A5"/>
    <w:rsid w:val="2BA51F34"/>
    <w:rsid w:val="2BAF6693"/>
    <w:rsid w:val="2C3E09EA"/>
    <w:rsid w:val="2C767662"/>
    <w:rsid w:val="2C7754A7"/>
    <w:rsid w:val="2C984005"/>
    <w:rsid w:val="2CC22422"/>
    <w:rsid w:val="2CC73F94"/>
    <w:rsid w:val="2CEC58DF"/>
    <w:rsid w:val="2CF800E8"/>
    <w:rsid w:val="2D000302"/>
    <w:rsid w:val="2D223C9E"/>
    <w:rsid w:val="2D3408CE"/>
    <w:rsid w:val="2D4F574B"/>
    <w:rsid w:val="2E4A085D"/>
    <w:rsid w:val="2E6252EF"/>
    <w:rsid w:val="2E7D1076"/>
    <w:rsid w:val="2EC502AC"/>
    <w:rsid w:val="2ED43283"/>
    <w:rsid w:val="2ED55161"/>
    <w:rsid w:val="2EFA733E"/>
    <w:rsid w:val="2F58022B"/>
    <w:rsid w:val="2FD20F8E"/>
    <w:rsid w:val="2FDC0A86"/>
    <w:rsid w:val="2FE93324"/>
    <w:rsid w:val="300900B6"/>
    <w:rsid w:val="30345B9D"/>
    <w:rsid w:val="303C0A0A"/>
    <w:rsid w:val="307B1D5F"/>
    <w:rsid w:val="30A15BF5"/>
    <w:rsid w:val="30FA4D85"/>
    <w:rsid w:val="328E3345"/>
    <w:rsid w:val="329860D6"/>
    <w:rsid w:val="32EA1B4F"/>
    <w:rsid w:val="33012B28"/>
    <w:rsid w:val="33242A1F"/>
    <w:rsid w:val="33374E9C"/>
    <w:rsid w:val="33467FB0"/>
    <w:rsid w:val="33921BC3"/>
    <w:rsid w:val="33F87396"/>
    <w:rsid w:val="34011C12"/>
    <w:rsid w:val="340F235B"/>
    <w:rsid w:val="341040A3"/>
    <w:rsid w:val="341C573A"/>
    <w:rsid w:val="348746EF"/>
    <w:rsid w:val="3488506E"/>
    <w:rsid w:val="3490285B"/>
    <w:rsid w:val="35122C2D"/>
    <w:rsid w:val="354A263A"/>
    <w:rsid w:val="358E303E"/>
    <w:rsid w:val="359F7E62"/>
    <w:rsid w:val="35A526DC"/>
    <w:rsid w:val="35CA3E08"/>
    <w:rsid w:val="35D12847"/>
    <w:rsid w:val="35E83110"/>
    <w:rsid w:val="35F7247C"/>
    <w:rsid w:val="362A38C8"/>
    <w:rsid w:val="36393D0C"/>
    <w:rsid w:val="36413B0C"/>
    <w:rsid w:val="36463772"/>
    <w:rsid w:val="365B39B9"/>
    <w:rsid w:val="36AD6F69"/>
    <w:rsid w:val="36AE69D5"/>
    <w:rsid w:val="36B43A30"/>
    <w:rsid w:val="36EE06FF"/>
    <w:rsid w:val="375130FA"/>
    <w:rsid w:val="37572BFA"/>
    <w:rsid w:val="379E54F1"/>
    <w:rsid w:val="37E54637"/>
    <w:rsid w:val="3817332C"/>
    <w:rsid w:val="38775845"/>
    <w:rsid w:val="38DE7DA7"/>
    <w:rsid w:val="38E95A50"/>
    <w:rsid w:val="38FF0CD8"/>
    <w:rsid w:val="392014C5"/>
    <w:rsid w:val="395363C1"/>
    <w:rsid w:val="39606C3F"/>
    <w:rsid w:val="39A67294"/>
    <w:rsid w:val="39C734DE"/>
    <w:rsid w:val="39E2590C"/>
    <w:rsid w:val="39E94F6D"/>
    <w:rsid w:val="3A2E4465"/>
    <w:rsid w:val="3A4A735A"/>
    <w:rsid w:val="3A766CC5"/>
    <w:rsid w:val="3AE15F6C"/>
    <w:rsid w:val="3AF37437"/>
    <w:rsid w:val="3AFF7C9B"/>
    <w:rsid w:val="3B436E9E"/>
    <w:rsid w:val="3B4612B4"/>
    <w:rsid w:val="3B6658B1"/>
    <w:rsid w:val="3C0C14DC"/>
    <w:rsid w:val="3C533960"/>
    <w:rsid w:val="3CB57C04"/>
    <w:rsid w:val="3CCC03F2"/>
    <w:rsid w:val="3CD63C34"/>
    <w:rsid w:val="3D417633"/>
    <w:rsid w:val="3D4B4DAF"/>
    <w:rsid w:val="3D5428C2"/>
    <w:rsid w:val="3D721387"/>
    <w:rsid w:val="3DD934C7"/>
    <w:rsid w:val="3E1113C8"/>
    <w:rsid w:val="3E2227E1"/>
    <w:rsid w:val="3E231471"/>
    <w:rsid w:val="3E542222"/>
    <w:rsid w:val="3EAE6216"/>
    <w:rsid w:val="3EC62270"/>
    <w:rsid w:val="3ED713D1"/>
    <w:rsid w:val="3EDF3909"/>
    <w:rsid w:val="3EE01AA5"/>
    <w:rsid w:val="3F031E32"/>
    <w:rsid w:val="3F0A40EA"/>
    <w:rsid w:val="3F4B388E"/>
    <w:rsid w:val="3F511B41"/>
    <w:rsid w:val="3F5B1D6E"/>
    <w:rsid w:val="3F873DFD"/>
    <w:rsid w:val="3F9D320F"/>
    <w:rsid w:val="3FCE0D85"/>
    <w:rsid w:val="3FCF52B7"/>
    <w:rsid w:val="3FD14C8A"/>
    <w:rsid w:val="3FD36B2B"/>
    <w:rsid w:val="3FDE1D7D"/>
    <w:rsid w:val="404E29BD"/>
    <w:rsid w:val="407B6BDD"/>
    <w:rsid w:val="407E208A"/>
    <w:rsid w:val="408875B0"/>
    <w:rsid w:val="40C32C9E"/>
    <w:rsid w:val="41461321"/>
    <w:rsid w:val="416C18DE"/>
    <w:rsid w:val="416F6F61"/>
    <w:rsid w:val="41717C30"/>
    <w:rsid w:val="420A0BC8"/>
    <w:rsid w:val="420C0C35"/>
    <w:rsid w:val="42380EAB"/>
    <w:rsid w:val="4245277A"/>
    <w:rsid w:val="42482604"/>
    <w:rsid w:val="429E5616"/>
    <w:rsid w:val="42AA0C00"/>
    <w:rsid w:val="432F24C4"/>
    <w:rsid w:val="435620BA"/>
    <w:rsid w:val="43990FE2"/>
    <w:rsid w:val="43BF4756"/>
    <w:rsid w:val="441B671B"/>
    <w:rsid w:val="44213883"/>
    <w:rsid w:val="44A2780A"/>
    <w:rsid w:val="44DD67F8"/>
    <w:rsid w:val="44E310EB"/>
    <w:rsid w:val="4508169D"/>
    <w:rsid w:val="453D2CDF"/>
    <w:rsid w:val="4576691E"/>
    <w:rsid w:val="45794B41"/>
    <w:rsid w:val="4646134A"/>
    <w:rsid w:val="46594691"/>
    <w:rsid w:val="466604FA"/>
    <w:rsid w:val="4691215F"/>
    <w:rsid w:val="46945B79"/>
    <w:rsid w:val="46A055ED"/>
    <w:rsid w:val="46AD149A"/>
    <w:rsid w:val="46AD3C05"/>
    <w:rsid w:val="47396431"/>
    <w:rsid w:val="47716F3E"/>
    <w:rsid w:val="47781CA0"/>
    <w:rsid w:val="47BA2C05"/>
    <w:rsid w:val="483E5A0B"/>
    <w:rsid w:val="486F76F9"/>
    <w:rsid w:val="487F68C6"/>
    <w:rsid w:val="48B51999"/>
    <w:rsid w:val="48B55AF2"/>
    <w:rsid w:val="49D13CED"/>
    <w:rsid w:val="4A373585"/>
    <w:rsid w:val="4AE17484"/>
    <w:rsid w:val="4B2E4881"/>
    <w:rsid w:val="4B422B04"/>
    <w:rsid w:val="4B8E24BC"/>
    <w:rsid w:val="4BA50E27"/>
    <w:rsid w:val="4BB73EC3"/>
    <w:rsid w:val="4BBC4FDF"/>
    <w:rsid w:val="4BDD3071"/>
    <w:rsid w:val="4BF9120F"/>
    <w:rsid w:val="4C0B0392"/>
    <w:rsid w:val="4C6714B0"/>
    <w:rsid w:val="4C7A15C4"/>
    <w:rsid w:val="4C8B26FB"/>
    <w:rsid w:val="4CEE7022"/>
    <w:rsid w:val="4D1E2439"/>
    <w:rsid w:val="4D214FAA"/>
    <w:rsid w:val="4D3F1853"/>
    <w:rsid w:val="4D866CBD"/>
    <w:rsid w:val="4D922758"/>
    <w:rsid w:val="4DC80AE8"/>
    <w:rsid w:val="4DD96FA1"/>
    <w:rsid w:val="4DFE0E68"/>
    <w:rsid w:val="4E0E3C41"/>
    <w:rsid w:val="4E302AC6"/>
    <w:rsid w:val="4F0D0250"/>
    <w:rsid w:val="4F2639FD"/>
    <w:rsid w:val="4F665993"/>
    <w:rsid w:val="4F7A261F"/>
    <w:rsid w:val="4F8A51DF"/>
    <w:rsid w:val="4FB47995"/>
    <w:rsid w:val="501A76B5"/>
    <w:rsid w:val="501C67BC"/>
    <w:rsid w:val="503E2D41"/>
    <w:rsid w:val="50494086"/>
    <w:rsid w:val="50694318"/>
    <w:rsid w:val="50A35BD8"/>
    <w:rsid w:val="50E93182"/>
    <w:rsid w:val="512532FD"/>
    <w:rsid w:val="516D45F0"/>
    <w:rsid w:val="51974403"/>
    <w:rsid w:val="51A63372"/>
    <w:rsid w:val="51C87B24"/>
    <w:rsid w:val="52207512"/>
    <w:rsid w:val="5223224B"/>
    <w:rsid w:val="5241165A"/>
    <w:rsid w:val="52E636EB"/>
    <w:rsid w:val="5307074E"/>
    <w:rsid w:val="53516B20"/>
    <w:rsid w:val="535B199D"/>
    <w:rsid w:val="53641E9C"/>
    <w:rsid w:val="53816B8D"/>
    <w:rsid w:val="53AE6DDD"/>
    <w:rsid w:val="53CF21F1"/>
    <w:rsid w:val="54002387"/>
    <w:rsid w:val="542F326D"/>
    <w:rsid w:val="54A84FC1"/>
    <w:rsid w:val="54C22F0D"/>
    <w:rsid w:val="54CE2046"/>
    <w:rsid w:val="54DC1F7C"/>
    <w:rsid w:val="551819FB"/>
    <w:rsid w:val="552A0162"/>
    <w:rsid w:val="554E49F5"/>
    <w:rsid w:val="56005411"/>
    <w:rsid w:val="563C13B6"/>
    <w:rsid w:val="56C27CBF"/>
    <w:rsid w:val="56DE11FD"/>
    <w:rsid w:val="570A2306"/>
    <w:rsid w:val="57153DEC"/>
    <w:rsid w:val="57241CD8"/>
    <w:rsid w:val="573F6B57"/>
    <w:rsid w:val="579F39A9"/>
    <w:rsid w:val="57AE18B6"/>
    <w:rsid w:val="5813471B"/>
    <w:rsid w:val="589059D4"/>
    <w:rsid w:val="5907422D"/>
    <w:rsid w:val="598E036C"/>
    <w:rsid w:val="598E50D3"/>
    <w:rsid w:val="59D162F3"/>
    <w:rsid w:val="59D173EA"/>
    <w:rsid w:val="59FB355E"/>
    <w:rsid w:val="59FC0E3D"/>
    <w:rsid w:val="5A275A10"/>
    <w:rsid w:val="5A7D5D60"/>
    <w:rsid w:val="5A940152"/>
    <w:rsid w:val="5A9E2803"/>
    <w:rsid w:val="5ACD6447"/>
    <w:rsid w:val="5B295DC9"/>
    <w:rsid w:val="5B473C3A"/>
    <w:rsid w:val="5B4C0EB1"/>
    <w:rsid w:val="5B6A035F"/>
    <w:rsid w:val="5B822B5F"/>
    <w:rsid w:val="5B8C07EC"/>
    <w:rsid w:val="5B994CC1"/>
    <w:rsid w:val="5C2A0FBF"/>
    <w:rsid w:val="5C42010C"/>
    <w:rsid w:val="5C6B4E24"/>
    <w:rsid w:val="5CA303D6"/>
    <w:rsid w:val="5CC30A12"/>
    <w:rsid w:val="5CF25A30"/>
    <w:rsid w:val="5CF468AE"/>
    <w:rsid w:val="5D0703E4"/>
    <w:rsid w:val="5D667334"/>
    <w:rsid w:val="5E384E99"/>
    <w:rsid w:val="5E3C0669"/>
    <w:rsid w:val="5E5A545A"/>
    <w:rsid w:val="5EE00F68"/>
    <w:rsid w:val="5EF217A5"/>
    <w:rsid w:val="5F591647"/>
    <w:rsid w:val="5F7550FA"/>
    <w:rsid w:val="5F9B1FD6"/>
    <w:rsid w:val="5FBD4385"/>
    <w:rsid w:val="5FC508FA"/>
    <w:rsid w:val="5FEF0198"/>
    <w:rsid w:val="5FF17D4E"/>
    <w:rsid w:val="5FF92627"/>
    <w:rsid w:val="606B793D"/>
    <w:rsid w:val="60F15879"/>
    <w:rsid w:val="6143383A"/>
    <w:rsid w:val="61540D97"/>
    <w:rsid w:val="61656146"/>
    <w:rsid w:val="6166642A"/>
    <w:rsid w:val="619934E5"/>
    <w:rsid w:val="61A92701"/>
    <w:rsid w:val="61DC0FC1"/>
    <w:rsid w:val="61F46736"/>
    <w:rsid w:val="62081B74"/>
    <w:rsid w:val="6250462A"/>
    <w:rsid w:val="6278746B"/>
    <w:rsid w:val="62EE2715"/>
    <w:rsid w:val="635A1E40"/>
    <w:rsid w:val="63656748"/>
    <w:rsid w:val="637B39C5"/>
    <w:rsid w:val="642E54C4"/>
    <w:rsid w:val="643545DD"/>
    <w:rsid w:val="646E0968"/>
    <w:rsid w:val="64C70E34"/>
    <w:rsid w:val="650B6242"/>
    <w:rsid w:val="65186C37"/>
    <w:rsid w:val="65601B0C"/>
    <w:rsid w:val="6585399E"/>
    <w:rsid w:val="65885680"/>
    <w:rsid w:val="65C02A7E"/>
    <w:rsid w:val="65D733DD"/>
    <w:rsid w:val="661B2204"/>
    <w:rsid w:val="667401E5"/>
    <w:rsid w:val="669B0354"/>
    <w:rsid w:val="66E947EF"/>
    <w:rsid w:val="671A180A"/>
    <w:rsid w:val="67586024"/>
    <w:rsid w:val="675E2298"/>
    <w:rsid w:val="676346E9"/>
    <w:rsid w:val="676E0456"/>
    <w:rsid w:val="67812FA0"/>
    <w:rsid w:val="680A1A3C"/>
    <w:rsid w:val="68170BB6"/>
    <w:rsid w:val="688756A3"/>
    <w:rsid w:val="689214C8"/>
    <w:rsid w:val="68BE3FF4"/>
    <w:rsid w:val="68E10C3B"/>
    <w:rsid w:val="68F244B3"/>
    <w:rsid w:val="69154B82"/>
    <w:rsid w:val="69446F50"/>
    <w:rsid w:val="696F17AA"/>
    <w:rsid w:val="6A04082B"/>
    <w:rsid w:val="6A0C2717"/>
    <w:rsid w:val="6AB568D0"/>
    <w:rsid w:val="6B394B5F"/>
    <w:rsid w:val="6B6B61CB"/>
    <w:rsid w:val="6B722F46"/>
    <w:rsid w:val="6B737C4C"/>
    <w:rsid w:val="6BE7529D"/>
    <w:rsid w:val="6C0D3245"/>
    <w:rsid w:val="6C236865"/>
    <w:rsid w:val="6D0040A5"/>
    <w:rsid w:val="6D6F0BFA"/>
    <w:rsid w:val="6DD251C7"/>
    <w:rsid w:val="6DF91F92"/>
    <w:rsid w:val="6E5B18FA"/>
    <w:rsid w:val="6E801E64"/>
    <w:rsid w:val="6E970C32"/>
    <w:rsid w:val="6EB94E23"/>
    <w:rsid w:val="6EBC2EB6"/>
    <w:rsid w:val="6EC16685"/>
    <w:rsid w:val="6EF61FAE"/>
    <w:rsid w:val="6EFA4594"/>
    <w:rsid w:val="6F4F483E"/>
    <w:rsid w:val="6F82670D"/>
    <w:rsid w:val="6F862DCC"/>
    <w:rsid w:val="6F9054DF"/>
    <w:rsid w:val="6FA81086"/>
    <w:rsid w:val="6FB7529A"/>
    <w:rsid w:val="6FC71BEA"/>
    <w:rsid w:val="70C14A45"/>
    <w:rsid w:val="70EB2465"/>
    <w:rsid w:val="71164E43"/>
    <w:rsid w:val="71304BFF"/>
    <w:rsid w:val="71520CED"/>
    <w:rsid w:val="718B32F7"/>
    <w:rsid w:val="718E6443"/>
    <w:rsid w:val="71970E49"/>
    <w:rsid w:val="720E6064"/>
    <w:rsid w:val="721C4FC6"/>
    <w:rsid w:val="72282FC2"/>
    <w:rsid w:val="72492FC8"/>
    <w:rsid w:val="7291747F"/>
    <w:rsid w:val="72AD09D9"/>
    <w:rsid w:val="72B71556"/>
    <w:rsid w:val="72D93793"/>
    <w:rsid w:val="73716A37"/>
    <w:rsid w:val="737D5DDA"/>
    <w:rsid w:val="73FA4F03"/>
    <w:rsid w:val="746C247E"/>
    <w:rsid w:val="74DA6522"/>
    <w:rsid w:val="74F27AD7"/>
    <w:rsid w:val="753425E1"/>
    <w:rsid w:val="7545499A"/>
    <w:rsid w:val="7568465D"/>
    <w:rsid w:val="75714C39"/>
    <w:rsid w:val="75987484"/>
    <w:rsid w:val="75C17932"/>
    <w:rsid w:val="75C2112C"/>
    <w:rsid w:val="763F4C46"/>
    <w:rsid w:val="76622DA4"/>
    <w:rsid w:val="76762C01"/>
    <w:rsid w:val="76767887"/>
    <w:rsid w:val="76874F3D"/>
    <w:rsid w:val="76A145D6"/>
    <w:rsid w:val="7708252E"/>
    <w:rsid w:val="77235AEF"/>
    <w:rsid w:val="773F1506"/>
    <w:rsid w:val="77DA33BA"/>
    <w:rsid w:val="77EE511A"/>
    <w:rsid w:val="77F27432"/>
    <w:rsid w:val="77FA6DC3"/>
    <w:rsid w:val="78AA391F"/>
    <w:rsid w:val="78E330E9"/>
    <w:rsid w:val="78E343FA"/>
    <w:rsid w:val="79672B87"/>
    <w:rsid w:val="79820051"/>
    <w:rsid w:val="79922992"/>
    <w:rsid w:val="79E743BD"/>
    <w:rsid w:val="7A075CA3"/>
    <w:rsid w:val="7A216EE0"/>
    <w:rsid w:val="7A447511"/>
    <w:rsid w:val="7A8F5D9E"/>
    <w:rsid w:val="7AC62629"/>
    <w:rsid w:val="7AD13279"/>
    <w:rsid w:val="7B2B777A"/>
    <w:rsid w:val="7B3713BD"/>
    <w:rsid w:val="7B570EE3"/>
    <w:rsid w:val="7B8E5309"/>
    <w:rsid w:val="7BDD1743"/>
    <w:rsid w:val="7BE61F1A"/>
    <w:rsid w:val="7C546497"/>
    <w:rsid w:val="7C6617C4"/>
    <w:rsid w:val="7C7D1B9B"/>
    <w:rsid w:val="7C9407B3"/>
    <w:rsid w:val="7CA67452"/>
    <w:rsid w:val="7CAD0DFD"/>
    <w:rsid w:val="7CDB6D88"/>
    <w:rsid w:val="7D077989"/>
    <w:rsid w:val="7D514976"/>
    <w:rsid w:val="7D8A048B"/>
    <w:rsid w:val="7E9D6888"/>
    <w:rsid w:val="7EE63BDE"/>
    <w:rsid w:val="7EE968FC"/>
    <w:rsid w:val="7F045EFE"/>
    <w:rsid w:val="7F0770BF"/>
    <w:rsid w:val="7F0940D3"/>
    <w:rsid w:val="7F59769F"/>
    <w:rsid w:val="7F897BEE"/>
    <w:rsid w:val="7F8D6564"/>
    <w:rsid w:val="7F8F51E4"/>
    <w:rsid w:val="7FF8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3">
    <w:name w:val="FollowedHyperlink"/>
    <w:basedOn w:val="12"/>
    <w:uiPriority w:val="0"/>
    <w:rPr>
      <w:color w:val="000000"/>
      <w:u w:val="none"/>
      <w:bdr w:val="none" w:color="auto" w:sz="0" w:space="0"/>
    </w:rPr>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棉花现货报价</a:t>
            </a:r>
          </a:p>
        </c:rich>
      </c:tx>
      <c:layout/>
      <c:overlay val="0"/>
      <c:spPr>
        <a:noFill/>
        <a:ln>
          <a:noFill/>
        </a:ln>
        <a:effectLst/>
      </c:spPr>
    </c:title>
    <c:autoTitleDeleted val="0"/>
    <c:plotArea>
      <c:layout/>
      <c:lineChart>
        <c:grouping val="standard"/>
        <c:varyColors val="0"/>
        <c:ser>
          <c:idx val="0"/>
          <c:order val="0"/>
          <c:tx>
            <c:strRef>
              <c:f>[刘嘉琳数据库.xlsx]棉花现货!$C$2</c:f>
              <c:strCache>
                <c:ptCount val="1"/>
                <c:pt idx="0">
                  <c:v>CCIndex 3128B</c:v>
                </c:pt>
              </c:strCache>
            </c:strRef>
          </c:tx>
          <c:spPr>
            <a:ln w="28575" cap="rnd">
              <a:solidFill>
                <a:schemeClr val="accent2"/>
              </a:solidFill>
              <a:round/>
            </a:ln>
            <a:effectLst/>
          </c:spPr>
          <c:marker>
            <c:symbol val="none"/>
          </c:marker>
          <c:dLbls>
            <c:delete val="1"/>
          </c:dLbls>
          <c:cat>
            <c:strRef>
              <c:f>[刘嘉琳数据库.xlsx]棉花现货!$B$3:$B$62</c:f>
              <c:strCache>
                <c:ptCount val="60"/>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strCache>
            </c:strRef>
          </c:cat>
          <c:val>
            <c:numRef>
              <c:f>[刘嘉琳数据库.xlsx]棉花现货!$C$3:$C$62</c:f>
              <c:numCache>
                <c:formatCode>General</c:formatCode>
                <c:ptCount val="60"/>
                <c:pt idx="0">
                  <c:v>15636</c:v>
                </c:pt>
                <c:pt idx="1">
                  <c:v>15603</c:v>
                </c:pt>
                <c:pt idx="2">
                  <c:v>15577</c:v>
                </c:pt>
                <c:pt idx="3">
                  <c:v>15546</c:v>
                </c:pt>
                <c:pt idx="4">
                  <c:v>15533</c:v>
                </c:pt>
                <c:pt idx="5">
                  <c:v>15531</c:v>
                </c:pt>
                <c:pt idx="6">
                  <c:v>15522</c:v>
                </c:pt>
                <c:pt idx="7">
                  <c:v>15511</c:v>
                </c:pt>
                <c:pt idx="8">
                  <c:v>15506</c:v>
                </c:pt>
                <c:pt idx="9">
                  <c:v>15505</c:v>
                </c:pt>
                <c:pt idx="10">
                  <c:v>15498</c:v>
                </c:pt>
                <c:pt idx="11">
                  <c:v>15497</c:v>
                </c:pt>
                <c:pt idx="12">
                  <c:v>15486</c:v>
                </c:pt>
                <c:pt idx="13">
                  <c:v>15485</c:v>
                </c:pt>
                <c:pt idx="14">
                  <c:v>15483</c:v>
                </c:pt>
                <c:pt idx="15">
                  <c:v>15481</c:v>
                </c:pt>
                <c:pt idx="16">
                  <c:v>15481</c:v>
                </c:pt>
                <c:pt idx="17">
                  <c:v>15482</c:v>
                </c:pt>
                <c:pt idx="18">
                  <c:v>15479</c:v>
                </c:pt>
                <c:pt idx="19">
                  <c:v>15463</c:v>
                </c:pt>
                <c:pt idx="20">
                  <c:v>15456</c:v>
                </c:pt>
                <c:pt idx="21">
                  <c:v>15451</c:v>
                </c:pt>
                <c:pt idx="22">
                  <c:v>15453</c:v>
                </c:pt>
                <c:pt idx="23">
                  <c:v>15451</c:v>
                </c:pt>
                <c:pt idx="24">
                  <c:v>15462</c:v>
                </c:pt>
                <c:pt idx="25">
                  <c:v>15465</c:v>
                </c:pt>
                <c:pt idx="26">
                  <c:v>15478</c:v>
                </c:pt>
                <c:pt idx="27">
                  <c:v>15506</c:v>
                </c:pt>
                <c:pt idx="28">
                  <c:v>15509</c:v>
                </c:pt>
                <c:pt idx="29">
                  <c:v>15518</c:v>
                </c:pt>
                <c:pt idx="30">
                  <c:v>15525</c:v>
                </c:pt>
                <c:pt idx="31">
                  <c:v>15538</c:v>
                </c:pt>
                <c:pt idx="32">
                  <c:v>15543</c:v>
                </c:pt>
                <c:pt idx="33">
                  <c:v>15546</c:v>
                </c:pt>
                <c:pt idx="34">
                  <c:v>15657</c:v>
                </c:pt>
                <c:pt idx="35">
                  <c:v>15696</c:v>
                </c:pt>
                <c:pt idx="36">
                  <c:v>15753</c:v>
                </c:pt>
                <c:pt idx="37">
                  <c:v>15928</c:v>
                </c:pt>
                <c:pt idx="38">
                  <c:v>16023</c:v>
                </c:pt>
                <c:pt idx="39">
                  <c:v>16012</c:v>
                </c:pt>
                <c:pt idx="40">
                  <c:v>16043</c:v>
                </c:pt>
                <c:pt idx="41">
                  <c:v>16100</c:v>
                </c:pt>
                <c:pt idx="42">
                  <c:v>16136</c:v>
                </c:pt>
                <c:pt idx="43">
                  <c:v>16398</c:v>
                </c:pt>
                <c:pt idx="44">
                  <c:v>16611</c:v>
                </c:pt>
                <c:pt idx="45">
                  <c:v>16752</c:v>
                </c:pt>
                <c:pt idx="46">
                  <c:v>16900</c:v>
                </c:pt>
                <c:pt idx="47">
                  <c:v>16897</c:v>
                </c:pt>
                <c:pt idx="48">
                  <c:v>16662</c:v>
                </c:pt>
                <c:pt idx="49">
                  <c:v>16461</c:v>
                </c:pt>
                <c:pt idx="50">
                  <c:v>16458</c:v>
                </c:pt>
                <c:pt idx="51">
                  <c:v>16407</c:v>
                </c:pt>
                <c:pt idx="52">
                  <c:v>16405</c:v>
                </c:pt>
                <c:pt idx="53">
                  <c:v>16403</c:v>
                </c:pt>
                <c:pt idx="54">
                  <c:v>16401</c:v>
                </c:pt>
                <c:pt idx="55">
                  <c:v>16401</c:v>
                </c:pt>
                <c:pt idx="56">
                  <c:v>16402</c:v>
                </c:pt>
                <c:pt idx="57">
                  <c:v>16379</c:v>
                </c:pt>
                <c:pt idx="58">
                  <c:v>16363</c:v>
                </c:pt>
                <c:pt idx="59">
                  <c:v>16353</c:v>
                </c:pt>
              </c:numCache>
            </c:numRef>
          </c:val>
          <c:smooth val="0"/>
        </c:ser>
        <c:dLbls>
          <c:showLegendKey val="0"/>
          <c:showVal val="0"/>
          <c:showCatName val="0"/>
          <c:showSerName val="0"/>
          <c:showPercent val="0"/>
          <c:showBubbleSize val="0"/>
        </c:dLbls>
        <c:marker val="0"/>
        <c:smooth val="0"/>
        <c:axId val="592375066"/>
        <c:axId val="694635322"/>
      </c:lineChart>
      <c:lineChart>
        <c:grouping val="standard"/>
        <c:varyColors val="0"/>
        <c:ser>
          <c:idx val="1"/>
          <c:order val="1"/>
          <c:tx>
            <c:strRef>
              <c:f>[刘嘉琳数据库.xlsx]棉花现货!$D$2</c:f>
              <c:strCache>
                <c:ptCount val="1"/>
                <c:pt idx="0">
                  <c:v>FC Index M</c:v>
                </c:pt>
              </c:strCache>
            </c:strRef>
          </c:tx>
          <c:spPr>
            <a:ln w="28575" cap="rnd">
              <a:solidFill>
                <a:schemeClr val="accent4"/>
              </a:solidFill>
              <a:round/>
            </a:ln>
            <a:effectLst/>
          </c:spPr>
          <c:marker>
            <c:symbol val="none"/>
          </c:marker>
          <c:dLbls>
            <c:delete val="1"/>
          </c:dLbls>
          <c:cat>
            <c:strRef>
              <c:f>[刘嘉琳数据库.xlsx]棉花现货!$B$3:$B$62</c:f>
              <c:strCache>
                <c:ptCount val="60"/>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strCache>
            </c:strRef>
          </c:cat>
          <c:val>
            <c:numRef>
              <c:f>[刘嘉琳数据库.xlsx]棉花现货!$D$3:$D$62</c:f>
              <c:numCache>
                <c:formatCode>General</c:formatCode>
                <c:ptCount val="60"/>
                <c:pt idx="0">
                  <c:v>91.44</c:v>
                </c:pt>
                <c:pt idx="1">
                  <c:v>91.44</c:v>
                </c:pt>
                <c:pt idx="2">
                  <c:v>91.66</c:v>
                </c:pt>
                <c:pt idx="3">
                  <c:v>90.79</c:v>
                </c:pt>
                <c:pt idx="4">
                  <c:v>90.8</c:v>
                </c:pt>
                <c:pt idx="5">
                  <c:v>90.35</c:v>
                </c:pt>
                <c:pt idx="6">
                  <c:v>92.05</c:v>
                </c:pt>
                <c:pt idx="7">
                  <c:v>91.14</c:v>
                </c:pt>
                <c:pt idx="8">
                  <c:v>91.82</c:v>
                </c:pt>
                <c:pt idx="9">
                  <c:v>92.37</c:v>
                </c:pt>
                <c:pt idx="10">
                  <c:v>92.23</c:v>
                </c:pt>
                <c:pt idx="11">
                  <c:v>92.44</c:v>
                </c:pt>
                <c:pt idx="12">
                  <c:v>92.16</c:v>
                </c:pt>
                <c:pt idx="13">
                  <c:v>92.14</c:v>
                </c:pt>
                <c:pt idx="14">
                  <c:v>92.11</c:v>
                </c:pt>
                <c:pt idx="15">
                  <c:v>92.06</c:v>
                </c:pt>
                <c:pt idx="16">
                  <c:v>91.61</c:v>
                </c:pt>
                <c:pt idx="17">
                  <c:v>91.56</c:v>
                </c:pt>
                <c:pt idx="18">
                  <c:v>92.9</c:v>
                </c:pt>
                <c:pt idx="19">
                  <c:v>92.13</c:v>
                </c:pt>
                <c:pt idx="20">
                  <c:v>91.05</c:v>
                </c:pt>
                <c:pt idx="21">
                  <c:v>93.28</c:v>
                </c:pt>
                <c:pt idx="22">
                  <c:v>93.58</c:v>
                </c:pt>
                <c:pt idx="23">
                  <c:v>94.06</c:v>
                </c:pt>
                <c:pt idx="24">
                  <c:v>94.11</c:v>
                </c:pt>
                <c:pt idx="25">
                  <c:v>93.91</c:v>
                </c:pt>
                <c:pt idx="26">
                  <c:v>96.28</c:v>
                </c:pt>
                <c:pt idx="27">
                  <c:v>95.46</c:v>
                </c:pt>
                <c:pt idx="28">
                  <c:v>94.87</c:v>
                </c:pt>
                <c:pt idx="29">
                  <c:v>95.15</c:v>
                </c:pt>
                <c:pt idx="30">
                  <c:v>93.97</c:v>
                </c:pt>
                <c:pt idx="31">
                  <c:v>93.97</c:v>
                </c:pt>
                <c:pt idx="32">
                  <c:v>92.95</c:v>
                </c:pt>
                <c:pt idx="33">
                  <c:v>92.95</c:v>
                </c:pt>
                <c:pt idx="34">
                  <c:v>93.42</c:v>
                </c:pt>
                <c:pt idx="35">
                  <c:v>94.13</c:v>
                </c:pt>
                <c:pt idx="36">
                  <c:v>95.47</c:v>
                </c:pt>
                <c:pt idx="37">
                  <c:v>96.16</c:v>
                </c:pt>
                <c:pt idx="38">
                  <c:v>95.18</c:v>
                </c:pt>
                <c:pt idx="39">
                  <c:v>94.73</c:v>
                </c:pt>
                <c:pt idx="40">
                  <c:v>95.23</c:v>
                </c:pt>
                <c:pt idx="41">
                  <c:v>96.93</c:v>
                </c:pt>
                <c:pt idx="42">
                  <c:v>100.93</c:v>
                </c:pt>
                <c:pt idx="43">
                  <c:v>100.93</c:v>
                </c:pt>
                <c:pt idx="44">
                  <c:v>100.19</c:v>
                </c:pt>
                <c:pt idx="45">
                  <c:v>100.88</c:v>
                </c:pt>
                <c:pt idx="46">
                  <c:v>101.1</c:v>
                </c:pt>
                <c:pt idx="47">
                  <c:v>99.85</c:v>
                </c:pt>
                <c:pt idx="48">
                  <c:v>98.03</c:v>
                </c:pt>
                <c:pt idx="49">
                  <c:v>99.55</c:v>
                </c:pt>
                <c:pt idx="50">
                  <c:v>102.22</c:v>
                </c:pt>
                <c:pt idx="51">
                  <c:v>103.44</c:v>
                </c:pt>
                <c:pt idx="52">
                  <c:v>103.44</c:v>
                </c:pt>
                <c:pt idx="53">
                  <c:v>103.18</c:v>
                </c:pt>
                <c:pt idx="54">
                  <c:v>103.18</c:v>
                </c:pt>
                <c:pt idx="55">
                  <c:v>103.18</c:v>
                </c:pt>
                <c:pt idx="56">
                  <c:v>100.23</c:v>
                </c:pt>
                <c:pt idx="57">
                  <c:v>96.36</c:v>
                </c:pt>
                <c:pt idx="58">
                  <c:v>96.36</c:v>
                </c:pt>
                <c:pt idx="59">
                  <c:v>96.36</c:v>
                </c:pt>
              </c:numCache>
            </c:numRef>
          </c:val>
          <c:smooth val="0"/>
        </c:ser>
        <c:ser>
          <c:idx val="2"/>
          <c:order val="2"/>
          <c:tx>
            <c:strRef>
              <c:f>[刘嘉琳数据库.xlsx]棉花现货!$E$2</c:f>
              <c:strCache>
                <c:ptCount val="1"/>
                <c:pt idx="0">
                  <c:v>Cotlook A</c:v>
                </c:pt>
              </c:strCache>
            </c:strRef>
          </c:tx>
          <c:spPr>
            <a:ln w="28575" cap="rnd">
              <a:solidFill>
                <a:schemeClr val="accent6"/>
              </a:solidFill>
              <a:round/>
            </a:ln>
            <a:effectLst/>
          </c:spPr>
          <c:marker>
            <c:symbol val="none"/>
          </c:marker>
          <c:dLbls>
            <c:delete val="1"/>
          </c:dLbls>
          <c:cat>
            <c:strRef>
              <c:f>[刘嘉琳数据库.xlsx]棉花现货!$B$3:$B$62</c:f>
              <c:strCache>
                <c:ptCount val="60"/>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strCache>
            </c:strRef>
          </c:cat>
          <c:val>
            <c:numRef>
              <c:f>[刘嘉琳数据库.xlsx]棉花现货!$E$3:$E$61</c:f>
              <c:numCache>
                <c:formatCode>General</c:formatCode>
                <c:ptCount val="59"/>
                <c:pt idx="0">
                  <c:v>91</c:v>
                </c:pt>
                <c:pt idx="1">
                  <c:v>91.05</c:v>
                </c:pt>
                <c:pt idx="2">
                  <c:v>90.69</c:v>
                </c:pt>
                <c:pt idx="3">
                  <c:v>89.95</c:v>
                </c:pt>
                <c:pt idx="4">
                  <c:v>89.95</c:v>
                </c:pt>
                <c:pt idx="5">
                  <c:v>89.95</c:v>
                </c:pt>
                <c:pt idx="6">
                  <c:v>89.95</c:v>
                </c:pt>
                <c:pt idx="7">
                  <c:v>92.05</c:v>
                </c:pt>
                <c:pt idx="8">
                  <c:v>92.05</c:v>
                </c:pt>
                <c:pt idx="9">
                  <c:v>92.05</c:v>
                </c:pt>
                <c:pt idx="10">
                  <c:v>92.05</c:v>
                </c:pt>
                <c:pt idx="11">
                  <c:v>93.05</c:v>
                </c:pt>
                <c:pt idx="12">
                  <c:v>92.95</c:v>
                </c:pt>
                <c:pt idx="13">
                  <c:v>92.65</c:v>
                </c:pt>
                <c:pt idx="14">
                  <c:v>92.45</c:v>
                </c:pt>
                <c:pt idx="15">
                  <c:v>92.2</c:v>
                </c:pt>
                <c:pt idx="16">
                  <c:v>91.7</c:v>
                </c:pt>
                <c:pt idx="17">
                  <c:v>91.95</c:v>
                </c:pt>
                <c:pt idx="18">
                  <c:v>93.8</c:v>
                </c:pt>
                <c:pt idx="19">
                  <c:v>93.2</c:v>
                </c:pt>
                <c:pt idx="20">
                  <c:v>90.7</c:v>
                </c:pt>
                <c:pt idx="21">
                  <c:v>91.2</c:v>
                </c:pt>
                <c:pt idx="22">
                  <c:v>93.7</c:v>
                </c:pt>
                <c:pt idx="23">
                  <c:v>93</c:v>
                </c:pt>
                <c:pt idx="24">
                  <c:v>93.25</c:v>
                </c:pt>
                <c:pt idx="25">
                  <c:v>93.5</c:v>
                </c:pt>
                <c:pt idx="26">
                  <c:v>93.25</c:v>
                </c:pt>
                <c:pt idx="27">
                  <c:v>94.65</c:v>
                </c:pt>
                <c:pt idx="28">
                  <c:v>93.95</c:v>
                </c:pt>
                <c:pt idx="29">
                  <c:v>94.35</c:v>
                </c:pt>
                <c:pt idx="30">
                  <c:v>93.1</c:v>
                </c:pt>
                <c:pt idx="31">
                  <c:v>93.1</c:v>
                </c:pt>
                <c:pt idx="32">
                  <c:v>92.1</c:v>
                </c:pt>
                <c:pt idx="33">
                  <c:v>92.05</c:v>
                </c:pt>
                <c:pt idx="34">
                  <c:v>92.5</c:v>
                </c:pt>
                <c:pt idx="35">
                  <c:v>93.5</c:v>
                </c:pt>
                <c:pt idx="36">
                  <c:v>94.45</c:v>
                </c:pt>
                <c:pt idx="37">
                  <c:v>95.9</c:v>
                </c:pt>
                <c:pt idx="38">
                  <c:v>94.9</c:v>
                </c:pt>
                <c:pt idx="39">
                  <c:v>94.45</c:v>
                </c:pt>
                <c:pt idx="40">
                  <c:v>94.95</c:v>
                </c:pt>
                <c:pt idx="41">
                  <c:v>96.7</c:v>
                </c:pt>
                <c:pt idx="42">
                  <c:v>100.7</c:v>
                </c:pt>
                <c:pt idx="43">
                  <c:v>99.95</c:v>
                </c:pt>
                <c:pt idx="44">
                  <c:v>99.95</c:v>
                </c:pt>
                <c:pt idx="45">
                  <c:v>100.7</c:v>
                </c:pt>
                <c:pt idx="46">
                  <c:v>100.75</c:v>
                </c:pt>
                <c:pt idx="47">
                  <c:v>99.6</c:v>
                </c:pt>
                <c:pt idx="48">
                  <c:v>97.5</c:v>
                </c:pt>
                <c:pt idx="49">
                  <c:v>99</c:v>
                </c:pt>
                <c:pt idx="50">
                  <c:v>101.35</c:v>
                </c:pt>
                <c:pt idx="51">
                  <c:v>101.35</c:v>
                </c:pt>
                <c:pt idx="52">
                  <c:v>100.65</c:v>
                </c:pt>
                <c:pt idx="53">
                  <c:v>101.7</c:v>
                </c:pt>
                <c:pt idx="54">
                  <c:v>101.45</c:v>
                </c:pt>
                <c:pt idx="55">
                  <c:v>98.85</c:v>
                </c:pt>
                <c:pt idx="56">
                  <c:v>96.95</c:v>
                </c:pt>
                <c:pt idx="57">
                  <c:v>93</c:v>
                </c:pt>
                <c:pt idx="58">
                  <c:v>93.4</c:v>
                </c:pt>
              </c:numCache>
            </c:numRef>
          </c:val>
          <c:smooth val="0"/>
        </c:ser>
        <c:dLbls>
          <c:showLegendKey val="0"/>
          <c:showVal val="0"/>
          <c:showCatName val="0"/>
          <c:showSerName val="0"/>
          <c:showPercent val="0"/>
          <c:showBubbleSize val="0"/>
        </c:dLbls>
        <c:marker val="0"/>
        <c:smooth val="0"/>
        <c:axId val="52951666"/>
        <c:axId val="699360147"/>
      </c:lineChart>
      <c:catAx>
        <c:axId val="5923750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322"/>
        <c:crosses val="autoZero"/>
        <c:auto val="1"/>
        <c:lblAlgn val="ctr"/>
        <c:lblOffset val="100"/>
        <c:noMultiLvlLbl val="0"/>
      </c:catAx>
      <c:valAx>
        <c:axId val="6946353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2375066"/>
        <c:crosses val="autoZero"/>
        <c:crossBetween val="between"/>
      </c:valAx>
      <c:catAx>
        <c:axId val="52951666"/>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360147"/>
        <c:crosses val="autoZero"/>
        <c:auto val="1"/>
        <c:lblAlgn val="ctr"/>
        <c:lblOffset val="100"/>
        <c:noMultiLvlLbl val="0"/>
      </c:catAx>
      <c:valAx>
        <c:axId val="699360147"/>
        <c:scaling>
          <c:orientation val="minMax"/>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5166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棉纱现货报价</a:t>
            </a:r>
          </a:p>
        </c:rich>
      </c:tx>
      <c:layout/>
      <c:overlay val="0"/>
      <c:spPr>
        <a:noFill/>
        <a:ln>
          <a:noFill/>
        </a:ln>
        <a:effectLst/>
      </c:spPr>
    </c:title>
    <c:autoTitleDeleted val="0"/>
    <c:plotArea>
      <c:layout/>
      <c:areaChart>
        <c:grouping val="standard"/>
        <c:varyColors val="0"/>
        <c:ser>
          <c:idx val="2"/>
          <c:order val="2"/>
          <c:tx>
            <c:strRef>
              <c:f>[刘嘉琳数据库.xlsx]棉花现货!$K$2</c:f>
              <c:strCache>
                <c:ptCount val="1"/>
                <c:pt idx="0">
                  <c:v>内外棉纱价差</c:v>
                </c:pt>
              </c:strCache>
            </c:strRef>
          </c:tx>
          <c:spPr>
            <a:solidFill>
              <a:schemeClr val="accent6"/>
            </a:solidFill>
            <a:ln>
              <a:noFill/>
            </a:ln>
            <a:effectLst/>
          </c:spPr>
          <c:dLbls>
            <c:delete val="1"/>
          </c:dLbls>
          <c:cat>
            <c:strRef>
              <c:f>[刘嘉琳数据库.xlsx]棉花现货!$B$32:$B$52</c:f>
              <c:strCache>
                <c:ptCount val="21"/>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strCache>
            </c:strRef>
          </c:cat>
          <c:val>
            <c:numRef>
              <c:f>[刘嘉琳数据库.xlsx]棉花现货!$K$32:$K$61</c:f>
              <c:numCache>
                <c:formatCode>General</c:formatCode>
                <c:ptCount val="30"/>
                <c:pt idx="0">
                  <c:v>-352</c:v>
                </c:pt>
                <c:pt idx="1">
                  <c:v>-408</c:v>
                </c:pt>
                <c:pt idx="2">
                  <c:v>-284</c:v>
                </c:pt>
                <c:pt idx="3">
                  <c:v>-315</c:v>
                </c:pt>
                <c:pt idx="4">
                  <c:v>-385</c:v>
                </c:pt>
                <c:pt idx="5">
                  <c:v>-341</c:v>
                </c:pt>
                <c:pt idx="6">
                  <c:v>-267</c:v>
                </c:pt>
                <c:pt idx="7">
                  <c:v>-451</c:v>
                </c:pt>
                <c:pt idx="8">
                  <c:v>-351</c:v>
                </c:pt>
                <c:pt idx="9">
                  <c:v>-347</c:v>
                </c:pt>
                <c:pt idx="10">
                  <c:v>-437</c:v>
                </c:pt>
                <c:pt idx="11">
                  <c:v>-424</c:v>
                </c:pt>
                <c:pt idx="12">
                  <c:v>-411</c:v>
                </c:pt>
                <c:pt idx="13">
                  <c:v>-694</c:v>
                </c:pt>
                <c:pt idx="14">
                  <c:v>-875</c:v>
                </c:pt>
                <c:pt idx="15">
                  <c:v>-778</c:v>
                </c:pt>
                <c:pt idx="16">
                  <c:v>-811</c:v>
                </c:pt>
                <c:pt idx="17">
                  <c:v>-823</c:v>
                </c:pt>
                <c:pt idx="18">
                  <c:v>-793</c:v>
                </c:pt>
                <c:pt idx="19">
                  <c:v>-730</c:v>
                </c:pt>
                <c:pt idx="20">
                  <c:v>-719</c:v>
                </c:pt>
                <c:pt idx="21">
                  <c:v>-773</c:v>
                </c:pt>
                <c:pt idx="22">
                  <c:v>-819</c:v>
                </c:pt>
                <c:pt idx="23">
                  <c:v>-875</c:v>
                </c:pt>
                <c:pt idx="24">
                  <c:v>-916</c:v>
                </c:pt>
                <c:pt idx="25">
                  <c:v>-873</c:v>
                </c:pt>
                <c:pt idx="26">
                  <c:v>-964</c:v>
                </c:pt>
                <c:pt idx="27">
                  <c:v>-1089</c:v>
                </c:pt>
                <c:pt idx="28">
                  <c:v>-1100</c:v>
                </c:pt>
                <c:pt idx="29">
                  <c:v>-1220</c:v>
                </c:pt>
              </c:numCache>
            </c:numRef>
          </c:val>
        </c:ser>
        <c:dLbls>
          <c:showLegendKey val="0"/>
          <c:showVal val="0"/>
          <c:showCatName val="0"/>
          <c:showSerName val="0"/>
          <c:showPercent val="0"/>
          <c:showBubbleSize val="0"/>
        </c:dLbls>
        <c:axId val="536378878"/>
        <c:axId val="379195401"/>
      </c:areaChart>
      <c:lineChart>
        <c:grouping val="standard"/>
        <c:varyColors val="0"/>
        <c:ser>
          <c:idx val="0"/>
          <c:order val="0"/>
          <c:tx>
            <c:strRef>
              <c:f>[刘嘉琳数据库.xlsx]棉花现货!$I$2</c:f>
              <c:strCache>
                <c:ptCount val="1"/>
                <c:pt idx="0">
                  <c:v>CY Index C32S
（元/吨）</c:v>
                </c:pt>
              </c:strCache>
            </c:strRef>
          </c:tx>
          <c:spPr>
            <a:ln w="28575" cap="rnd">
              <a:solidFill>
                <a:schemeClr val="accent2"/>
              </a:solidFill>
              <a:round/>
            </a:ln>
            <a:effectLst/>
          </c:spPr>
          <c:marker>
            <c:symbol val="none"/>
          </c:marker>
          <c:dLbls>
            <c:delete val="1"/>
          </c:dLbls>
          <c:cat>
            <c:strRef>
              <c:f>[刘嘉琳数据库.xlsx]棉花现货!$B$32:$B$62</c:f>
              <c:strCache>
                <c:ptCount val="31"/>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pt idx="21">
                  <c:v>2018.6.8</c:v>
                </c:pt>
                <c:pt idx="22">
                  <c:v>2018.6.11</c:v>
                </c:pt>
                <c:pt idx="23">
                  <c:v>2018.6.12</c:v>
                </c:pt>
                <c:pt idx="24">
                  <c:v>2018.6.13</c:v>
                </c:pt>
                <c:pt idx="25">
                  <c:v>2018.6.14</c:v>
                </c:pt>
                <c:pt idx="26">
                  <c:v>2018.6.15</c:v>
                </c:pt>
                <c:pt idx="27">
                  <c:v>2018.6.19</c:v>
                </c:pt>
                <c:pt idx="28">
                  <c:v>2018.6.20</c:v>
                </c:pt>
                <c:pt idx="29">
                  <c:v>2018.6.21</c:v>
                </c:pt>
                <c:pt idx="30">
                  <c:v>2018.6.22</c:v>
                </c:pt>
              </c:strCache>
            </c:strRef>
          </c:cat>
          <c:val>
            <c:numRef>
              <c:f>[刘嘉琳数据库.xlsx]棉花现货!$I$32:$I$61</c:f>
              <c:numCache>
                <c:formatCode>General</c:formatCode>
                <c:ptCount val="30"/>
                <c:pt idx="0">
                  <c:v>23150</c:v>
                </c:pt>
                <c:pt idx="1">
                  <c:v>23160</c:v>
                </c:pt>
                <c:pt idx="2">
                  <c:v>23180</c:v>
                </c:pt>
                <c:pt idx="3">
                  <c:v>23180</c:v>
                </c:pt>
                <c:pt idx="4">
                  <c:v>23180</c:v>
                </c:pt>
                <c:pt idx="5">
                  <c:v>23200</c:v>
                </c:pt>
                <c:pt idx="6">
                  <c:v>23350</c:v>
                </c:pt>
                <c:pt idx="7">
                  <c:v>23450</c:v>
                </c:pt>
                <c:pt idx="8">
                  <c:v>23550</c:v>
                </c:pt>
                <c:pt idx="9">
                  <c:v>23550</c:v>
                </c:pt>
                <c:pt idx="10">
                  <c:v>23600</c:v>
                </c:pt>
                <c:pt idx="11">
                  <c:v>23600</c:v>
                </c:pt>
                <c:pt idx="12">
                  <c:v>23620</c:v>
                </c:pt>
                <c:pt idx="13">
                  <c:v>23720</c:v>
                </c:pt>
                <c:pt idx="14">
                  <c:v>23840</c:v>
                </c:pt>
                <c:pt idx="15">
                  <c:v>23840</c:v>
                </c:pt>
                <c:pt idx="16">
                  <c:v>23860</c:v>
                </c:pt>
                <c:pt idx="17">
                  <c:v>23860</c:v>
                </c:pt>
                <c:pt idx="18">
                  <c:v>23860</c:v>
                </c:pt>
                <c:pt idx="19">
                  <c:v>23860</c:v>
                </c:pt>
                <c:pt idx="20">
                  <c:v>23860</c:v>
                </c:pt>
                <c:pt idx="21">
                  <c:v>23840</c:v>
                </c:pt>
                <c:pt idx="22">
                  <c:v>23820</c:v>
                </c:pt>
                <c:pt idx="23">
                  <c:v>23830</c:v>
                </c:pt>
                <c:pt idx="24">
                  <c:v>23860</c:v>
                </c:pt>
                <c:pt idx="25">
                  <c:v>23860</c:v>
                </c:pt>
                <c:pt idx="26">
                  <c:v>23860</c:v>
                </c:pt>
                <c:pt idx="27">
                  <c:v>23850</c:v>
                </c:pt>
                <c:pt idx="28">
                  <c:v>23850</c:v>
                </c:pt>
                <c:pt idx="29">
                  <c:v>23860</c:v>
                </c:pt>
              </c:numCache>
            </c:numRef>
          </c:val>
          <c:smooth val="0"/>
        </c:ser>
        <c:ser>
          <c:idx val="1"/>
          <c:order val="1"/>
          <c:tx>
            <c:strRef>
              <c:f>[刘嘉琳数据库.xlsx]棉花现货!$J$2</c:f>
              <c:strCache>
                <c:ptCount val="1"/>
                <c:pt idx="0">
                  <c:v>FCY Index C32S
（元/吨）</c:v>
                </c:pt>
              </c:strCache>
            </c:strRef>
          </c:tx>
          <c:spPr>
            <a:ln w="28575" cap="rnd">
              <a:solidFill>
                <a:schemeClr val="accent4"/>
              </a:solidFill>
              <a:round/>
            </a:ln>
            <a:effectLst/>
          </c:spPr>
          <c:marker>
            <c:symbol val="none"/>
          </c:marker>
          <c:dLbls>
            <c:delete val="1"/>
          </c:dLbls>
          <c:cat>
            <c:strRef>
              <c:f>[刘嘉琳数据库.xlsx]棉花现货!$B$32:$B$62</c:f>
              <c:strCache>
                <c:ptCount val="31"/>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pt idx="21">
                  <c:v>2018.6.8</c:v>
                </c:pt>
                <c:pt idx="22">
                  <c:v>2018.6.11</c:v>
                </c:pt>
                <c:pt idx="23">
                  <c:v>2018.6.12</c:v>
                </c:pt>
                <c:pt idx="24">
                  <c:v>2018.6.13</c:v>
                </c:pt>
                <c:pt idx="25">
                  <c:v>2018.6.14</c:v>
                </c:pt>
                <c:pt idx="26">
                  <c:v>2018.6.15</c:v>
                </c:pt>
                <c:pt idx="27">
                  <c:v>2018.6.19</c:v>
                </c:pt>
                <c:pt idx="28">
                  <c:v>2018.6.20</c:v>
                </c:pt>
                <c:pt idx="29">
                  <c:v>2018.6.21</c:v>
                </c:pt>
                <c:pt idx="30">
                  <c:v>2018.6.22</c:v>
                </c:pt>
              </c:strCache>
            </c:strRef>
          </c:cat>
          <c:val>
            <c:numRef>
              <c:f>[刘嘉琳数据库.xlsx]棉花现货!$J$32:$J$61</c:f>
              <c:numCache>
                <c:formatCode>General</c:formatCode>
                <c:ptCount val="30"/>
                <c:pt idx="0">
                  <c:v>23502</c:v>
                </c:pt>
                <c:pt idx="1">
                  <c:v>23568</c:v>
                </c:pt>
                <c:pt idx="2">
                  <c:v>23464</c:v>
                </c:pt>
                <c:pt idx="3">
                  <c:v>23495</c:v>
                </c:pt>
                <c:pt idx="4">
                  <c:v>23565</c:v>
                </c:pt>
                <c:pt idx="5">
                  <c:v>23541</c:v>
                </c:pt>
                <c:pt idx="6">
                  <c:v>23617</c:v>
                </c:pt>
                <c:pt idx="7">
                  <c:v>23901</c:v>
                </c:pt>
                <c:pt idx="8">
                  <c:v>23901</c:v>
                </c:pt>
                <c:pt idx="9">
                  <c:v>23897</c:v>
                </c:pt>
                <c:pt idx="10">
                  <c:v>24037</c:v>
                </c:pt>
                <c:pt idx="11">
                  <c:v>24024</c:v>
                </c:pt>
                <c:pt idx="12">
                  <c:v>24031</c:v>
                </c:pt>
                <c:pt idx="13">
                  <c:v>24414</c:v>
                </c:pt>
                <c:pt idx="14">
                  <c:v>24715</c:v>
                </c:pt>
                <c:pt idx="15">
                  <c:v>24618</c:v>
                </c:pt>
                <c:pt idx="16">
                  <c:v>24671</c:v>
                </c:pt>
                <c:pt idx="17">
                  <c:v>24683</c:v>
                </c:pt>
                <c:pt idx="18">
                  <c:v>24653</c:v>
                </c:pt>
                <c:pt idx="19">
                  <c:v>24590</c:v>
                </c:pt>
                <c:pt idx="20">
                  <c:v>24579</c:v>
                </c:pt>
                <c:pt idx="21">
                  <c:v>24613</c:v>
                </c:pt>
                <c:pt idx="22">
                  <c:v>24639</c:v>
                </c:pt>
                <c:pt idx="23">
                  <c:v>24705</c:v>
                </c:pt>
                <c:pt idx="24">
                  <c:v>24776</c:v>
                </c:pt>
                <c:pt idx="25">
                  <c:v>24733</c:v>
                </c:pt>
                <c:pt idx="26">
                  <c:v>24824</c:v>
                </c:pt>
                <c:pt idx="27">
                  <c:v>24939</c:v>
                </c:pt>
                <c:pt idx="28">
                  <c:v>24950</c:v>
                </c:pt>
                <c:pt idx="29">
                  <c:v>25080</c:v>
                </c:pt>
              </c:numCache>
            </c:numRef>
          </c:val>
          <c:smooth val="0"/>
        </c:ser>
        <c:dLbls>
          <c:showLegendKey val="0"/>
          <c:showVal val="0"/>
          <c:showCatName val="0"/>
          <c:showSerName val="0"/>
          <c:showPercent val="0"/>
          <c:showBubbleSize val="0"/>
        </c:dLbls>
        <c:marker val="0"/>
        <c:smooth val="0"/>
        <c:axId val="894448170"/>
        <c:axId val="308723097"/>
      </c:lineChart>
      <c:catAx>
        <c:axId val="894448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723097"/>
        <c:crosses val="autoZero"/>
        <c:auto val="1"/>
        <c:lblAlgn val="ctr"/>
        <c:lblOffset val="100"/>
        <c:noMultiLvlLbl val="0"/>
      </c:catAx>
      <c:valAx>
        <c:axId val="308723097"/>
        <c:scaling>
          <c:orientation val="minMax"/>
          <c:min val="229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4448170"/>
        <c:crosses val="autoZero"/>
        <c:crossBetween val="between"/>
      </c:valAx>
      <c:catAx>
        <c:axId val="536378878"/>
        <c:scaling>
          <c:orientation val="minMax"/>
        </c:scaling>
        <c:delete val="1"/>
        <c:axPos val="t"/>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195401"/>
        <c:crosses val="autoZero"/>
        <c:auto val="1"/>
        <c:lblAlgn val="ctr"/>
        <c:lblOffset val="100"/>
        <c:noMultiLvlLbl val="0"/>
      </c:catAx>
      <c:valAx>
        <c:axId val="379195401"/>
        <c:scaling>
          <c:orientation val="maxMin"/>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37887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2018-06-22T08:18:25Z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