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和合期货沪铜周报（20180619--20180622）</w:t>
      </w:r>
    </w:p>
    <w:p>
      <w:pPr>
        <w:jc w:val="center"/>
        <w:rPr>
          <w:rFonts w:hint="eastAsia"/>
          <w:b/>
          <w:bCs/>
          <w:sz w:val="30"/>
          <w:szCs w:val="30"/>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1，沪铜主力大幅下跌</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6月19日--6月22日，沪铜指数总成交量159.3万手，较上周减少31.4万手，总持仓量66.6万手，较上周减仓7.3万手，沪铜主力本周大幅下跌，主力合约收盘价51870，比上周收盘价下跌3.34%。</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63"/>
        <w:gridCol w:w="2410"/>
        <w:gridCol w:w="1132"/>
        <w:gridCol w:w="11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416"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市场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品种</w:t>
            </w:r>
          </w:p>
        </w:tc>
        <w:tc>
          <w:tcPr>
            <w:tcW w:w="2410"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价格区间</w:t>
            </w:r>
          </w:p>
        </w:tc>
        <w:tc>
          <w:tcPr>
            <w:tcW w:w="113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均价</w:t>
            </w:r>
          </w:p>
        </w:tc>
        <w:tc>
          <w:tcPr>
            <w:tcW w:w="116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涨跌</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51,470—51,510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51490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-190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广东现货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51,460—51,660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51560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-180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51,350—51,490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51420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-215</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上海地区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51,400—51,500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51450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-200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长江有色网</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51,420—51,480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51450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-200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6-22</w:t>
            </w:r>
          </w:p>
        </w:tc>
      </w:tr>
    </w:tbl>
    <w:p>
      <w:pPr>
        <w:keepNext w:val="0"/>
        <w:keepLines w:val="0"/>
        <w:widowControl/>
        <w:suppressLineNumbers w:val="0"/>
        <w:jc w:val="left"/>
      </w:pPr>
    </w:p>
    <w:p>
      <w:pPr>
        <w:keepNext w:val="0"/>
        <w:keepLines w:val="0"/>
        <w:widowControl/>
        <w:suppressLineNumbers w:val="0"/>
        <w:jc w:val="left"/>
      </w:pPr>
      <w:bookmarkStart w:id="0" w:name="_GoBack"/>
      <w:bookmarkEnd w:id="0"/>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rPr>
      </w:pPr>
      <w:r>
        <w:rPr>
          <w:rFonts w:hint="eastAsia" w:ascii="微软雅黑" w:hAnsi="微软雅黑" w:eastAsia="微软雅黑" w:cs="微软雅黑"/>
          <w:b/>
          <w:bCs/>
          <w:i w:val="0"/>
          <w:caps w:val="0"/>
          <w:color w:val="4D4D4D"/>
          <w:spacing w:val="0"/>
          <w:sz w:val="21"/>
          <w:szCs w:val="21"/>
          <w:lang w:val="en-US" w:eastAsia="zh-CN"/>
        </w:rPr>
        <w:t>宏观方面</w:t>
      </w:r>
    </w:p>
    <w:p>
      <w:pPr>
        <w:ind w:firstLine="420" w:firstLineChars="200"/>
        <w:jc w:val="left"/>
        <w:rPr>
          <w:rFonts w:hint="eastAsia" w:ascii="微软雅黑" w:hAnsi="微软雅黑" w:eastAsia="微软雅黑" w:cs="微软雅黑"/>
          <w:b w:val="0"/>
          <w:i w:val="0"/>
          <w:caps w:val="0"/>
          <w:color w:val="4D4D4D"/>
          <w:spacing w:val="0"/>
          <w:kern w:val="2"/>
          <w:sz w:val="21"/>
          <w:szCs w:val="21"/>
          <w:highlight w:val="yellow"/>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总统特朗普上周五宣布对500亿美元从中国进口商品加征高额关税，中国采取对等的关税举措予以回应，全球最大两个经济体之间的贸易战还是开打，之前双方谈判达成的所有经贸成果不会生效，特朗普周一威胁将对2,000亿美元的中国商品加征10%关税，令中美间针锋相对的贸易战进一步升级，全球资本市场惨遭血洗。美联储加息4次的预期仍然高涨，这将支撑美元在未来一段时间保持高位。</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总理李克强周三主持召开国务院常务会议称，要坚持稳健中性的货币政策，保持流动性合理充裕和金融稳定运行，加强政策统筹协调，巩固经济稳中向好态势，增强市场信心，促进比较充分就业，保持经济运行在合理区间。会议确定了进一步缓解小微企业融资难融资贵的措施，其中包括支持银行开拓小微企业市场，运用定向降准等货币政策工具，增强小微信贷供给能力。</w:t>
      </w:r>
    </w:p>
    <w:p>
      <w:pPr>
        <w:numPr>
          <w:ilvl w:val="0"/>
          <w:numId w:val="2"/>
        </w:numPr>
        <w:ind w:firstLine="420" w:firstLineChars="200"/>
        <w:jc w:val="left"/>
        <w:rPr>
          <w:rFonts w:hint="eastAsia" w:ascii="宋体" w:hAnsi="宋体" w:eastAsia="宋体" w:cs="宋体"/>
          <w:b w:val="0"/>
          <w:i w:val="0"/>
          <w:caps w:val="0"/>
          <w:color w:val="000000"/>
          <w:spacing w:val="0"/>
          <w:sz w:val="21"/>
          <w:szCs w:val="21"/>
          <w:shd w:val="clear" w:fill="FFFFFF"/>
        </w:rPr>
      </w:pPr>
      <w:r>
        <w:rPr>
          <w:rFonts w:hint="eastAsia" w:ascii="微软雅黑" w:hAnsi="微软雅黑" w:eastAsia="微软雅黑" w:cs="微软雅黑"/>
          <w:b/>
          <w:bCs/>
          <w:i w:val="0"/>
          <w:caps w:val="0"/>
          <w:color w:val="4D4D4D"/>
          <w:spacing w:val="0"/>
          <w:sz w:val="21"/>
          <w:szCs w:val="21"/>
          <w:lang w:val="en-US" w:eastAsia="zh-CN"/>
        </w:rPr>
        <w:t>供给方面</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国家统计局周三公布的数据显示，中国5月精炼铜产量同比增长15.5%至76.7万吨;1-5月总产量为362.3万吨，同比增长11.1%，显示国内精炼铜供应较为充足。国际铜业研究组织(ICSG)周三发布最新月报显示，今年3月全球精炼铜市场供应过剩5.5万吨，2月为过剩8.7万吨，过剩进一步缩小，与此同时，数据显示中国5月精炼铜产量同比增长15.5%。库存方面，全球三大交易所库存截至上周五为77.6万吨，相较前值单周下降1.8万吨，6月以后为传统的铜下游消费淡季，库存还处于较高位。</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3，需求方面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期统计局数据显示：1-5月份，全国房地产开发投资41420亿元，同比名义增长10.2%，增速比1-4月份回落0.1个百分点，1-5月份，房屋新开工面积72190万平方米，增长10.8%，增速提高3.5个百分点，中国5月发电量同比增长9.8%（4月同比增长6.9%），1-5月份发电量增长8.5%（1-4月份同比增长7.7%），房屋新开工面积和发电量增长保持较高增长速度，城镇固定投资、社会消费品零售总额、规模以上工业增加值等数据均不及上月增速，5月中国经济整体还在稳步运行中。</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产业面，国内6月份重点空调企业排产计划高于2017年同期实际产量，也高于2018年5月份的实际产量和计划量，此外智能空调置换需求也促进了6月空调产量增长，对市场铜需求起到一定支撑作用。</w:t>
      </w:r>
    </w:p>
    <w:p>
      <w:pPr>
        <w:numPr>
          <w:ilvl w:val="0"/>
          <w:numId w:val="0"/>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4，其他因素</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CFTC公布的最新数据显示，截至6月12日当周，comex期铜cftc总持仓285593手，较上周剧增21243手。持仓结构方面，非商业持仓多头增加15729手，空头减少7101手，使得投机基金持有的comex铜净多头增至70537手，周增22830手，为连续第85周维持净多状态，数据显示投机多头仍积极看涨</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"http://copper.ccmn.cn/copperplfx/2018-06-20/_blank"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铜价</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，但数据可能滞后，多头逢高或已获利了结，从而引发铜价回调走势，从以往数据来看，每次投机净多创下多年高点之际，反而需要警惕“否极泰来”的行情。</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从德拉吉、鲍威尔的态度来看，欧央行及美联储政策立场坚定，美联储加快加息欧央行延后加息的预期不变，而且我们认为后期公布的美国经济将继续巩固美联储加息4次的预期，因此美元仍将维持高位。中美贸易战依然是市场关注的焦点，虽然双方又开始磋商谈判，但美方反复无常对未来的预计充满了悲观。</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中美贸易战导致全球资本市场下跌，本周期铜回补缺口大幅下跌，盘面看期铜又回到近一个多月来的振荡整理平台，预计近期又是震荡整理走势。</w:t>
      </w:r>
    </w:p>
    <w:p>
      <w:pPr>
        <w:numPr>
          <w:ilvl w:val="0"/>
          <w:numId w:val="0"/>
        </w:numPr>
        <w:jc w:val="left"/>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建议下周沪铜新单观望</w:t>
      </w:r>
      <w:r>
        <w:rPr>
          <w:rFonts w:hint="eastAsia" w:ascii="微软雅黑" w:hAnsi="微软雅黑" w:eastAsia="微软雅黑" w:cs="微软雅黑"/>
          <w:b w:val="0"/>
          <w:i w:val="0"/>
          <w:caps w:val="0"/>
          <w:color w:val="4D4D4D"/>
          <w:spacing w:val="0"/>
          <w:sz w:val="21"/>
          <w:szCs w:val="21"/>
          <w:lang w:val="en-US" w:eastAsia="zh-CN"/>
        </w:rPr>
        <w:t>。</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p>
    <w:p>
      <w:pPr>
        <w:adjustRightInd w:val="0"/>
        <w:snapToGrid w:val="0"/>
        <w:spacing w:line="600" w:lineRule="exact"/>
        <w:ind w:firstLine="422" w:firstLineChars="200"/>
        <w:rPr>
          <w:rFonts w:hint="eastAsia"/>
          <w:b w:val="0"/>
          <w:bCs w:val="0"/>
          <w:lang w:val="en-US" w:eastAsia="zh-CN"/>
        </w:rPr>
      </w:pPr>
      <w:r>
        <w:rPr>
          <w:rFonts w:hint="eastAsia"/>
          <w:b/>
          <w:bCs/>
          <w:lang w:val="en-US" w:eastAsia="zh-CN"/>
        </w:rPr>
        <w:t>风险揭示：</w:t>
      </w:r>
      <w:r>
        <w:rPr>
          <w:rFonts w:hint="eastAsia"/>
          <w:b w:val="0"/>
          <w:bCs w:val="0"/>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sz w:val="21"/>
          <w:szCs w:val="21"/>
          <w:lang w:val="en-US" w:eastAsia="zh-CN"/>
        </w:rPr>
      </w:pPr>
      <w:r>
        <w:rPr>
          <w:rFonts w:hint="eastAsia"/>
          <w:b/>
          <w:bCs/>
          <w:lang w:eastAsia="zh-CN"/>
        </w:rPr>
        <w:t>免责声明：</w:t>
      </w:r>
      <w:r>
        <w:rPr>
          <w:rFonts w:hint="eastAsia"/>
          <w:sz w:val="21"/>
          <w:szCs w:val="21"/>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sz w:val="21"/>
          <w:szCs w:val="21"/>
          <w:lang w:eastAsia="zh-CN"/>
        </w:rPr>
        <w:t>，</w:t>
      </w:r>
      <w:r>
        <w:rPr>
          <w:rFonts w:hint="eastAsia"/>
          <w:sz w:val="21"/>
          <w:szCs w:val="21"/>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1"/>
          <w:szCs w:val="21"/>
        </w:rPr>
      </w:pPr>
      <w:r>
        <w:rPr>
          <w:rFonts w:hint="eastAsia"/>
          <w:sz w:val="21"/>
          <w:szCs w:val="21"/>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jc w:val="left"/>
        <w:rPr>
          <w:rFonts w:hint="eastAsia" w:ascii="Times New Roman" w:hAnsi="Times New Roman" w:eastAsia="微软雅黑"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联系电话：0351-7342558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pPr>
      <w:r>
        <w:rPr>
          <w:rFonts w:hint="eastAsia" w:ascii="宋体" w:hAnsi="宋体" w:eastAsia="宋体" w:cs="宋体"/>
          <w:b w:val="0"/>
          <w:i w:val="0"/>
          <w:caps w:val="0"/>
          <w:color w:val="000000"/>
          <w:spacing w:val="0"/>
          <w:sz w:val="21"/>
          <w:szCs w:val="21"/>
          <w:shd w:val="clear" w:color="auto" w:fill="FFFFFF"/>
          <w:lang w:val="en-US" w:eastAsia="zh-CN"/>
        </w:rPr>
        <w:t>公司网址：</w:t>
      </w:r>
      <w:r>
        <w:rPr>
          <w:rFonts w:hint="eastAsia" w:ascii="宋体" w:hAnsi="宋体" w:eastAsia="宋体" w:cs="宋体"/>
          <w:b w:val="0"/>
          <w:i w:val="0"/>
          <w:caps w:val="0"/>
          <w:color w:val="000000"/>
          <w:spacing w:val="0"/>
          <w:sz w:val="21"/>
          <w:szCs w:val="21"/>
          <w:shd w:val="clear" w:color="auto" w:fill="FFFFFF"/>
          <w:lang w:val="en-US" w:eastAsia="zh-CN"/>
        </w:rPr>
        <w:fldChar w:fldCharType="begin"/>
      </w:r>
      <w:r>
        <w:rPr>
          <w:rFonts w:hint="eastAsia" w:ascii="宋体" w:hAnsi="宋体" w:eastAsia="宋体" w:cs="宋体"/>
          <w:b w:val="0"/>
          <w:i w:val="0"/>
          <w:caps w:val="0"/>
          <w:color w:val="000000"/>
          <w:spacing w:val="0"/>
          <w:sz w:val="21"/>
          <w:szCs w:val="21"/>
          <w:shd w:val="clear" w:color="auto" w:fill="FFFFFF"/>
          <w:lang w:val="en-US" w:eastAsia="zh-CN"/>
        </w:rPr>
        <w:instrText xml:space="preserve"> HYPERLINK "http://www.hhqh.com.cn" </w:instrText>
      </w:r>
      <w:r>
        <w:rPr>
          <w:rFonts w:hint="eastAsia" w:ascii="宋体" w:hAnsi="宋体" w:eastAsia="宋体" w:cs="宋体"/>
          <w:b w:val="0"/>
          <w:i w:val="0"/>
          <w:caps w:val="0"/>
          <w:color w:val="000000"/>
          <w:spacing w:val="0"/>
          <w:sz w:val="21"/>
          <w:szCs w:val="21"/>
          <w:shd w:val="clear" w:color="auto" w:fill="FFFFFF"/>
          <w:lang w:val="en-US" w:eastAsia="zh-CN"/>
        </w:rPr>
        <w:fldChar w:fldCharType="separate"/>
      </w:r>
      <w:r>
        <w:rPr>
          <w:rStyle w:val="11"/>
          <w:rFonts w:hint="eastAsia" w:ascii="宋体" w:hAnsi="宋体" w:eastAsia="宋体" w:cs="宋体"/>
          <w:b w:val="0"/>
          <w:i w:val="0"/>
          <w:caps w:val="0"/>
          <w:color w:val="000000"/>
          <w:spacing w:val="0"/>
          <w:sz w:val="21"/>
          <w:szCs w:val="21"/>
          <w:shd w:val="clear" w:color="auto" w:fill="FFFFFF"/>
          <w:lang w:val="en-US" w:eastAsia="zh-CN"/>
        </w:rPr>
        <w:t>http://www.hhqh.com.cn</w:t>
      </w:r>
      <w:r>
        <w:rPr>
          <w:rFonts w:hint="eastAsia" w:ascii="宋体" w:hAnsi="宋体" w:eastAsia="宋体" w:cs="宋体"/>
          <w:b w:val="0"/>
          <w:i w:val="0"/>
          <w:caps w:val="0"/>
          <w:color w:val="000000"/>
          <w:spacing w:val="0"/>
          <w:sz w:val="21"/>
          <w:szCs w:val="21"/>
          <w:shd w:val="clear" w:color="auto" w:fill="FFFFFF"/>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946C95"/>
    <w:rsid w:val="00960ABC"/>
    <w:rsid w:val="00E556E9"/>
    <w:rsid w:val="010F0926"/>
    <w:rsid w:val="012C6091"/>
    <w:rsid w:val="01434658"/>
    <w:rsid w:val="01F252A3"/>
    <w:rsid w:val="020A2475"/>
    <w:rsid w:val="026A08CF"/>
    <w:rsid w:val="02B31491"/>
    <w:rsid w:val="02B94610"/>
    <w:rsid w:val="02BA1970"/>
    <w:rsid w:val="031A6FC9"/>
    <w:rsid w:val="035139FB"/>
    <w:rsid w:val="03C353B3"/>
    <w:rsid w:val="04181E52"/>
    <w:rsid w:val="044D2878"/>
    <w:rsid w:val="045A0E95"/>
    <w:rsid w:val="04993CE2"/>
    <w:rsid w:val="04DA2E1B"/>
    <w:rsid w:val="05011FBA"/>
    <w:rsid w:val="052147F2"/>
    <w:rsid w:val="055778A2"/>
    <w:rsid w:val="05D15C08"/>
    <w:rsid w:val="05EA31B2"/>
    <w:rsid w:val="05F5189D"/>
    <w:rsid w:val="065B710A"/>
    <w:rsid w:val="067526D7"/>
    <w:rsid w:val="06854DB0"/>
    <w:rsid w:val="06A4163B"/>
    <w:rsid w:val="06EC4A9D"/>
    <w:rsid w:val="073F420C"/>
    <w:rsid w:val="07DF74EF"/>
    <w:rsid w:val="089D6419"/>
    <w:rsid w:val="08A46546"/>
    <w:rsid w:val="095537DB"/>
    <w:rsid w:val="09785AE7"/>
    <w:rsid w:val="09820A0F"/>
    <w:rsid w:val="099151C9"/>
    <w:rsid w:val="09C630C7"/>
    <w:rsid w:val="09CC4F9F"/>
    <w:rsid w:val="09DF6E1A"/>
    <w:rsid w:val="0A3D2A27"/>
    <w:rsid w:val="0A7F556A"/>
    <w:rsid w:val="0A9F183E"/>
    <w:rsid w:val="0AED5BC7"/>
    <w:rsid w:val="0B216180"/>
    <w:rsid w:val="0B791290"/>
    <w:rsid w:val="0BF03F77"/>
    <w:rsid w:val="0C1862BD"/>
    <w:rsid w:val="0CA265C4"/>
    <w:rsid w:val="0D437C34"/>
    <w:rsid w:val="0D7A2F24"/>
    <w:rsid w:val="0E0B4CA2"/>
    <w:rsid w:val="0E0F6CF3"/>
    <w:rsid w:val="0E1A27F8"/>
    <w:rsid w:val="0E665764"/>
    <w:rsid w:val="0E7C319E"/>
    <w:rsid w:val="0E9F1C34"/>
    <w:rsid w:val="0EF94622"/>
    <w:rsid w:val="0F100FB0"/>
    <w:rsid w:val="0F2654AD"/>
    <w:rsid w:val="0F360667"/>
    <w:rsid w:val="0F480F8F"/>
    <w:rsid w:val="0FE617CF"/>
    <w:rsid w:val="0FEB03B9"/>
    <w:rsid w:val="109A3209"/>
    <w:rsid w:val="114C5345"/>
    <w:rsid w:val="11951240"/>
    <w:rsid w:val="11987ED1"/>
    <w:rsid w:val="11E51FE6"/>
    <w:rsid w:val="123E538D"/>
    <w:rsid w:val="12425137"/>
    <w:rsid w:val="124742E5"/>
    <w:rsid w:val="126F075E"/>
    <w:rsid w:val="129C5B4A"/>
    <w:rsid w:val="12E52931"/>
    <w:rsid w:val="131C41F9"/>
    <w:rsid w:val="132C4B6C"/>
    <w:rsid w:val="14265807"/>
    <w:rsid w:val="1461054E"/>
    <w:rsid w:val="14C44147"/>
    <w:rsid w:val="14DF3CEE"/>
    <w:rsid w:val="15601496"/>
    <w:rsid w:val="1567545F"/>
    <w:rsid w:val="15E90825"/>
    <w:rsid w:val="160F5112"/>
    <w:rsid w:val="16426AD3"/>
    <w:rsid w:val="165E660E"/>
    <w:rsid w:val="167B1ABE"/>
    <w:rsid w:val="1688250D"/>
    <w:rsid w:val="16CD72E2"/>
    <w:rsid w:val="16F475BE"/>
    <w:rsid w:val="16F84FDA"/>
    <w:rsid w:val="17023F10"/>
    <w:rsid w:val="17635947"/>
    <w:rsid w:val="184E02D4"/>
    <w:rsid w:val="189810D2"/>
    <w:rsid w:val="18DF32E6"/>
    <w:rsid w:val="18E36AF6"/>
    <w:rsid w:val="18E6344B"/>
    <w:rsid w:val="18E9065E"/>
    <w:rsid w:val="19790E21"/>
    <w:rsid w:val="199F425F"/>
    <w:rsid w:val="1A621F87"/>
    <w:rsid w:val="1AAA336D"/>
    <w:rsid w:val="1AC81F76"/>
    <w:rsid w:val="1AE46BA9"/>
    <w:rsid w:val="1B9E1514"/>
    <w:rsid w:val="1BA732A8"/>
    <w:rsid w:val="1BD721DD"/>
    <w:rsid w:val="1C990C0D"/>
    <w:rsid w:val="1CD96E34"/>
    <w:rsid w:val="1D071636"/>
    <w:rsid w:val="1D2E4C97"/>
    <w:rsid w:val="1D3E2B95"/>
    <w:rsid w:val="1D582782"/>
    <w:rsid w:val="1D65009B"/>
    <w:rsid w:val="1D820C33"/>
    <w:rsid w:val="1D91148B"/>
    <w:rsid w:val="1DE51D51"/>
    <w:rsid w:val="1E0E7E6A"/>
    <w:rsid w:val="1E1056C5"/>
    <w:rsid w:val="1E51568F"/>
    <w:rsid w:val="1E720ED7"/>
    <w:rsid w:val="1EB235DC"/>
    <w:rsid w:val="1EEB48ED"/>
    <w:rsid w:val="1EED1EAB"/>
    <w:rsid w:val="1F0A089A"/>
    <w:rsid w:val="1F107D35"/>
    <w:rsid w:val="1F2D7A40"/>
    <w:rsid w:val="1F6A7D77"/>
    <w:rsid w:val="1FAA4ECB"/>
    <w:rsid w:val="20082685"/>
    <w:rsid w:val="202C5333"/>
    <w:rsid w:val="203059C1"/>
    <w:rsid w:val="2092796A"/>
    <w:rsid w:val="21110BA4"/>
    <w:rsid w:val="21655B9C"/>
    <w:rsid w:val="21CF74E6"/>
    <w:rsid w:val="2230006C"/>
    <w:rsid w:val="22953196"/>
    <w:rsid w:val="22B365F0"/>
    <w:rsid w:val="22FD44E4"/>
    <w:rsid w:val="23240777"/>
    <w:rsid w:val="234E5CE3"/>
    <w:rsid w:val="241E1669"/>
    <w:rsid w:val="244225E9"/>
    <w:rsid w:val="2458614C"/>
    <w:rsid w:val="2459732F"/>
    <w:rsid w:val="24813BB7"/>
    <w:rsid w:val="24B163AF"/>
    <w:rsid w:val="24BC4CEF"/>
    <w:rsid w:val="24C719F9"/>
    <w:rsid w:val="24EB6568"/>
    <w:rsid w:val="25484424"/>
    <w:rsid w:val="255416A6"/>
    <w:rsid w:val="255E350E"/>
    <w:rsid w:val="25767955"/>
    <w:rsid w:val="25AF31F4"/>
    <w:rsid w:val="25E62A5B"/>
    <w:rsid w:val="260E3732"/>
    <w:rsid w:val="266F27C0"/>
    <w:rsid w:val="268F25C1"/>
    <w:rsid w:val="27052ACB"/>
    <w:rsid w:val="27ED00C4"/>
    <w:rsid w:val="281B3E91"/>
    <w:rsid w:val="28AB0578"/>
    <w:rsid w:val="28B6644F"/>
    <w:rsid w:val="296A73D7"/>
    <w:rsid w:val="29FE715F"/>
    <w:rsid w:val="2A7F2CF1"/>
    <w:rsid w:val="2AE529A0"/>
    <w:rsid w:val="2B1927DD"/>
    <w:rsid w:val="2C080996"/>
    <w:rsid w:val="2C1739A2"/>
    <w:rsid w:val="2C2E0588"/>
    <w:rsid w:val="2C3B0C77"/>
    <w:rsid w:val="2C4962E7"/>
    <w:rsid w:val="2C592C60"/>
    <w:rsid w:val="2C693C10"/>
    <w:rsid w:val="2CF822C4"/>
    <w:rsid w:val="2D0163F9"/>
    <w:rsid w:val="2D7A6547"/>
    <w:rsid w:val="2E485F14"/>
    <w:rsid w:val="2E825CAE"/>
    <w:rsid w:val="2E97141E"/>
    <w:rsid w:val="2EF97079"/>
    <w:rsid w:val="2FB87A81"/>
    <w:rsid w:val="2FC50E65"/>
    <w:rsid w:val="2FFF45A8"/>
    <w:rsid w:val="30844C1A"/>
    <w:rsid w:val="30BF6DDA"/>
    <w:rsid w:val="30D94939"/>
    <w:rsid w:val="30E424AA"/>
    <w:rsid w:val="30E61211"/>
    <w:rsid w:val="310944AD"/>
    <w:rsid w:val="31494F97"/>
    <w:rsid w:val="31733882"/>
    <w:rsid w:val="31775E8D"/>
    <w:rsid w:val="318E5438"/>
    <w:rsid w:val="31A61085"/>
    <w:rsid w:val="31A647A9"/>
    <w:rsid w:val="31A67F19"/>
    <w:rsid w:val="31B011C9"/>
    <w:rsid w:val="31E6779F"/>
    <w:rsid w:val="32500CDC"/>
    <w:rsid w:val="32607660"/>
    <w:rsid w:val="326728D2"/>
    <w:rsid w:val="326B52A6"/>
    <w:rsid w:val="32901C35"/>
    <w:rsid w:val="32E31592"/>
    <w:rsid w:val="330C7B9D"/>
    <w:rsid w:val="33146685"/>
    <w:rsid w:val="335409BD"/>
    <w:rsid w:val="33AA7D4F"/>
    <w:rsid w:val="34614ED5"/>
    <w:rsid w:val="346217F9"/>
    <w:rsid w:val="34F74635"/>
    <w:rsid w:val="35A36D55"/>
    <w:rsid w:val="35B6435C"/>
    <w:rsid w:val="360F681B"/>
    <w:rsid w:val="365A6A2E"/>
    <w:rsid w:val="36677066"/>
    <w:rsid w:val="369D6786"/>
    <w:rsid w:val="37197620"/>
    <w:rsid w:val="37716780"/>
    <w:rsid w:val="37771552"/>
    <w:rsid w:val="377A6BDF"/>
    <w:rsid w:val="378141ED"/>
    <w:rsid w:val="38286568"/>
    <w:rsid w:val="382D701E"/>
    <w:rsid w:val="388C051C"/>
    <w:rsid w:val="389670FB"/>
    <w:rsid w:val="3908534B"/>
    <w:rsid w:val="390C070E"/>
    <w:rsid w:val="3913474B"/>
    <w:rsid w:val="392C47AA"/>
    <w:rsid w:val="395C74FF"/>
    <w:rsid w:val="39904D76"/>
    <w:rsid w:val="39BE2EDC"/>
    <w:rsid w:val="39C6120A"/>
    <w:rsid w:val="39FD47E2"/>
    <w:rsid w:val="3A4F4376"/>
    <w:rsid w:val="3ACD789E"/>
    <w:rsid w:val="3AF73E0F"/>
    <w:rsid w:val="3BCC3E7B"/>
    <w:rsid w:val="3BCD7532"/>
    <w:rsid w:val="3BF465B0"/>
    <w:rsid w:val="3C260CBE"/>
    <w:rsid w:val="3C665963"/>
    <w:rsid w:val="3C6D6C9A"/>
    <w:rsid w:val="3CC30FCC"/>
    <w:rsid w:val="3CE57C3F"/>
    <w:rsid w:val="3D5B70E7"/>
    <w:rsid w:val="3D5F66CC"/>
    <w:rsid w:val="3D8D423E"/>
    <w:rsid w:val="3E12047B"/>
    <w:rsid w:val="3E156017"/>
    <w:rsid w:val="3E445246"/>
    <w:rsid w:val="3E5B098F"/>
    <w:rsid w:val="3E906B99"/>
    <w:rsid w:val="3F3A3D14"/>
    <w:rsid w:val="3F5F7ED0"/>
    <w:rsid w:val="3F9C7EE7"/>
    <w:rsid w:val="403767C5"/>
    <w:rsid w:val="40673C20"/>
    <w:rsid w:val="406B6A88"/>
    <w:rsid w:val="40876AC3"/>
    <w:rsid w:val="418B3C30"/>
    <w:rsid w:val="41967235"/>
    <w:rsid w:val="42547422"/>
    <w:rsid w:val="42693565"/>
    <w:rsid w:val="42A33118"/>
    <w:rsid w:val="42BC2E09"/>
    <w:rsid w:val="42E42883"/>
    <w:rsid w:val="42EB5C8B"/>
    <w:rsid w:val="43544FC8"/>
    <w:rsid w:val="43692997"/>
    <w:rsid w:val="43727FE4"/>
    <w:rsid w:val="43982425"/>
    <w:rsid w:val="43E2523F"/>
    <w:rsid w:val="43F41F73"/>
    <w:rsid w:val="44103035"/>
    <w:rsid w:val="445D21AC"/>
    <w:rsid w:val="44733A3E"/>
    <w:rsid w:val="44915D7D"/>
    <w:rsid w:val="44AE4138"/>
    <w:rsid w:val="44E1127B"/>
    <w:rsid w:val="44E54350"/>
    <w:rsid w:val="453807F9"/>
    <w:rsid w:val="453C2278"/>
    <w:rsid w:val="45E011EF"/>
    <w:rsid w:val="46027438"/>
    <w:rsid w:val="46364426"/>
    <w:rsid w:val="464135AB"/>
    <w:rsid w:val="465323CA"/>
    <w:rsid w:val="468C6B0E"/>
    <w:rsid w:val="468D7A21"/>
    <w:rsid w:val="46A21298"/>
    <w:rsid w:val="471D2237"/>
    <w:rsid w:val="472F1B8D"/>
    <w:rsid w:val="47F90887"/>
    <w:rsid w:val="48214564"/>
    <w:rsid w:val="4871267A"/>
    <w:rsid w:val="48833A30"/>
    <w:rsid w:val="489436F1"/>
    <w:rsid w:val="48D433D2"/>
    <w:rsid w:val="48DE2C68"/>
    <w:rsid w:val="49260BDA"/>
    <w:rsid w:val="495023F8"/>
    <w:rsid w:val="49604ACD"/>
    <w:rsid w:val="4976748C"/>
    <w:rsid w:val="49C17BE7"/>
    <w:rsid w:val="49D14764"/>
    <w:rsid w:val="4A211BC5"/>
    <w:rsid w:val="4A2A4FE7"/>
    <w:rsid w:val="4A6F1AE4"/>
    <w:rsid w:val="4A9A6F55"/>
    <w:rsid w:val="4AAC0E63"/>
    <w:rsid w:val="4B3B53B6"/>
    <w:rsid w:val="4B3C4D79"/>
    <w:rsid w:val="4B79031B"/>
    <w:rsid w:val="4C1108EF"/>
    <w:rsid w:val="4C7325CE"/>
    <w:rsid w:val="4D296238"/>
    <w:rsid w:val="4D4B7C34"/>
    <w:rsid w:val="4D837A51"/>
    <w:rsid w:val="4DD84928"/>
    <w:rsid w:val="4E0751F9"/>
    <w:rsid w:val="4E446491"/>
    <w:rsid w:val="4EBA7C3E"/>
    <w:rsid w:val="4EDE75AB"/>
    <w:rsid w:val="4EF44DBB"/>
    <w:rsid w:val="4FE726D4"/>
    <w:rsid w:val="501E67CE"/>
    <w:rsid w:val="50B45C1C"/>
    <w:rsid w:val="5100326B"/>
    <w:rsid w:val="51676F48"/>
    <w:rsid w:val="52462FB3"/>
    <w:rsid w:val="524B2437"/>
    <w:rsid w:val="52BD611D"/>
    <w:rsid w:val="52EF4774"/>
    <w:rsid w:val="53154AE1"/>
    <w:rsid w:val="532B346B"/>
    <w:rsid w:val="5361596C"/>
    <w:rsid w:val="5388676E"/>
    <w:rsid w:val="53A2136C"/>
    <w:rsid w:val="54241ADA"/>
    <w:rsid w:val="54897EC3"/>
    <w:rsid w:val="54E3209A"/>
    <w:rsid w:val="550874F1"/>
    <w:rsid w:val="55235A75"/>
    <w:rsid w:val="555C76AC"/>
    <w:rsid w:val="555E4DBD"/>
    <w:rsid w:val="55623415"/>
    <w:rsid w:val="565A50E8"/>
    <w:rsid w:val="56734380"/>
    <w:rsid w:val="569F393F"/>
    <w:rsid w:val="572203A8"/>
    <w:rsid w:val="57A87412"/>
    <w:rsid w:val="57F479E6"/>
    <w:rsid w:val="58562D5F"/>
    <w:rsid w:val="587C66BF"/>
    <w:rsid w:val="58907658"/>
    <w:rsid w:val="58B13E72"/>
    <w:rsid w:val="58CB5901"/>
    <w:rsid w:val="58D33449"/>
    <w:rsid w:val="590149D0"/>
    <w:rsid w:val="59435194"/>
    <w:rsid w:val="595C3B3C"/>
    <w:rsid w:val="5A066FDF"/>
    <w:rsid w:val="5A0C00E8"/>
    <w:rsid w:val="5A3C41AA"/>
    <w:rsid w:val="5AC760B0"/>
    <w:rsid w:val="5AED7F74"/>
    <w:rsid w:val="5AF626C3"/>
    <w:rsid w:val="5B2B0CEE"/>
    <w:rsid w:val="5B760F82"/>
    <w:rsid w:val="5BB5471F"/>
    <w:rsid w:val="5BB83C9C"/>
    <w:rsid w:val="5C1504B9"/>
    <w:rsid w:val="5C1B21AC"/>
    <w:rsid w:val="5C3B59DD"/>
    <w:rsid w:val="5C3D1B22"/>
    <w:rsid w:val="5C512D6D"/>
    <w:rsid w:val="5C6F7DF7"/>
    <w:rsid w:val="5D462C64"/>
    <w:rsid w:val="5D486E07"/>
    <w:rsid w:val="5D4D3B8C"/>
    <w:rsid w:val="5E2B715E"/>
    <w:rsid w:val="5E445B37"/>
    <w:rsid w:val="5E5544CF"/>
    <w:rsid w:val="5E9D55E1"/>
    <w:rsid w:val="5EAB12D8"/>
    <w:rsid w:val="5EAE187F"/>
    <w:rsid w:val="5F323539"/>
    <w:rsid w:val="5FC90870"/>
    <w:rsid w:val="5FD94336"/>
    <w:rsid w:val="60A71655"/>
    <w:rsid w:val="60C44C61"/>
    <w:rsid w:val="611D1E88"/>
    <w:rsid w:val="612C0101"/>
    <w:rsid w:val="613E6D07"/>
    <w:rsid w:val="61642C22"/>
    <w:rsid w:val="61A616AB"/>
    <w:rsid w:val="61E940E6"/>
    <w:rsid w:val="621630BE"/>
    <w:rsid w:val="625E1778"/>
    <w:rsid w:val="626230EF"/>
    <w:rsid w:val="62941AFD"/>
    <w:rsid w:val="62C219DC"/>
    <w:rsid w:val="62F25405"/>
    <w:rsid w:val="63212DC3"/>
    <w:rsid w:val="6369313A"/>
    <w:rsid w:val="63AE5104"/>
    <w:rsid w:val="63C51414"/>
    <w:rsid w:val="63CA47E8"/>
    <w:rsid w:val="645F3DFA"/>
    <w:rsid w:val="646A6F60"/>
    <w:rsid w:val="64FB6B1C"/>
    <w:rsid w:val="655653D4"/>
    <w:rsid w:val="65AB3109"/>
    <w:rsid w:val="65E6168B"/>
    <w:rsid w:val="660335B9"/>
    <w:rsid w:val="668524E2"/>
    <w:rsid w:val="66BB0B99"/>
    <w:rsid w:val="66D05433"/>
    <w:rsid w:val="671D7693"/>
    <w:rsid w:val="674945A6"/>
    <w:rsid w:val="67A73344"/>
    <w:rsid w:val="67D04909"/>
    <w:rsid w:val="682C28B7"/>
    <w:rsid w:val="685A44B6"/>
    <w:rsid w:val="686B5A7A"/>
    <w:rsid w:val="68B75B0D"/>
    <w:rsid w:val="69794D60"/>
    <w:rsid w:val="69C84357"/>
    <w:rsid w:val="69FA7A47"/>
    <w:rsid w:val="6A4D71BE"/>
    <w:rsid w:val="6B120380"/>
    <w:rsid w:val="6BA63E1E"/>
    <w:rsid w:val="6BC2752A"/>
    <w:rsid w:val="6BCF3C34"/>
    <w:rsid w:val="6BD6408C"/>
    <w:rsid w:val="6C9B7072"/>
    <w:rsid w:val="6CBA3BD8"/>
    <w:rsid w:val="6CC37125"/>
    <w:rsid w:val="6CCB07BE"/>
    <w:rsid w:val="6CDD54F4"/>
    <w:rsid w:val="6D13110C"/>
    <w:rsid w:val="6E074784"/>
    <w:rsid w:val="6EB30DD5"/>
    <w:rsid w:val="6EED2A54"/>
    <w:rsid w:val="6EFD0CD8"/>
    <w:rsid w:val="6EFE7F81"/>
    <w:rsid w:val="6F642EA4"/>
    <w:rsid w:val="70023CB0"/>
    <w:rsid w:val="70A72E85"/>
    <w:rsid w:val="70BF5BA0"/>
    <w:rsid w:val="711B1149"/>
    <w:rsid w:val="712867C7"/>
    <w:rsid w:val="717E1658"/>
    <w:rsid w:val="71A41125"/>
    <w:rsid w:val="71CA7E6C"/>
    <w:rsid w:val="720B140A"/>
    <w:rsid w:val="72371B70"/>
    <w:rsid w:val="72374081"/>
    <w:rsid w:val="72780D3C"/>
    <w:rsid w:val="72A96BF8"/>
    <w:rsid w:val="72D308F0"/>
    <w:rsid w:val="73015D3E"/>
    <w:rsid w:val="733235B9"/>
    <w:rsid w:val="733A0C85"/>
    <w:rsid w:val="73EE652B"/>
    <w:rsid w:val="73FD71AB"/>
    <w:rsid w:val="7413567E"/>
    <w:rsid w:val="74EC1CBB"/>
    <w:rsid w:val="750D59E1"/>
    <w:rsid w:val="757E143D"/>
    <w:rsid w:val="75A611E3"/>
    <w:rsid w:val="7609255C"/>
    <w:rsid w:val="769B0721"/>
    <w:rsid w:val="76CB2857"/>
    <w:rsid w:val="770921A3"/>
    <w:rsid w:val="774D0AEE"/>
    <w:rsid w:val="77A11B14"/>
    <w:rsid w:val="77C475EF"/>
    <w:rsid w:val="77F4694D"/>
    <w:rsid w:val="77F51359"/>
    <w:rsid w:val="78515088"/>
    <w:rsid w:val="78E34C8A"/>
    <w:rsid w:val="791B27EC"/>
    <w:rsid w:val="794A78CA"/>
    <w:rsid w:val="798E7C19"/>
    <w:rsid w:val="79B24418"/>
    <w:rsid w:val="79BD670E"/>
    <w:rsid w:val="7A2E3BE4"/>
    <w:rsid w:val="7A5419A0"/>
    <w:rsid w:val="7A9E10B5"/>
    <w:rsid w:val="7AB1394D"/>
    <w:rsid w:val="7B1D76EF"/>
    <w:rsid w:val="7B302661"/>
    <w:rsid w:val="7D1C5E02"/>
    <w:rsid w:val="7D656AE5"/>
    <w:rsid w:val="7D7D770C"/>
    <w:rsid w:val="7D911AF6"/>
    <w:rsid w:val="7DD57EA5"/>
    <w:rsid w:val="7E351332"/>
    <w:rsid w:val="7E393E6C"/>
    <w:rsid w:val="7E820BD7"/>
    <w:rsid w:val="7E955D81"/>
    <w:rsid w:val="7EBA3C2E"/>
    <w:rsid w:val="7EEB0A40"/>
    <w:rsid w:val="7F14356C"/>
    <w:rsid w:val="7F1F326F"/>
    <w:rsid w:val="7F561BB3"/>
    <w:rsid w:val="7F6F1205"/>
    <w:rsid w:val="7FCD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2018-06-22T07:44:18Z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