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鸡蛋周报（20180625--20180629）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1120" w:firstLineChars="7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2018年7月13日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3.6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3.33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3.298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3.601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3.38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2.7（元/羽）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+0.86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3.81（元/斤）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+0.21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当周（7月9日-7月13日）鸡蛋现货价格：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3.6元/斤，较上周上涨0.01元/斤；河北3.33元/斤，较上周上涨0.24元/斤；山东3.5元/斤，较上周上涨0.4元/斤；主产区均价3.298元/斤，较上周上涨0.242元/斤；主销区均价3.601元/斤，较上周上涨0.276元/斤；产销均价3.38元/斤，较上周上涨0.25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主产区鸡苗均价：2.7元/羽，较上周上涨0.86元/羽。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主产区淘汰鸡均价3.81元/斤，较上周上涨0.21元/斤。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485765" cy="2221230"/>
            <wp:effectExtent l="4445" t="4445" r="11430" b="1460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157470" cy="2318385"/>
            <wp:effectExtent l="4445" t="4445" r="19685" b="889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当周（7月9日-7月13日）鸡蛋期货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鸡蛋截至收盘，主力合约收盘价4230元/500千克，开盘价4180元/500千克，全天高价4236元/500千克，最低价4153.元/500千克，上涨48元/500千克，涨幅1.15%。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今日鸡蛋主力合约成交量14.7万手，增加4.51万手；持仓量14.9万手，增加13604手。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137150" cy="2699385"/>
            <wp:effectExtent l="0" t="0" r="13970" b="1333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7">
                      <a:lum bright="6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今日蛋价部分地区持续上涨，其他地区持稳，当前走货正常偏快，蛋商存货较少，要货积极，部分业者反映蛋率有所下滑，终端走货情况正常。预计近期蛋价大部分地区以稳为主，部分区域或震荡偏强。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前距离中秋备货仍有时日，终端需求短期难有明显好转，蛋价持续上涨缺乏动力。此外，当前蛋鸡鸡龄结构偏年轻化，新开产蛋鸡较多而可供淘汰蛋鸡数量有限，预计短期蛋价难有根本好转。整体来看，上游对鸡蛋期货1809合约存在成本支撑，对养殖利润形成倒推，中秋节前是鸡蛋需求的传统旺季，加上高温雨季等天气异常，对蛋鸡存栏、产蛋供应构成利多，预计鸡蛋1809合约将在这种多空力量胶合下震荡偏强运行，建议在3800元/500千克之下逢低建多，4500元/500千克之上不可追多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交易策略建议：逢低建多。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8E2D09"/>
    <w:rsid w:val="1AB0692D"/>
    <w:rsid w:val="1AB44B4A"/>
    <w:rsid w:val="1AC55B68"/>
    <w:rsid w:val="1AE47BB2"/>
    <w:rsid w:val="1AE52BCC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408BE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3095D"/>
    <w:rsid w:val="2B091C25"/>
    <w:rsid w:val="2B3C4CBD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7B150A"/>
    <w:rsid w:val="4097543E"/>
    <w:rsid w:val="409C080C"/>
    <w:rsid w:val="40CB4D9C"/>
    <w:rsid w:val="40E31126"/>
    <w:rsid w:val="40E84427"/>
    <w:rsid w:val="40FE0AE8"/>
    <w:rsid w:val="410F6940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707BE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A4EB9"/>
    <w:rsid w:val="4DC0288F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4A6DD9"/>
    <w:rsid w:val="557145A0"/>
    <w:rsid w:val="55961603"/>
    <w:rsid w:val="55DB6F3D"/>
    <w:rsid w:val="55EC41D2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C3777"/>
    <w:rsid w:val="5C9403BD"/>
    <w:rsid w:val="5CD231C5"/>
    <w:rsid w:val="5CF97215"/>
    <w:rsid w:val="5D1D6F9E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[刘嘉琳数据库.xlsx]鸡蛋!$F$5:$F$71</c:f>
              <c:numCache>
                <c:formatCode>General</c:formatCode>
                <c:ptCount val="67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[刘嘉琳数据库.xlsx]鸡蛋!$H$5:$H$71</c:f>
              <c:numCache>
                <c:formatCode>General</c:formatCode>
                <c:ptCount val="67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  <c:pt idx="46">
                  <c:v>3.374</c:v>
                </c:pt>
                <c:pt idx="47">
                  <c:v>3.355</c:v>
                </c:pt>
                <c:pt idx="48">
                  <c:v>3.348</c:v>
                </c:pt>
                <c:pt idx="49">
                  <c:v>3.335</c:v>
                </c:pt>
                <c:pt idx="50">
                  <c:v>3.287</c:v>
                </c:pt>
                <c:pt idx="51">
                  <c:v>3.264</c:v>
                </c:pt>
                <c:pt idx="52">
                  <c:v>3.234</c:v>
                </c:pt>
                <c:pt idx="53">
                  <c:v>3.176</c:v>
                </c:pt>
                <c:pt idx="54">
                  <c:v>3.154</c:v>
                </c:pt>
                <c:pt idx="55">
                  <c:v>3.035</c:v>
                </c:pt>
                <c:pt idx="56">
                  <c:v>3.03</c:v>
                </c:pt>
                <c:pt idx="57">
                  <c:v>2.995</c:v>
                </c:pt>
                <c:pt idx="58">
                  <c:v>3.014</c:v>
                </c:pt>
                <c:pt idx="59">
                  <c:v>3.038</c:v>
                </c:pt>
                <c:pt idx="60">
                  <c:v>3.056</c:v>
                </c:pt>
                <c:pt idx="61">
                  <c:v>3.051</c:v>
                </c:pt>
                <c:pt idx="62">
                  <c:v>3.051</c:v>
                </c:pt>
                <c:pt idx="63">
                  <c:v>3.064</c:v>
                </c:pt>
                <c:pt idx="64">
                  <c:v>3.214</c:v>
                </c:pt>
                <c:pt idx="65">
                  <c:v>3.261</c:v>
                </c:pt>
                <c:pt idx="66">
                  <c:v>3.298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[刘嘉琳数据库.xlsx]鸡蛋!$J$5:$J$71</c:f>
              <c:numCache>
                <c:formatCode>General</c:formatCode>
                <c:ptCount val="67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[刘嘉琳数据库.xlsx]鸡蛋!$B$5:$B$71</c:f>
              <c:strCache>
                <c:ptCount val="67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</c:strCache>
            </c:strRef>
          </c:cat>
          <c:val>
            <c:numRef>
              <c:f>[刘嘉琳数据库.xlsx]鸡蛋!$C$5:$C$71</c:f>
              <c:numCache>
                <c:formatCode>General</c:formatCode>
                <c:ptCount val="67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[刘嘉琳数据库.xlsx]鸡蛋!$B$5:$B$71</c:f>
              <c:strCache>
                <c:ptCount val="67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</c:strCache>
            </c:strRef>
          </c:cat>
          <c:val>
            <c:numRef>
              <c:f>[刘嘉琳数据库.xlsx]鸡蛋!$D$5:$D$71</c:f>
              <c:numCache>
                <c:formatCode>General</c:formatCode>
                <c:ptCount val="67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[刘嘉琳数据库.xlsx]鸡蛋!$B$5:$B$71</c:f>
              <c:strCache>
                <c:ptCount val="67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</c:strCache>
            </c:strRef>
          </c:cat>
          <c:val>
            <c:numRef>
              <c:f>[刘嘉琳数据库.xlsx]鸡蛋!$E$5:$E$71</c:f>
              <c:numCache>
                <c:formatCode>General</c:formatCode>
                <c:ptCount val="67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[刘嘉琳数据库.xlsx]鸡蛋!$O$4:$O$57</c:f>
              <c:strCache>
                <c:ptCount val="54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</c:strCache>
            </c:strRef>
          </c:cat>
          <c:val>
            <c:numRef>
              <c:f>[刘嘉琳数据库.xlsx]鸡蛋!$R$4:$R$57</c:f>
              <c:numCache>
                <c:formatCode>General</c:formatCode>
                <c:ptCount val="54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[刘嘉琳数据库.xlsx]鸡蛋!$O$4:$O$57</c:f>
              <c:strCache>
                <c:ptCount val="54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</c:strCache>
            </c:strRef>
          </c:cat>
          <c:val>
            <c:numRef>
              <c:f>[刘嘉琳数据库.xlsx]鸡蛋!$P$4:$P$57</c:f>
              <c:numCache>
                <c:formatCode>General</c:formatCode>
                <c:ptCount val="54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2018-07-13T08:32:09Z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