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郑棉周报（20180813--201808017）</w:t>
      </w:r>
    </w:p>
    <w:p>
      <w:pPr>
        <w:spacing w:line="240" w:lineRule="auto"/>
        <w:ind w:firstLine="1760" w:firstLineChars="1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当周（8月13日-8月17日），棉花现货价格CC Index 3128B周度下跌2元/吨，小幅下跌，8月17日报价16291元/吨；外棉FC Index M周度下跌5.13美分/磅，小幅下跌，8月17日报价92.49美分/磅；考特鲁克指数Cotlook A 周度下跌6.45美分/磅，小幅下跌，8月17日报价90.75美分/磅，1%关税后折合人民币15073元/吨；中国棉纱价格指数CY Index C32S周度上涨30元/吨，保持稳定，8月17日报价23870元/；进口棉纱价格指数FCY Index C32S周度下跌118元/吨，小幅下跌，8月17日报价25054元/吨。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672080"/>
            <wp:effectExtent l="4445" t="4445" r="12700" b="5715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605405"/>
            <wp:effectExtent l="4445" t="4445" r="11430" b="1143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当周（8月13日-8月17日）储备棉轮出第八周轮出销售底价为</w:t>
      </w:r>
      <w:r>
        <w:rPr>
          <w:rFonts w:hint="default" w:asciiTheme="minorEastAsia" w:hAnsi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cstheme="minorEastAsia"/>
          <w:lang w:val="en-US" w:eastAsia="zh-CN"/>
        </w:rPr>
        <w:t>6136元/吨（标准级价格），较前一周上涨293元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吨，储备棉轮出成交量持续下跌。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16</w:t>
      </w:r>
      <w:r>
        <w:rPr>
          <w:rFonts w:hint="eastAsia" w:asciiTheme="minorEastAsia" w:hAnsi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0.33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11.03%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14953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254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16642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吨。截至</w:t>
      </w:r>
      <w:r>
        <w:rPr>
          <w:rFonts w:hint="default" w:asciiTheme="minorEastAsia" w:hAnsi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16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333.1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189.6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56.92%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uto"/>
        <w:ind w:right="0"/>
        <w:jc w:val="left"/>
        <w:rPr>
          <w:rFonts w:hint="eastAsia" w:eastAsiaTheme="minorEastAsia"/>
          <w:b w:val="0"/>
          <w:lang w:eastAsia="zh-CN"/>
        </w:rPr>
      </w:pPr>
      <w:r>
        <w:rPr>
          <w:rFonts w:hint="eastAsia" w:eastAsiaTheme="minorEastAsia"/>
          <w:b w:val="0"/>
          <w:lang w:eastAsia="zh-CN"/>
        </w:rPr>
        <w:drawing>
          <wp:inline distT="0" distB="0" distL="114300" distR="114300">
            <wp:extent cx="5271135" cy="2092325"/>
            <wp:effectExtent l="0" t="0" r="1905" b="10795"/>
            <wp:docPr id="5" name="图片 5" descr="W02018081661221575884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020180816612215758846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8月，新疆棉花进入盛铃期，是需肥需水的关键时期，目前大部分地区已结铃，整体长势早于去年，结桃较好，底部桃个大、饱满，今年棉花长势好于去年，如果后期天气稳定，棉花将会喜获丰收，预计9月上旬棉花大面积吐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近期，大部分地区气候炎热、干旱，部分棉田虫害严重，以蚜虫居多，红蛛蛛少量。棉区整体长势相对比往年较好，预计产量高于去年；部分地区受虫害的影响长势略差，但成铃好于去年，预计产量与往年持平；小部分地区受虫害影响较大，整体长势较差，预计产量比去年略低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4376420"/>
            <wp:effectExtent l="0" t="0" r="10160" b="12700"/>
            <wp:docPr id="1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7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</w:pPr>
      <w:r>
        <w:rPr>
          <w:rFonts w:hint="eastAsia" w:asciiTheme="minorEastAsia" w:hAnsiTheme="minorEastAsia" w:cstheme="minorEastAsia"/>
          <w:lang w:val="en-US" w:eastAsia="zh-CN"/>
        </w:rPr>
        <w:t>天气情况：据新疆自治区气象台预报：8月中旬的旬平均气温伊犁州、喀什地区、克州、和田地区、阿克苏地区西部略偏低，全疆其余地区接近常年或略偏高；旬降水量伊犁州山区、喀什地区、克州、和田地区、哈密市略偏多或偏多，全疆其余大部地区略偏少或偏少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00040" cy="3150235"/>
            <wp:effectExtent l="0" t="0" r="10160" b="4445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50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洲际交易所(ICE)纽约期棉周四收涨1.31%，此前中国宣布计划和美国进行新一轮贸易磋商，点燃全球最大两个经济体可能解决不断升级的关税战的希望。</w:t>
      </w:r>
      <w:r>
        <w:rPr>
          <w:rFonts w:hint="eastAsia" w:asciiTheme="minorEastAsia" w:hAnsiTheme="minorEastAsia" w:cstheme="minorEastAsia"/>
          <w:lang w:val="en-US" w:eastAsia="zh-CN"/>
        </w:rPr>
        <w:t>交易区间为87.7-88.88美分/磅。市期货市场总成交量减少10016手，至24472手。数据显示，前一交易日持仓量减少2215手，至26.05万手。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66055" cy="2895600"/>
            <wp:effectExtent l="0" t="0" r="6985" b="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（8月13日-8月17日）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郑棉主力合约收盘价较上周五</w:t>
      </w:r>
      <w:r>
        <w:rPr>
          <w:rFonts w:hint="eastAsia" w:asciiTheme="minorEastAsia" w:hAnsiTheme="minorEastAsia" w:cstheme="minorEastAsia"/>
          <w:lang w:val="en-US" w:eastAsia="zh-CN"/>
        </w:rPr>
        <w:t>下跌430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8月17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日主主力合约收盘价</w:t>
      </w:r>
      <w:r>
        <w:rPr>
          <w:rFonts w:hint="eastAsia" w:asciiTheme="minorEastAsia" w:hAnsiTheme="minorEastAsia" w:cstheme="minorEastAsia"/>
          <w:lang w:val="en-US" w:eastAsia="zh-CN"/>
        </w:rPr>
        <w:t>16510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16660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16745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16460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下跌135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跌幅0.81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8月17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日郑棉主力合约持仓量</w:t>
      </w:r>
      <w:r>
        <w:rPr>
          <w:rFonts w:hint="eastAsia" w:asciiTheme="minorEastAsia" w:hAnsiTheme="minorEastAsia" w:cstheme="minorEastAsia"/>
          <w:lang w:val="en-US" w:eastAsia="zh-CN"/>
        </w:rPr>
        <w:t>28.8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减少26.8万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手；成交</w:t>
      </w:r>
      <w:r>
        <w:rPr>
          <w:rFonts w:hint="eastAsia" w:asciiTheme="minorEastAsia" w:hAnsiTheme="minorEastAsia" w:cstheme="minorEastAsia"/>
          <w:lang w:val="en-US" w:eastAsia="zh-CN"/>
        </w:rPr>
        <w:t>45.4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减少8150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0500" cy="2897505"/>
            <wp:effectExtent l="0" t="0" r="2540" b="1333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1">
                      <a:lum bright="24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（8月13日-8月17日）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8月17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发布的美国棉花生产报告显示，截至2017年8月12日，美国棉花现蕾率96%，较前周增加4个百分点，较上年同期减少1个百分点，较过去五年平均水平减少2个百分点；结铃进度77%，较前周增加17个百分点，较上年同期持平，较过去五年平均水平减少1个百分点；吐絮进度13%，较前周增加,4个百分点，较上年同期增加3个百分点，较过去五年平均水平增加4个百分点；棉花生长状况达到良好级以上的达到40%，与前周持平，较上年同期减少21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美国农业部报告显示，2018年8月3-9日，2018/19年度美棉出口净签约量1.76万吨，2019/2020年度美国棉花净出口签约量为-2653吨，2018/19年度美国棉花装运量为5.45万吨，2018/19年度皮马棉净签约量为635吨。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目前离新棉集中上市还有不到2个月，期间有储备棉、进口棉、新疆棉供应，截止7月底棉花商业库存仍有199.7万吨，而近期储备棉成交率持续低迷，一方面储备棉上市棉花质量不好，另一方面也侧面反映出现在市场并不缺棉花，纺企也不急于储备棉花。目前市场政策基本落地，预计在新棉上市前基本面变化不大。近期大宗商品大幅下跌，郑棉也跟随大跌，后期关注全球宏观经济氛围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基于以上考虑，对于近期棉花的走势倾向于区间震荡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偏</w:t>
      </w:r>
      <w:r>
        <w:rPr>
          <w:rFonts w:hint="eastAsia" w:asciiTheme="minorEastAsia" w:hAnsiTheme="minorEastAsia" w:cstheme="minorEastAsia"/>
          <w:lang w:val="en-US" w:eastAsia="zh-CN"/>
        </w:rPr>
        <w:t>弱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的判断，震荡区间1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58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00元/吨-1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000元/吨。中长期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来看，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基于棉花供应偏紧格局未变，若无重大利空兑现，棉花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在后期</w:t>
      </w:r>
      <w:r>
        <w:rPr>
          <w:rFonts w:hint="default" w:asciiTheme="minorEastAsia" w:hAnsiTheme="minorEastAsia" w:eastAsiaTheme="minorEastAsia" w:cstheme="minorEastAsia"/>
          <w:lang w:val="en-US" w:eastAsia="zh-CN"/>
        </w:rPr>
        <w:t>或将再次迎来上涨机会。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操作上，短期郑棉期价震荡偏弱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为主，中长期投资者可在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lang w:val="en-US" w:eastAsia="zh-CN"/>
        </w:rPr>
        <w:t>16000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附近轻仓做多。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建议多单持有，逢低布多。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534FA5"/>
    <w:rsid w:val="028A69AC"/>
    <w:rsid w:val="02964CD9"/>
    <w:rsid w:val="02B30D02"/>
    <w:rsid w:val="02B47328"/>
    <w:rsid w:val="02CD04A4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8F6FCA"/>
    <w:rsid w:val="05CD1515"/>
    <w:rsid w:val="05F32E9A"/>
    <w:rsid w:val="065821A1"/>
    <w:rsid w:val="0667488E"/>
    <w:rsid w:val="0696462C"/>
    <w:rsid w:val="06FA5D33"/>
    <w:rsid w:val="07860B1A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97A9E"/>
    <w:rsid w:val="0A65639F"/>
    <w:rsid w:val="0A6C1E03"/>
    <w:rsid w:val="0A72023A"/>
    <w:rsid w:val="0A8956AB"/>
    <w:rsid w:val="0AD17013"/>
    <w:rsid w:val="0B0C4874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1907F88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554F08"/>
    <w:rsid w:val="146A6F72"/>
    <w:rsid w:val="1470553B"/>
    <w:rsid w:val="148E1854"/>
    <w:rsid w:val="14F94FB4"/>
    <w:rsid w:val="152E0B20"/>
    <w:rsid w:val="1564759A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6717B6"/>
    <w:rsid w:val="1A6A5F2A"/>
    <w:rsid w:val="1A95529C"/>
    <w:rsid w:val="1AC644C7"/>
    <w:rsid w:val="1B191422"/>
    <w:rsid w:val="1B1E258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6B5AE4"/>
    <w:rsid w:val="1FAE5230"/>
    <w:rsid w:val="1FDE7B64"/>
    <w:rsid w:val="20314B85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58789E"/>
    <w:rsid w:val="2A9205E2"/>
    <w:rsid w:val="2ADB7279"/>
    <w:rsid w:val="2AEF1D11"/>
    <w:rsid w:val="2AFA6515"/>
    <w:rsid w:val="2AFA6E2B"/>
    <w:rsid w:val="2B027EA2"/>
    <w:rsid w:val="2B143343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D9D33B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94F6D"/>
    <w:rsid w:val="3A2E4465"/>
    <w:rsid w:val="3A4A735A"/>
    <w:rsid w:val="3A766CC5"/>
    <w:rsid w:val="3AE15F6C"/>
    <w:rsid w:val="3AF37437"/>
    <w:rsid w:val="3AFF7C9B"/>
    <w:rsid w:val="3B436E9E"/>
    <w:rsid w:val="3B4612B4"/>
    <w:rsid w:val="3B6658B1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2FD5D05"/>
    <w:rsid w:val="432F24C4"/>
    <w:rsid w:val="435620BA"/>
    <w:rsid w:val="43990FE2"/>
    <w:rsid w:val="43BF4756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B51999"/>
    <w:rsid w:val="48B55AF2"/>
    <w:rsid w:val="48DA028E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C764A6"/>
    <w:rsid w:val="6CE110E1"/>
    <w:rsid w:val="6D0040A5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66130B"/>
    <w:rsid w:val="718B32F7"/>
    <w:rsid w:val="718E6443"/>
    <w:rsid w:val="71970E49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A145D6"/>
    <w:rsid w:val="7708252E"/>
    <w:rsid w:val="770A72C6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[刘嘉琳数据库.xlsx]棉花现货!$B$3:$B$102</c:f>
              <c:strCache>
                <c:ptCount val="10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</c:strCache>
            </c:strRef>
          </c:cat>
          <c:val>
            <c:numRef>
              <c:f>[刘嘉琳数据库.xlsx]棉花现货!$C$3:$C$102</c:f>
              <c:numCache>
                <c:formatCode>General</c:formatCode>
                <c:ptCount val="100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[刘嘉琳数据库.xlsx]棉花现货!$B$3:$B$102</c:f>
              <c:strCache>
                <c:ptCount val="10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</c:strCache>
            </c:strRef>
          </c:cat>
          <c:val>
            <c:numRef>
              <c:f>[刘嘉琳数据库.xlsx]棉花现货!$D$3:$D$102</c:f>
              <c:numCache>
                <c:formatCode>General</c:formatCode>
                <c:ptCount val="100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[刘嘉琳数据库.xlsx]棉花现货!$B$3:$B$102</c:f>
              <c:strCache>
                <c:ptCount val="100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</c:strCache>
            </c:strRef>
          </c:cat>
          <c:val>
            <c:numRef>
              <c:f>[刘嘉琳数据库.xlsx]棉花现货!$E$3:$E$102</c:f>
              <c:numCache>
                <c:formatCode>General</c:formatCode>
                <c:ptCount val="100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[刘嘉琳数据库.xlsx]棉花现货!$K$32:$K$99</c:f>
              <c:numCache>
                <c:formatCode>General</c:formatCode>
                <c:ptCount val="68"/>
                <c:pt idx="0">
                  <c:v>-352</c:v>
                </c:pt>
                <c:pt idx="1">
                  <c:v>-408</c:v>
                </c:pt>
                <c:pt idx="2">
                  <c:v>-284</c:v>
                </c:pt>
                <c:pt idx="3">
                  <c:v>-315</c:v>
                </c:pt>
                <c:pt idx="4">
                  <c:v>-385</c:v>
                </c:pt>
                <c:pt idx="5">
                  <c:v>-341</c:v>
                </c:pt>
                <c:pt idx="6">
                  <c:v>-267</c:v>
                </c:pt>
                <c:pt idx="7">
                  <c:v>-451</c:v>
                </c:pt>
                <c:pt idx="8">
                  <c:v>-351</c:v>
                </c:pt>
                <c:pt idx="9">
                  <c:v>-347</c:v>
                </c:pt>
                <c:pt idx="10">
                  <c:v>-437</c:v>
                </c:pt>
                <c:pt idx="11">
                  <c:v>-424</c:v>
                </c:pt>
                <c:pt idx="12">
                  <c:v>-411</c:v>
                </c:pt>
                <c:pt idx="13">
                  <c:v>-694</c:v>
                </c:pt>
                <c:pt idx="14">
                  <c:v>-875</c:v>
                </c:pt>
                <c:pt idx="15">
                  <c:v>-778</c:v>
                </c:pt>
                <c:pt idx="16">
                  <c:v>-811</c:v>
                </c:pt>
                <c:pt idx="17">
                  <c:v>-823</c:v>
                </c:pt>
                <c:pt idx="18">
                  <c:v>-793</c:v>
                </c:pt>
                <c:pt idx="19">
                  <c:v>-730</c:v>
                </c:pt>
                <c:pt idx="20">
                  <c:v>-719</c:v>
                </c:pt>
                <c:pt idx="21">
                  <c:v>-773</c:v>
                </c:pt>
                <c:pt idx="22">
                  <c:v>-819</c:v>
                </c:pt>
                <c:pt idx="23">
                  <c:v>-875</c:v>
                </c:pt>
                <c:pt idx="24">
                  <c:v>-916</c:v>
                </c:pt>
                <c:pt idx="25">
                  <c:v>-873</c:v>
                </c:pt>
                <c:pt idx="26">
                  <c:v>-964</c:v>
                </c:pt>
                <c:pt idx="27">
                  <c:v>-1089</c:v>
                </c:pt>
                <c:pt idx="28">
                  <c:v>-1100</c:v>
                </c:pt>
                <c:pt idx="29">
                  <c:v>-1220</c:v>
                </c:pt>
                <c:pt idx="30">
                  <c:v>-1327</c:v>
                </c:pt>
                <c:pt idx="31">
                  <c:v>-1404</c:v>
                </c:pt>
                <c:pt idx="32">
                  <c:v>-1581</c:v>
                </c:pt>
                <c:pt idx="33">
                  <c:v>-1652</c:v>
                </c:pt>
                <c:pt idx="34">
                  <c:v>-1670</c:v>
                </c:pt>
                <c:pt idx="35">
                  <c:v>-1671</c:v>
                </c:pt>
                <c:pt idx="36">
                  <c:v>-1766</c:v>
                </c:pt>
                <c:pt idx="37">
                  <c:v>-1751</c:v>
                </c:pt>
                <c:pt idx="38">
                  <c:v>-1567</c:v>
                </c:pt>
                <c:pt idx="39">
                  <c:v>-1683</c:v>
                </c:pt>
                <c:pt idx="40">
                  <c:v>-1737</c:v>
                </c:pt>
                <c:pt idx="41">
                  <c:v>-1546</c:v>
                </c:pt>
                <c:pt idx="42">
                  <c:v>-1506</c:v>
                </c:pt>
                <c:pt idx="43">
                  <c:v>-1526</c:v>
                </c:pt>
                <c:pt idx="44">
                  <c:v>-1480</c:v>
                </c:pt>
                <c:pt idx="45">
                  <c:v>-1326</c:v>
                </c:pt>
                <c:pt idx="46">
                  <c:v>-1392</c:v>
                </c:pt>
                <c:pt idx="47">
                  <c:v>-1358</c:v>
                </c:pt>
                <c:pt idx="48">
                  <c:v>-1464</c:v>
                </c:pt>
                <c:pt idx="49">
                  <c:v>-1579</c:v>
                </c:pt>
                <c:pt idx="50">
                  <c:v>-1613</c:v>
                </c:pt>
                <c:pt idx="51">
                  <c:v>-1495</c:v>
                </c:pt>
                <c:pt idx="52">
                  <c:v>-1530</c:v>
                </c:pt>
                <c:pt idx="53">
                  <c:v>-1439</c:v>
                </c:pt>
                <c:pt idx="54">
                  <c:v>-1394</c:v>
                </c:pt>
                <c:pt idx="55">
                  <c:v>-1494</c:v>
                </c:pt>
                <c:pt idx="56">
                  <c:v>-1588</c:v>
                </c:pt>
                <c:pt idx="57">
                  <c:v>-1531</c:v>
                </c:pt>
                <c:pt idx="58">
                  <c:v>-1531</c:v>
                </c:pt>
                <c:pt idx="59">
                  <c:v>-1452</c:v>
                </c:pt>
                <c:pt idx="60">
                  <c:v>-1283</c:v>
                </c:pt>
                <c:pt idx="61">
                  <c:v>-1384</c:v>
                </c:pt>
                <c:pt idx="62">
                  <c:v>-1252</c:v>
                </c:pt>
                <c:pt idx="63">
                  <c:v>-1161</c:v>
                </c:pt>
                <c:pt idx="64">
                  <c:v>-1262</c:v>
                </c:pt>
                <c:pt idx="65">
                  <c:v>-1272</c:v>
                </c:pt>
                <c:pt idx="66">
                  <c:v>-1195</c:v>
                </c:pt>
                <c:pt idx="67">
                  <c:v>-1233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[刘嘉琳数据库.xlsx]棉花现货!$B$32:$B$102</c:f>
              <c:strCache>
                <c:ptCount val="7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</c:strCache>
            </c:strRef>
          </c:cat>
          <c:val>
            <c:numRef>
              <c:f>[刘嘉琳数据库.xlsx]棉花现货!$I$32:$I$99</c:f>
              <c:numCache>
                <c:formatCode>General</c:formatCode>
                <c:ptCount val="68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[刘嘉琳数据库.xlsx]棉花现货!$B$32:$B$102</c:f>
              <c:strCache>
                <c:ptCount val="7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</c:strCache>
            </c:strRef>
          </c:cat>
          <c:val>
            <c:numRef>
              <c:f>[刘嘉琳数据库.xlsx]棉花现货!$J$32:$J$100</c:f>
              <c:numCache>
                <c:formatCode>General</c:formatCode>
                <c:ptCount val="69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 val="autoZero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2018-08-17T07:22:27Z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