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基本面偏弱四季度大概率震荡</w:t>
      </w:r>
    </w:p>
    <w:p>
      <w:pPr>
        <w:jc w:val="center"/>
        <w:rPr>
          <w:rFonts w:hint="eastAsia"/>
          <w:b/>
          <w:bCs/>
          <w:sz w:val="44"/>
          <w:szCs w:val="44"/>
          <w:lang w:val="en-US" w:eastAsia="zh-CN"/>
        </w:rPr>
      </w:pPr>
    </w:p>
    <w:p>
      <w:pPr>
        <w:rPr>
          <w:rFonts w:hint="eastAsia" w:asciiTheme="minorHAnsi" w:hAnsiTheme="minorHAnsi" w:eastAsiaTheme="minorEastAsia" w:cstheme="minorBidi"/>
          <w:kern w:val="2"/>
          <w:sz w:val="21"/>
          <w:szCs w:val="24"/>
          <w:lang w:val="en-US" w:eastAsia="zh-CN" w:bidi="ar-SA"/>
        </w:rPr>
      </w:pPr>
      <w:r>
        <w:drawing>
          <wp:inline distT="0" distB="0" distL="114300" distR="114300">
            <wp:extent cx="5273040" cy="3228340"/>
            <wp:effectExtent l="0" t="0" r="381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273040" cy="3228340"/>
                    </a:xfrm>
                    <a:prstGeom prst="rect">
                      <a:avLst/>
                    </a:prstGeom>
                    <a:noFill/>
                    <a:ln w="9525">
                      <a:noFill/>
                    </a:ln>
                  </pic:spPr>
                </pic:pic>
              </a:graphicData>
            </a:graphic>
          </wp:inline>
        </w:drawing>
      </w:r>
    </w:p>
    <w:p>
      <w:pP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数据来源：文华财经</w:t>
      </w:r>
    </w:p>
    <w:p>
      <w:pPr>
        <w:rPr>
          <w:rFonts w:hint="eastAsia" w:asciiTheme="minorHAnsi" w:hAnsiTheme="minorHAnsi" w:eastAsiaTheme="minorEastAsia" w:cstheme="minorBidi"/>
          <w:kern w:val="2"/>
          <w:sz w:val="21"/>
          <w:szCs w:val="24"/>
          <w:lang w:val="en-US" w:eastAsia="zh-CN" w:bidi="ar-SA"/>
        </w:rPr>
      </w:pPr>
    </w:p>
    <w:p>
      <w:pPr>
        <w:tabs>
          <w:tab w:val="left" w:pos="808"/>
        </w:tabs>
        <w:jc w:val="left"/>
        <w:rPr>
          <w:rFonts w:hint="eastAsia" w:asciiTheme="minorHAnsi" w:hAnsiTheme="minorHAnsi" w:eastAsiaTheme="minorEastAsia" w:cstheme="minorBidi"/>
          <w:kern w:val="2"/>
          <w:sz w:val="21"/>
          <w:szCs w:val="24"/>
          <w:lang w:val="en-US" w:eastAsia="zh-CN" w:bidi="ar-SA"/>
        </w:rPr>
      </w:pPr>
      <w:r>
        <w:rPr>
          <w:rFonts w:hint="eastAsia" w:ascii="微软雅黑" w:hAnsi="微软雅黑" w:eastAsia="微软雅黑" w:cs="微软雅黑"/>
          <w:b/>
          <w:bCs/>
          <w:i w:val="0"/>
          <w:caps w:val="0"/>
          <w:color w:val="000000"/>
          <w:spacing w:val="0"/>
          <w:kern w:val="2"/>
          <w:sz w:val="21"/>
          <w:szCs w:val="21"/>
          <w:shd w:val="clear" w:fill="FFFFFF"/>
          <w:lang w:val="en-US" w:eastAsia="zh-CN" w:bidi="ar-SA"/>
        </w:rPr>
        <w:t>摘要：</w:t>
      </w:r>
      <w:r>
        <w:rPr>
          <w:rFonts w:hint="eastAsia" w:ascii="微软雅黑" w:hAnsi="微软雅黑" w:eastAsia="微软雅黑" w:cs="微软雅黑"/>
          <w:i w:val="0"/>
          <w:caps w:val="0"/>
          <w:color w:val="000000"/>
          <w:spacing w:val="0"/>
          <w:kern w:val="2"/>
          <w:sz w:val="21"/>
          <w:szCs w:val="21"/>
          <w:shd w:val="clear" w:fill="FFFFFF"/>
          <w:lang w:val="en-US" w:eastAsia="zh-CN" w:bidi="ar-SA"/>
        </w:rPr>
        <w:t>宏观面依然不确定，中国退出原定近日举行的中美贸易谈判，令全球两大经济体解决贸易纠纷的前景变得更加黯淡，中美贸易争端的变化依然是影响期铜的重要因素，后市仍需关注。基本面需求端电网投资可能带动铜消费，国内房地产投资增速趋缓，虽然政策给了市场基建托底经济的预期，但效果仍然有待观察，空调与汽车行业现阶段来看这种弱势局面短期料将延续。供给端罢工预期消退，产铜大国的稳定输出，供给增长形成了有力支撑，</w:t>
      </w:r>
      <w:r>
        <w:rPr>
          <w:rFonts w:hint="eastAsia" w:ascii="微软雅黑" w:hAnsi="微软雅黑" w:eastAsia="微软雅黑" w:cs="微软雅黑"/>
          <w:i w:val="0"/>
          <w:caps w:val="0"/>
          <w:color w:val="000000"/>
          <w:spacing w:val="0"/>
          <w:kern w:val="2"/>
          <w:sz w:val="21"/>
          <w:szCs w:val="21"/>
          <w:lang w:val="en-US" w:eastAsia="zh-CN" w:bidi="ar-SA"/>
        </w:rPr>
        <w:t>综合看基本面不支持期铜持续上涨，宏观面也是偏弱，特别是中美</w:t>
      </w:r>
      <w:r>
        <w:rPr>
          <w:rFonts w:hint="eastAsia" w:ascii="微软雅黑" w:hAnsi="微软雅黑" w:eastAsia="微软雅黑" w:cs="微软雅黑"/>
          <w:i w:val="0"/>
          <w:caps w:val="0"/>
          <w:color w:val="000000"/>
          <w:spacing w:val="0"/>
          <w:kern w:val="2"/>
          <w:sz w:val="21"/>
          <w:szCs w:val="21"/>
          <w:shd w:val="clear" w:fill="FFFFFF"/>
          <w:lang w:val="en-US" w:eastAsia="zh-CN" w:bidi="ar-SA"/>
        </w:rPr>
        <w:t>贸易争端的前景变得更加黯淡，如果四季度</w:t>
      </w:r>
      <w:r>
        <w:rPr>
          <w:rFonts w:hint="eastAsia" w:ascii="微软雅黑" w:hAnsi="微软雅黑" w:eastAsia="微软雅黑" w:cs="微软雅黑"/>
          <w:i w:val="0"/>
          <w:caps w:val="0"/>
          <w:color w:val="000000"/>
          <w:spacing w:val="0"/>
          <w:kern w:val="2"/>
          <w:sz w:val="21"/>
          <w:szCs w:val="21"/>
          <w:lang w:val="en-US" w:eastAsia="zh-CN" w:bidi="ar-SA"/>
        </w:rPr>
        <w:t>中美</w:t>
      </w:r>
      <w:r>
        <w:rPr>
          <w:rFonts w:hint="eastAsia" w:ascii="微软雅黑" w:hAnsi="微软雅黑" w:eastAsia="微软雅黑" w:cs="微软雅黑"/>
          <w:i w:val="0"/>
          <w:caps w:val="0"/>
          <w:color w:val="000000"/>
          <w:spacing w:val="0"/>
          <w:kern w:val="2"/>
          <w:sz w:val="21"/>
          <w:szCs w:val="21"/>
          <w:shd w:val="clear" w:fill="FFFFFF"/>
          <w:lang w:val="en-US" w:eastAsia="zh-CN" w:bidi="ar-SA"/>
        </w:rPr>
        <w:t>贸易争端形势有所好转将是对期铜的一大利好。</w:t>
      </w:r>
    </w:p>
    <w:p>
      <w:pPr>
        <w:rPr>
          <w:rFonts w:hint="eastAsia" w:asciiTheme="minorHAnsi" w:hAnsiTheme="minorHAnsi" w:eastAsiaTheme="minorEastAsia" w:cstheme="minorBidi"/>
          <w:kern w:val="2"/>
          <w:sz w:val="21"/>
          <w:szCs w:val="24"/>
          <w:lang w:val="en-US" w:eastAsia="zh-CN" w:bidi="ar-SA"/>
        </w:rPr>
      </w:pPr>
    </w:p>
    <w:p>
      <w:pPr>
        <w:ind w:firstLine="208" w:firstLineChars="0"/>
        <w:jc w:val="left"/>
        <w:rPr>
          <w:rFonts w:hint="eastAsia" w:cstheme="minorBidi"/>
          <w:b/>
          <w:bCs/>
          <w:kern w:val="2"/>
          <w:sz w:val="21"/>
          <w:szCs w:val="21"/>
          <w:lang w:val="en-US" w:eastAsia="zh-CN" w:bidi="ar-SA"/>
        </w:rPr>
      </w:pPr>
      <w:r>
        <w:rPr>
          <w:rFonts w:hint="eastAsia" w:cstheme="minorBidi"/>
          <w:b/>
          <w:bCs/>
          <w:kern w:val="2"/>
          <w:sz w:val="36"/>
          <w:szCs w:val="36"/>
          <w:lang w:val="en-US" w:eastAsia="zh-CN" w:bidi="ar-SA"/>
        </w:rPr>
        <w:t>一、宏观面</w:t>
      </w:r>
      <w:bookmarkStart w:id="0" w:name="_GoBack"/>
      <w:bookmarkEnd w:id="0"/>
    </w:p>
    <w:p>
      <w:pPr>
        <w:ind w:firstLine="238" w:firstLineChars="0"/>
        <w:jc w:val="left"/>
        <w:rPr>
          <w:rFonts w:hint="eastAsia" w:cstheme="minorBidi"/>
          <w:b/>
          <w:bCs/>
          <w:kern w:val="2"/>
          <w:sz w:val="21"/>
          <w:szCs w:val="21"/>
          <w:lang w:val="en-US" w:eastAsia="zh-CN" w:bidi="ar-SA"/>
        </w:rPr>
      </w:pPr>
      <w:r>
        <w:rPr>
          <w:rFonts w:hint="eastAsia" w:cstheme="minorBidi"/>
          <w:b/>
          <w:bCs/>
          <w:kern w:val="2"/>
          <w:sz w:val="21"/>
          <w:szCs w:val="21"/>
          <w:lang w:val="en-US" w:eastAsia="zh-CN" w:bidi="ar-SA"/>
        </w:rPr>
        <w:t>1、中国经济</w:t>
      </w:r>
    </w:p>
    <w:p>
      <w:pPr>
        <w:ind w:firstLine="298" w:firstLineChars="0"/>
        <w:jc w:val="left"/>
        <w:rPr>
          <w:rFonts w:hint="eastAsia" w:ascii="微软雅黑" w:hAnsi="微软雅黑" w:eastAsia="微软雅黑" w:cs="微软雅黑"/>
          <w:i w:val="0"/>
          <w:caps w:val="0"/>
          <w:color w:val="000000"/>
          <w:spacing w:val="0"/>
          <w:sz w:val="21"/>
          <w:szCs w:val="21"/>
          <w:shd w:val="clear" w:fill="FFFFFF"/>
          <w:lang w:val="en-US" w:eastAsia="zh-CN"/>
        </w:rPr>
      </w:pPr>
      <w:r>
        <w:rPr>
          <w:rFonts w:hint="eastAsia" w:ascii="微软雅黑" w:hAnsi="微软雅黑" w:eastAsia="微软雅黑" w:cs="微软雅黑"/>
          <w:i w:val="0"/>
          <w:caps w:val="0"/>
          <w:color w:val="000000"/>
          <w:spacing w:val="0"/>
          <w:sz w:val="21"/>
          <w:szCs w:val="21"/>
          <w:shd w:val="clear" w:fill="FFFFFF"/>
        </w:rPr>
        <w:t>中国8月财新制造业PMI 降至50.6，创2017年6月以来最低水平，出口销售连续第五个月下降，制造业景气持续下降，需求端出现大幅收缩，1-8月固定资产投资同比增长5.3%，连续6个月创新低，8月规模以上工业增加值同比增长6.1%，略高于预估中值的6.0%</w:t>
      </w:r>
      <w:r>
        <w:rPr>
          <w:rFonts w:hint="eastAsia" w:ascii="微软雅黑" w:hAnsi="微软雅黑" w:eastAsia="微软雅黑" w:cs="微软雅黑"/>
          <w:i w:val="0"/>
          <w:caps w:val="0"/>
          <w:color w:val="000000"/>
          <w:spacing w:val="0"/>
          <w:sz w:val="21"/>
          <w:szCs w:val="21"/>
          <w:shd w:val="clear" w:fill="FFFFFF"/>
          <w:lang w:eastAsia="zh-CN"/>
        </w:rPr>
        <w:t>，</w:t>
      </w:r>
      <w:r>
        <w:rPr>
          <w:rFonts w:hint="eastAsia" w:ascii="微软雅黑" w:hAnsi="微软雅黑" w:eastAsia="微软雅黑" w:cs="微软雅黑"/>
          <w:i w:val="0"/>
          <w:caps w:val="0"/>
          <w:color w:val="000000"/>
          <w:spacing w:val="0"/>
          <w:sz w:val="21"/>
          <w:szCs w:val="21"/>
          <w:shd w:val="clear" w:fill="FFFFFF"/>
        </w:rPr>
        <w:t>社会消费品零售总额同比增9.0%</w:t>
      </w:r>
      <w:r>
        <w:rPr>
          <w:rFonts w:hint="eastAsia" w:ascii="微软雅黑" w:hAnsi="微软雅黑" w:eastAsia="微软雅黑" w:cs="微软雅黑"/>
          <w:i w:val="0"/>
          <w:caps w:val="0"/>
          <w:color w:val="000000"/>
          <w:spacing w:val="0"/>
          <w:sz w:val="21"/>
          <w:szCs w:val="21"/>
          <w:shd w:val="clear" w:fill="FFFFFF"/>
          <w:lang w:eastAsia="zh-CN"/>
        </w:rPr>
        <w:t>小幅回升</w:t>
      </w:r>
      <w:r>
        <w:rPr>
          <w:rFonts w:hint="eastAsia" w:ascii="微软雅黑" w:hAnsi="微软雅黑" w:eastAsia="微软雅黑" w:cs="微软雅黑"/>
          <w:i w:val="0"/>
          <w:caps w:val="0"/>
          <w:color w:val="000000"/>
          <w:spacing w:val="0"/>
          <w:sz w:val="21"/>
          <w:szCs w:val="21"/>
          <w:shd w:val="clear" w:fill="FFFFFF"/>
        </w:rPr>
        <w:t>，宏观经济先行指标官方制造业与非制造业PMI8月份数据双升，超出市场预期，显示制造业总体保持平稳扩张态势，也让担心下半年中国经济下行压力加大的忧虑略有舒缓</w:t>
      </w:r>
      <w:r>
        <w:rPr>
          <w:rFonts w:hint="eastAsia" w:ascii="微软雅黑" w:hAnsi="微软雅黑" w:eastAsia="微软雅黑" w:cs="微软雅黑"/>
          <w:i w:val="0"/>
          <w:caps w:val="0"/>
          <w:color w:val="000000"/>
          <w:spacing w:val="0"/>
          <w:sz w:val="21"/>
          <w:szCs w:val="21"/>
          <w:shd w:val="clear" w:fill="FFFFFF"/>
          <w:lang w:eastAsia="zh-CN"/>
        </w:rPr>
        <w:t>。</w:t>
      </w:r>
      <w:r>
        <w:rPr>
          <w:rFonts w:hint="eastAsia" w:ascii="微软雅黑" w:hAnsi="微软雅黑" w:eastAsia="微软雅黑" w:cs="微软雅黑"/>
          <w:i w:val="0"/>
          <w:caps w:val="0"/>
          <w:color w:val="000000"/>
          <w:spacing w:val="0"/>
          <w:sz w:val="21"/>
          <w:szCs w:val="21"/>
          <w:shd w:val="clear" w:fill="FFFFFF"/>
        </w:rPr>
        <w:t>9月18日，基于中国固定资产投资领域出现的增速下滑，发改委再次表态要做好稳投资工作。国家发改委表示，将加快推进“十三五”规划内项目、特别是中西部地区重大项目前期工作，力争加快建设</w:t>
      </w:r>
      <w:r>
        <w:rPr>
          <w:rFonts w:hint="eastAsia" w:ascii="微软雅黑" w:hAnsi="微软雅黑" w:eastAsia="微软雅黑" w:cs="微软雅黑"/>
          <w:i w:val="0"/>
          <w:caps w:val="0"/>
          <w:color w:val="000000"/>
          <w:spacing w:val="0"/>
          <w:sz w:val="21"/>
          <w:szCs w:val="21"/>
          <w:shd w:val="clear" w:fill="FFFFFF"/>
          <w:lang w:eastAsia="zh-CN"/>
        </w:rPr>
        <w:t>，</w:t>
      </w:r>
      <w:r>
        <w:rPr>
          <w:rFonts w:hint="eastAsia" w:ascii="微软雅黑" w:hAnsi="微软雅黑" w:eastAsia="微软雅黑" w:cs="微软雅黑"/>
          <w:i w:val="0"/>
          <w:caps w:val="0"/>
          <w:color w:val="000000"/>
          <w:spacing w:val="0"/>
          <w:sz w:val="21"/>
          <w:szCs w:val="21"/>
          <w:shd w:val="clear" w:fill="FFFFFF"/>
        </w:rPr>
        <w:t>确保在建项目顺利实施，加快推进一批打通“最后一公里”的项目，同时力争再新开工一批重大项目，保持交通基础设施建设、投资持续稳定，增强发展后劲。</w:t>
      </w:r>
    </w:p>
    <w:p>
      <w:pPr>
        <w:ind w:firstLine="449" w:firstLineChars="213"/>
        <w:jc w:val="left"/>
        <w:rPr>
          <w:rFonts w:hint="eastAsia" w:cstheme="minorBidi"/>
          <w:b/>
          <w:bCs/>
          <w:kern w:val="2"/>
          <w:sz w:val="21"/>
          <w:szCs w:val="21"/>
          <w:lang w:val="en-US" w:eastAsia="zh-CN" w:bidi="ar-SA"/>
        </w:rPr>
      </w:pPr>
      <w:r>
        <w:rPr>
          <w:rFonts w:hint="eastAsia" w:cstheme="minorBidi"/>
          <w:b/>
          <w:bCs/>
          <w:kern w:val="2"/>
          <w:sz w:val="21"/>
          <w:szCs w:val="21"/>
          <w:lang w:val="en-US" w:eastAsia="zh-CN" w:bidi="ar-SA"/>
        </w:rPr>
        <w:t>2、欧美经济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firstLine="420" w:firstLineChars="200"/>
        <w:textAlignment w:val="auto"/>
        <w:outlineLvl w:val="9"/>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美国8月CPI同比增长2.7%，低于预期的2.8%和前值2.9%，核心CPI同比增长2.2%，低于预期和前值的2.4%，季调的总体CPI和核心CPI环比增速均有所回落，非季调总体CPI数据则符合季节性变动规律，虽然CPI数据不及预期，但是对于9月25-26日的美联储议息会议决议，市场还是认为数据并不会改变此次加息的预期。美国经济继续保持增长态势，但是从边际增速上看有所放慢，三季度美国经济增长可能会放缓。</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outlineLvl w:val="9"/>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贸易摩擦拖累欧元区经济，8月欧元区制造业增长放缓至接近两年低点，因对全球贸易战升级的担忧日益加剧，市场乐观情绪减弱。欧银行长德拉基强调</w:t>
      </w:r>
      <w:r>
        <w:rPr>
          <w:rFonts w:hint="eastAsia" w:ascii="微软雅黑" w:hAnsi="微软雅黑" w:eastAsia="微软雅黑" w:cs="微软雅黑"/>
          <w:i w:val="0"/>
          <w:caps w:val="0"/>
          <w:color w:val="000000"/>
          <w:spacing w:val="0"/>
          <w:kern w:val="2"/>
          <w:sz w:val="21"/>
          <w:szCs w:val="21"/>
          <w:shd w:val="clear" w:fill="FFFFFF"/>
          <w:lang w:val="en-US" w:eastAsia="zh-CN" w:bidi="ar-SA"/>
        </w:rPr>
        <w:fldChar w:fldCharType="begin"/>
      </w:r>
      <w:r>
        <w:rPr>
          <w:rFonts w:hint="eastAsia" w:ascii="微软雅黑" w:hAnsi="微软雅黑" w:eastAsia="微软雅黑" w:cs="微软雅黑"/>
          <w:i w:val="0"/>
          <w:caps w:val="0"/>
          <w:color w:val="000000"/>
          <w:spacing w:val="0"/>
          <w:kern w:val="2"/>
          <w:sz w:val="21"/>
          <w:szCs w:val="21"/>
          <w:shd w:val="clear" w:fill="FFFFFF"/>
          <w:lang w:val="en-US" w:eastAsia="zh-CN" w:bidi="ar-SA"/>
        </w:rPr>
        <w:instrText xml:space="preserve"> HYPERLINK "http://biz.finance.sina.com.cn/forex/quote.php?code=EURUSD&amp;img_type=min" \t "http://finance.sina.com.cn/money/forex/forexanaly/2018-09-14/_blank" </w:instrText>
      </w:r>
      <w:r>
        <w:rPr>
          <w:rFonts w:hint="eastAsia" w:ascii="微软雅黑" w:hAnsi="微软雅黑" w:eastAsia="微软雅黑" w:cs="微软雅黑"/>
          <w:i w:val="0"/>
          <w:caps w:val="0"/>
          <w:color w:val="000000"/>
          <w:spacing w:val="0"/>
          <w:kern w:val="2"/>
          <w:sz w:val="21"/>
          <w:szCs w:val="21"/>
          <w:shd w:val="clear" w:fill="FFFFFF"/>
          <w:lang w:val="en-US" w:eastAsia="zh-CN" w:bidi="ar-SA"/>
        </w:rPr>
        <w:fldChar w:fldCharType="separate"/>
      </w:r>
      <w:r>
        <w:rPr>
          <w:rFonts w:hint="eastAsia" w:ascii="微软雅黑" w:hAnsi="微软雅黑" w:eastAsia="微软雅黑" w:cs="微软雅黑"/>
          <w:i w:val="0"/>
          <w:caps w:val="0"/>
          <w:color w:val="000000"/>
          <w:spacing w:val="0"/>
          <w:kern w:val="2"/>
          <w:sz w:val="21"/>
          <w:szCs w:val="21"/>
          <w:shd w:val="clear" w:fill="FFFFFF"/>
          <w:lang w:val="en-US" w:eastAsia="zh-CN" w:bidi="ar-SA"/>
        </w:rPr>
        <w:t>欧元</w:t>
      </w:r>
      <w:r>
        <w:rPr>
          <w:rFonts w:hint="eastAsia" w:ascii="微软雅黑" w:hAnsi="微软雅黑" w:eastAsia="微软雅黑" w:cs="微软雅黑"/>
          <w:i w:val="0"/>
          <w:caps w:val="0"/>
          <w:color w:val="000000"/>
          <w:spacing w:val="0"/>
          <w:kern w:val="2"/>
          <w:sz w:val="21"/>
          <w:szCs w:val="21"/>
          <w:shd w:val="clear" w:fill="FFFFFF"/>
          <w:lang w:val="en-US" w:eastAsia="zh-CN" w:bidi="ar-SA"/>
        </w:rPr>
        <w:fldChar w:fldCharType="end"/>
      </w:r>
      <w:r>
        <w:rPr>
          <w:rFonts w:hint="eastAsia" w:ascii="微软雅黑" w:hAnsi="微软雅黑" w:eastAsia="微软雅黑" w:cs="微软雅黑"/>
          <w:i w:val="0"/>
          <w:caps w:val="0"/>
          <w:color w:val="000000"/>
          <w:spacing w:val="0"/>
          <w:kern w:val="2"/>
          <w:sz w:val="21"/>
          <w:szCs w:val="21"/>
          <w:shd w:val="clear" w:fill="FFFFFF"/>
          <w:lang w:val="en-US" w:eastAsia="zh-CN" w:bidi="ar-SA"/>
        </w:rPr>
        <w:t>区调核心通胀将明显走高，同时坚定年内退出QE方针，并称意大利风险不具备传染性，较鹰派言论使得欧元受到支撑，欧洲央行9月如期维持主要再融资利率0%、边际借贷利率0.25%和存款机制利率-0.40%不变，将维持每月300亿</w:t>
      </w:r>
      <w:r>
        <w:rPr>
          <w:rFonts w:hint="eastAsia" w:ascii="微软雅黑" w:hAnsi="微软雅黑" w:eastAsia="微软雅黑" w:cs="微软雅黑"/>
          <w:i w:val="0"/>
          <w:caps w:val="0"/>
          <w:color w:val="000000"/>
          <w:spacing w:val="0"/>
          <w:kern w:val="2"/>
          <w:sz w:val="21"/>
          <w:szCs w:val="21"/>
          <w:shd w:val="clear" w:fill="FFFFFF"/>
          <w:lang w:val="en-US" w:eastAsia="zh-CN" w:bidi="ar-SA"/>
        </w:rPr>
        <w:fldChar w:fldCharType="begin"/>
      </w:r>
      <w:r>
        <w:rPr>
          <w:rFonts w:hint="eastAsia" w:ascii="微软雅黑" w:hAnsi="微软雅黑" w:eastAsia="微软雅黑" w:cs="微软雅黑"/>
          <w:i w:val="0"/>
          <w:caps w:val="0"/>
          <w:color w:val="000000"/>
          <w:spacing w:val="0"/>
          <w:kern w:val="2"/>
          <w:sz w:val="21"/>
          <w:szCs w:val="21"/>
          <w:shd w:val="clear" w:fill="FFFFFF"/>
          <w:lang w:val="en-US" w:eastAsia="zh-CN" w:bidi="ar-SA"/>
        </w:rPr>
        <w:instrText xml:space="preserve"> HYPERLINK "http://biz.finance.sina.com.cn/forex/quote.php?code=EURUSD&amp;img_type=min" \t "http://finance.sina.com.cn/money/forex/forexanaly/2018-09-14/_blank" </w:instrText>
      </w:r>
      <w:r>
        <w:rPr>
          <w:rFonts w:hint="eastAsia" w:ascii="微软雅黑" w:hAnsi="微软雅黑" w:eastAsia="微软雅黑" w:cs="微软雅黑"/>
          <w:i w:val="0"/>
          <w:caps w:val="0"/>
          <w:color w:val="000000"/>
          <w:spacing w:val="0"/>
          <w:kern w:val="2"/>
          <w:sz w:val="21"/>
          <w:szCs w:val="21"/>
          <w:shd w:val="clear" w:fill="FFFFFF"/>
          <w:lang w:val="en-US" w:eastAsia="zh-CN" w:bidi="ar-SA"/>
        </w:rPr>
        <w:fldChar w:fldCharType="separate"/>
      </w:r>
      <w:r>
        <w:rPr>
          <w:rFonts w:hint="eastAsia" w:ascii="微软雅黑" w:hAnsi="微软雅黑" w:eastAsia="微软雅黑" w:cs="微软雅黑"/>
          <w:i w:val="0"/>
          <w:caps w:val="0"/>
          <w:color w:val="000000"/>
          <w:spacing w:val="0"/>
          <w:kern w:val="2"/>
          <w:sz w:val="21"/>
          <w:szCs w:val="21"/>
          <w:shd w:val="clear" w:fill="FFFFFF"/>
          <w:lang w:val="en-US" w:eastAsia="zh-CN" w:bidi="ar-SA"/>
        </w:rPr>
        <w:t>欧元</w:t>
      </w:r>
      <w:r>
        <w:rPr>
          <w:rFonts w:hint="eastAsia" w:ascii="微软雅黑" w:hAnsi="微软雅黑" w:eastAsia="微软雅黑" w:cs="微软雅黑"/>
          <w:i w:val="0"/>
          <w:caps w:val="0"/>
          <w:color w:val="000000"/>
          <w:spacing w:val="0"/>
          <w:kern w:val="2"/>
          <w:sz w:val="21"/>
          <w:szCs w:val="21"/>
          <w:shd w:val="clear" w:fill="FFFFFF"/>
          <w:lang w:val="en-US" w:eastAsia="zh-CN" w:bidi="ar-SA"/>
        </w:rPr>
        <w:fldChar w:fldCharType="end"/>
      </w:r>
      <w:r>
        <w:rPr>
          <w:rFonts w:hint="eastAsia" w:ascii="微软雅黑" w:hAnsi="微软雅黑" w:eastAsia="微软雅黑" w:cs="微软雅黑"/>
          <w:i w:val="0"/>
          <w:caps w:val="0"/>
          <w:color w:val="000000"/>
          <w:spacing w:val="0"/>
          <w:kern w:val="2"/>
          <w:sz w:val="21"/>
          <w:szCs w:val="21"/>
          <w:shd w:val="clear" w:fill="FFFFFF"/>
          <w:lang w:val="en-US" w:eastAsia="zh-CN" w:bidi="ar-SA"/>
        </w:rPr>
        <w:t>购债规模至2018年9月底，10月开始缩减购债规模至每月150亿欧元，将于2018年12月结束购债。欧盟首席脱欧谈判官表示在脱欧一事上，英国和欧盟在许多方面上存在共识，也正好符合双方利益，在经济决策上，双方暂不存在较大分歧，脱欧谈判进程良好，并且英国软性脱欧协议计划在11月17--18日举行，进一步提振欧元。</w:t>
      </w:r>
    </w:p>
    <w:p>
      <w:pPr>
        <w:ind w:firstLine="482" w:firstLineChars="200"/>
        <w:jc w:val="left"/>
        <w:rPr>
          <w:rFonts w:hint="eastAsia" w:cstheme="minorBidi"/>
          <w:b/>
          <w:bCs/>
          <w:kern w:val="2"/>
          <w:sz w:val="24"/>
          <w:szCs w:val="24"/>
          <w:lang w:val="en-US" w:eastAsia="zh-CN" w:bidi="ar-SA"/>
        </w:rPr>
      </w:pPr>
      <w:r>
        <w:rPr>
          <w:rFonts w:hint="eastAsia" w:cstheme="minorBidi"/>
          <w:b/>
          <w:bCs/>
          <w:kern w:val="2"/>
          <w:sz w:val="24"/>
          <w:szCs w:val="24"/>
          <w:lang w:val="en-US" w:eastAsia="zh-CN" w:bidi="ar-SA"/>
        </w:rPr>
        <w:t>3、中美贸易争端</w:t>
      </w:r>
    </w:p>
    <w:p>
      <w:pPr>
        <w:tabs>
          <w:tab w:val="left" w:pos="898"/>
        </w:tabs>
        <w:ind w:firstLine="420" w:firstLineChars="200"/>
        <w:jc w:val="left"/>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8月底中美贸易谈判结束，没有取得实质性的进展，同一时间，中美双方将实施涵盖另外160亿美元商品的关税措施，特朗普政府在9月初准备实施的2000亿美元商品关税大概率发生。美国财政部长姆努钦已向中方团队发出邀请，希望中方派出部级代表团在美国政府对华加征新一轮关税前与美方进行贸易谈判，随即美国总统特朗普表示，美国还没有准备好同中国就贸易争端达成协议，表示还将继续磋商，美国对中国商品开征新关税公众咨询期在结束，美国并未第一时间宣布加税，9月18日，美国政府宣布实施对从中国进口的约2,000亿美元商品加征关税的措施，自2018年9月24日起加征关税税率为10%，2019年1月1日起加征关税税率提高到25%。中国财政部称，国务院关税税则委员会决定对原产于美国的5,207个税目、约600亿美元商品，加征10%或5%的关税，自2018年9月24日12时01分起实施。如果美方执意进一步提高加征关税税率，中方将给予相应回应，中美贸易摩擦的升级并没有令市场出现大的恐慌，显示市场对此消息早已做了充分准备，同时，关税税率比预期降低，显示还有缓和的可能。</w:t>
      </w:r>
    </w:p>
    <w:p>
      <w:pPr>
        <w:rPr>
          <w:rFonts w:hint="eastAsia" w:ascii="微软雅黑" w:hAnsi="微软雅黑" w:eastAsia="微软雅黑" w:cs="微软雅黑"/>
          <w:i w:val="0"/>
          <w:caps w:val="0"/>
          <w:color w:val="000000"/>
          <w:spacing w:val="0"/>
          <w:kern w:val="2"/>
          <w:sz w:val="21"/>
          <w:szCs w:val="21"/>
          <w:lang w:val="en-US" w:eastAsia="zh-CN" w:bidi="ar-SA"/>
        </w:rPr>
      </w:pPr>
    </w:p>
    <w:p>
      <w:pPr>
        <w:numPr>
          <w:ilvl w:val="0"/>
          <w:numId w:val="1"/>
        </w:numPr>
        <w:ind w:firstLine="208" w:firstLineChars="0"/>
        <w:jc w:val="left"/>
        <w:rPr>
          <w:rFonts w:hint="eastAsia" w:cstheme="minorBidi"/>
          <w:b/>
          <w:bCs/>
          <w:kern w:val="2"/>
          <w:sz w:val="36"/>
          <w:szCs w:val="36"/>
          <w:lang w:val="en-US" w:eastAsia="zh-CN" w:bidi="ar-SA"/>
        </w:rPr>
      </w:pPr>
      <w:r>
        <w:rPr>
          <w:rFonts w:hint="eastAsia" w:cstheme="minorBidi"/>
          <w:b/>
          <w:bCs/>
          <w:kern w:val="2"/>
          <w:sz w:val="36"/>
          <w:szCs w:val="36"/>
          <w:lang w:val="en-US" w:eastAsia="zh-CN" w:bidi="ar-SA"/>
        </w:rPr>
        <w:t>需求端</w:t>
      </w:r>
    </w:p>
    <w:p>
      <w:pPr>
        <w:tabs>
          <w:tab w:val="left" w:pos="733"/>
        </w:tabs>
        <w:ind w:firstLine="420" w:firstLineChars="200"/>
        <w:jc w:val="left"/>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房地产投资回升力度有限，住宅投资完成额占比持续上升，表明三四五线城市房地产市场可能持续向好；国网投资将增加，2018年国网承诺全年电网投资达到4989亿元，高于2017年的4854亿元，如果国网完成全年目标，那么下半年投资大幅增加，而电网投资将带动铜消费；上半年空调产销数据保持两位数增长，7月份空调产销有所转弱，住宅投资和空调内销累计同比正相关，下半年住宅投资增长可能支撑空调生产和销售；传统汽车销量下滑，新能源汽车销售高速增长。</w:t>
      </w:r>
    </w:p>
    <w:p>
      <w:pPr>
        <w:ind w:firstLine="482" w:firstLineChars="200"/>
        <w:jc w:val="left"/>
        <w:rPr>
          <w:rFonts w:hint="eastAsia" w:cstheme="minorBidi"/>
          <w:b/>
          <w:bCs/>
          <w:kern w:val="2"/>
          <w:sz w:val="24"/>
          <w:szCs w:val="24"/>
          <w:lang w:val="en-US" w:eastAsia="zh-CN" w:bidi="ar-SA"/>
        </w:rPr>
      </w:pPr>
      <w:r>
        <w:rPr>
          <w:rFonts w:hint="eastAsia" w:cstheme="minorBidi"/>
          <w:b/>
          <w:bCs/>
          <w:kern w:val="2"/>
          <w:sz w:val="24"/>
          <w:szCs w:val="24"/>
          <w:lang w:val="en-US" w:eastAsia="zh-CN" w:bidi="ar-SA"/>
        </w:rPr>
        <w:t>1、房地产和基建</w:t>
      </w:r>
    </w:p>
    <w:p>
      <w:pPr>
        <w:tabs>
          <w:tab w:val="left" w:pos="733"/>
        </w:tabs>
        <w:ind w:firstLine="420" w:firstLineChars="200"/>
        <w:jc w:val="left"/>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ab/>
      </w:r>
      <w:r>
        <w:rPr>
          <w:rFonts w:hint="default" w:ascii="微软雅黑" w:hAnsi="微软雅黑" w:eastAsia="微软雅黑" w:cs="微软雅黑"/>
          <w:i w:val="0"/>
          <w:caps w:val="0"/>
          <w:color w:val="000000"/>
          <w:spacing w:val="0"/>
          <w:kern w:val="2"/>
          <w:sz w:val="21"/>
          <w:szCs w:val="21"/>
          <w:shd w:val="clear" w:fill="FFFFFF"/>
          <w:lang w:val="en-US" w:eastAsia="zh-CN" w:bidi="ar-SA"/>
        </w:rPr>
        <w:t>2018</w:t>
      </w:r>
      <w:r>
        <w:rPr>
          <w:rFonts w:hint="eastAsia" w:ascii="微软雅黑" w:hAnsi="微软雅黑" w:eastAsia="微软雅黑" w:cs="微软雅黑"/>
          <w:i w:val="0"/>
          <w:caps w:val="0"/>
          <w:color w:val="000000"/>
          <w:spacing w:val="0"/>
          <w:kern w:val="2"/>
          <w:sz w:val="21"/>
          <w:szCs w:val="21"/>
          <w:shd w:val="clear" w:fill="FFFFFF"/>
          <w:lang w:val="en-US" w:eastAsia="zh-CN" w:bidi="ar-SA"/>
        </w:rPr>
        <w:t>年</w:t>
      </w:r>
      <w:r>
        <w:rPr>
          <w:rFonts w:hint="default" w:ascii="微软雅黑" w:hAnsi="微软雅黑" w:eastAsia="微软雅黑" w:cs="微软雅黑"/>
          <w:i w:val="0"/>
          <w:caps w:val="0"/>
          <w:color w:val="000000"/>
          <w:spacing w:val="0"/>
          <w:kern w:val="2"/>
          <w:sz w:val="21"/>
          <w:szCs w:val="21"/>
          <w:shd w:val="clear" w:fill="FFFFFF"/>
          <w:lang w:val="en-US" w:eastAsia="zh-CN" w:bidi="ar-SA"/>
        </w:rPr>
        <w:t>1-8</w:t>
      </w:r>
      <w:r>
        <w:rPr>
          <w:rFonts w:hint="eastAsia" w:ascii="微软雅黑" w:hAnsi="微软雅黑" w:eastAsia="微软雅黑" w:cs="微软雅黑"/>
          <w:i w:val="0"/>
          <w:caps w:val="0"/>
          <w:color w:val="000000"/>
          <w:spacing w:val="0"/>
          <w:kern w:val="2"/>
          <w:sz w:val="21"/>
          <w:szCs w:val="21"/>
          <w:shd w:val="clear" w:fill="FFFFFF"/>
          <w:lang w:val="en-US" w:eastAsia="zh-CN" w:bidi="ar-SA"/>
        </w:rPr>
        <w:t>月份，全国房地产开发投资</w:t>
      </w:r>
      <w:r>
        <w:rPr>
          <w:rFonts w:hint="default" w:ascii="微软雅黑" w:hAnsi="微软雅黑" w:eastAsia="微软雅黑" w:cs="微软雅黑"/>
          <w:i w:val="0"/>
          <w:caps w:val="0"/>
          <w:color w:val="000000"/>
          <w:spacing w:val="0"/>
          <w:kern w:val="2"/>
          <w:sz w:val="21"/>
          <w:szCs w:val="21"/>
          <w:shd w:val="clear" w:fill="FFFFFF"/>
          <w:lang w:val="en-US" w:eastAsia="zh-CN" w:bidi="ar-SA"/>
        </w:rPr>
        <w:t>76519</w:t>
      </w:r>
      <w:r>
        <w:rPr>
          <w:rFonts w:hint="eastAsia" w:ascii="微软雅黑" w:hAnsi="微软雅黑" w:eastAsia="微软雅黑" w:cs="微软雅黑"/>
          <w:i w:val="0"/>
          <w:caps w:val="0"/>
          <w:color w:val="000000"/>
          <w:spacing w:val="0"/>
          <w:kern w:val="2"/>
          <w:sz w:val="21"/>
          <w:szCs w:val="21"/>
          <w:shd w:val="clear" w:fill="FFFFFF"/>
          <w:lang w:val="en-US" w:eastAsia="zh-CN" w:bidi="ar-SA"/>
        </w:rPr>
        <w:t>亿元，同比增长</w:t>
      </w:r>
      <w:r>
        <w:rPr>
          <w:rFonts w:hint="default" w:ascii="微软雅黑" w:hAnsi="微软雅黑" w:eastAsia="微软雅黑" w:cs="微软雅黑"/>
          <w:i w:val="0"/>
          <w:caps w:val="0"/>
          <w:color w:val="000000"/>
          <w:spacing w:val="0"/>
          <w:kern w:val="2"/>
          <w:sz w:val="21"/>
          <w:szCs w:val="21"/>
          <w:shd w:val="clear" w:fill="FFFFFF"/>
          <w:lang w:val="en-US" w:eastAsia="zh-CN" w:bidi="ar-SA"/>
        </w:rPr>
        <w:t>10.1%</w:t>
      </w:r>
      <w:r>
        <w:rPr>
          <w:rFonts w:hint="eastAsia" w:ascii="微软雅黑" w:hAnsi="微软雅黑" w:eastAsia="微软雅黑" w:cs="微软雅黑"/>
          <w:i w:val="0"/>
          <w:caps w:val="0"/>
          <w:color w:val="000000"/>
          <w:spacing w:val="0"/>
          <w:kern w:val="2"/>
          <w:sz w:val="21"/>
          <w:szCs w:val="21"/>
          <w:shd w:val="clear" w:fill="FFFFFF"/>
          <w:lang w:val="en-US" w:eastAsia="zh-CN" w:bidi="ar-SA"/>
        </w:rPr>
        <w:t>，增速比</w:t>
      </w:r>
      <w:r>
        <w:rPr>
          <w:rFonts w:hint="default" w:ascii="微软雅黑" w:hAnsi="微软雅黑" w:eastAsia="微软雅黑" w:cs="微软雅黑"/>
          <w:i w:val="0"/>
          <w:caps w:val="0"/>
          <w:color w:val="000000"/>
          <w:spacing w:val="0"/>
          <w:kern w:val="2"/>
          <w:sz w:val="21"/>
          <w:szCs w:val="21"/>
          <w:shd w:val="clear" w:fill="FFFFFF"/>
          <w:lang w:val="en-US" w:eastAsia="zh-CN" w:bidi="ar-SA"/>
        </w:rPr>
        <w:t>1-7</w:t>
      </w:r>
      <w:r>
        <w:rPr>
          <w:rFonts w:hint="eastAsia" w:ascii="微软雅黑" w:hAnsi="微软雅黑" w:eastAsia="微软雅黑" w:cs="微软雅黑"/>
          <w:i w:val="0"/>
          <w:caps w:val="0"/>
          <w:color w:val="000000"/>
          <w:spacing w:val="0"/>
          <w:kern w:val="2"/>
          <w:sz w:val="21"/>
          <w:szCs w:val="21"/>
          <w:shd w:val="clear" w:fill="FFFFFF"/>
          <w:lang w:val="en-US" w:eastAsia="zh-CN" w:bidi="ar-SA"/>
        </w:rPr>
        <w:t>月份回落</w:t>
      </w:r>
      <w:r>
        <w:rPr>
          <w:rFonts w:hint="default" w:ascii="微软雅黑" w:hAnsi="微软雅黑" w:eastAsia="微软雅黑" w:cs="微软雅黑"/>
          <w:i w:val="0"/>
          <w:caps w:val="0"/>
          <w:color w:val="000000"/>
          <w:spacing w:val="0"/>
          <w:kern w:val="2"/>
          <w:sz w:val="21"/>
          <w:szCs w:val="21"/>
          <w:shd w:val="clear" w:fill="FFFFFF"/>
          <w:lang w:val="en-US" w:eastAsia="zh-CN" w:bidi="ar-SA"/>
        </w:rPr>
        <w:t>0.1</w:t>
      </w:r>
      <w:r>
        <w:rPr>
          <w:rFonts w:hint="eastAsia" w:ascii="微软雅黑" w:hAnsi="微软雅黑" w:eastAsia="微软雅黑" w:cs="微软雅黑"/>
          <w:i w:val="0"/>
          <w:caps w:val="0"/>
          <w:color w:val="000000"/>
          <w:spacing w:val="0"/>
          <w:kern w:val="2"/>
          <w:sz w:val="21"/>
          <w:szCs w:val="21"/>
          <w:shd w:val="clear" w:fill="FFFFFF"/>
          <w:lang w:val="en-US" w:eastAsia="zh-CN" w:bidi="ar-SA"/>
        </w:rPr>
        <w:t>个百分点。其中，住宅投资</w:t>
      </w:r>
      <w:r>
        <w:rPr>
          <w:rFonts w:hint="default" w:ascii="微软雅黑" w:hAnsi="微软雅黑" w:eastAsia="微软雅黑" w:cs="微软雅黑"/>
          <w:i w:val="0"/>
          <w:caps w:val="0"/>
          <w:color w:val="000000"/>
          <w:spacing w:val="0"/>
          <w:kern w:val="2"/>
          <w:sz w:val="21"/>
          <w:szCs w:val="21"/>
          <w:shd w:val="clear" w:fill="FFFFFF"/>
          <w:lang w:val="en-US" w:eastAsia="zh-CN" w:bidi="ar-SA"/>
        </w:rPr>
        <w:t>54114</w:t>
      </w:r>
      <w:r>
        <w:rPr>
          <w:rFonts w:hint="eastAsia" w:ascii="微软雅黑" w:hAnsi="微软雅黑" w:eastAsia="微软雅黑" w:cs="微软雅黑"/>
          <w:i w:val="0"/>
          <w:caps w:val="0"/>
          <w:color w:val="000000"/>
          <w:spacing w:val="0"/>
          <w:kern w:val="2"/>
          <w:sz w:val="21"/>
          <w:szCs w:val="21"/>
          <w:shd w:val="clear" w:fill="FFFFFF"/>
          <w:lang w:val="en-US" w:eastAsia="zh-CN" w:bidi="ar-SA"/>
        </w:rPr>
        <w:t>亿元，增长</w:t>
      </w:r>
      <w:r>
        <w:rPr>
          <w:rFonts w:hint="default" w:ascii="微软雅黑" w:hAnsi="微软雅黑" w:eastAsia="微软雅黑" w:cs="微软雅黑"/>
          <w:i w:val="0"/>
          <w:caps w:val="0"/>
          <w:color w:val="000000"/>
          <w:spacing w:val="0"/>
          <w:kern w:val="2"/>
          <w:sz w:val="21"/>
          <w:szCs w:val="21"/>
          <w:shd w:val="clear" w:fill="FFFFFF"/>
          <w:lang w:val="en-US" w:eastAsia="zh-CN" w:bidi="ar-SA"/>
        </w:rPr>
        <w:t>14.1%</w:t>
      </w:r>
      <w:r>
        <w:rPr>
          <w:rFonts w:hint="eastAsia" w:ascii="微软雅黑" w:hAnsi="微软雅黑" w:eastAsia="微软雅黑" w:cs="微软雅黑"/>
          <w:i w:val="0"/>
          <w:caps w:val="0"/>
          <w:color w:val="000000"/>
          <w:spacing w:val="0"/>
          <w:kern w:val="2"/>
          <w:sz w:val="21"/>
          <w:szCs w:val="21"/>
          <w:shd w:val="clear" w:fill="FFFFFF"/>
          <w:lang w:val="en-US" w:eastAsia="zh-CN" w:bidi="ar-SA"/>
        </w:rPr>
        <w:t>，增速回落</w:t>
      </w:r>
      <w:r>
        <w:rPr>
          <w:rFonts w:hint="default" w:ascii="微软雅黑" w:hAnsi="微软雅黑" w:eastAsia="微软雅黑" w:cs="微软雅黑"/>
          <w:i w:val="0"/>
          <w:caps w:val="0"/>
          <w:color w:val="000000"/>
          <w:spacing w:val="0"/>
          <w:kern w:val="2"/>
          <w:sz w:val="21"/>
          <w:szCs w:val="21"/>
          <w:shd w:val="clear" w:fill="FFFFFF"/>
          <w:lang w:val="en-US" w:eastAsia="zh-CN" w:bidi="ar-SA"/>
        </w:rPr>
        <w:t>0.1</w:t>
      </w:r>
      <w:r>
        <w:rPr>
          <w:rFonts w:hint="eastAsia" w:ascii="微软雅黑" w:hAnsi="微软雅黑" w:eastAsia="微软雅黑" w:cs="微软雅黑"/>
          <w:i w:val="0"/>
          <w:caps w:val="0"/>
          <w:color w:val="000000"/>
          <w:spacing w:val="0"/>
          <w:kern w:val="2"/>
          <w:sz w:val="21"/>
          <w:szCs w:val="21"/>
          <w:shd w:val="clear" w:fill="FFFFFF"/>
          <w:lang w:val="en-US" w:eastAsia="zh-CN" w:bidi="ar-SA"/>
        </w:rPr>
        <w:t>个百分点。住宅投资占房地产开发投资的比重为</w:t>
      </w:r>
      <w:r>
        <w:rPr>
          <w:rFonts w:hint="default" w:ascii="微软雅黑" w:hAnsi="微软雅黑" w:eastAsia="微软雅黑" w:cs="微软雅黑"/>
          <w:i w:val="0"/>
          <w:caps w:val="0"/>
          <w:color w:val="000000"/>
          <w:spacing w:val="0"/>
          <w:kern w:val="2"/>
          <w:sz w:val="21"/>
          <w:szCs w:val="21"/>
          <w:shd w:val="clear" w:fill="FFFFFF"/>
          <w:lang w:val="en-US" w:eastAsia="zh-CN" w:bidi="ar-SA"/>
        </w:rPr>
        <w:t>70.7%</w:t>
      </w:r>
      <w:r>
        <w:rPr>
          <w:rFonts w:hint="eastAsia" w:ascii="微软雅黑" w:hAnsi="微软雅黑" w:eastAsia="微软雅黑" w:cs="微软雅黑"/>
          <w:i w:val="0"/>
          <w:caps w:val="0"/>
          <w:color w:val="000000"/>
          <w:spacing w:val="0"/>
          <w:kern w:val="2"/>
          <w:sz w:val="21"/>
          <w:szCs w:val="21"/>
          <w:shd w:val="clear" w:fill="FFFFFF"/>
          <w:lang w:val="en-US" w:eastAsia="zh-CN" w:bidi="ar-SA"/>
        </w:rPr>
        <w:t>。</w:t>
      </w:r>
    </w:p>
    <w:p>
      <w:pPr>
        <w:tabs>
          <w:tab w:val="left" w:pos="628"/>
        </w:tabs>
        <w:jc w:val="left"/>
      </w:pPr>
      <w:r>
        <w:drawing>
          <wp:inline distT="0" distB="0" distL="114300" distR="114300">
            <wp:extent cx="5272405" cy="2969260"/>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2405" cy="2969260"/>
                    </a:xfrm>
                    <a:prstGeom prst="rect">
                      <a:avLst/>
                    </a:prstGeom>
                    <a:noFill/>
                    <a:ln w="9525">
                      <a:noFill/>
                    </a:ln>
                  </pic:spPr>
                </pic:pic>
              </a:graphicData>
            </a:graphic>
          </wp:inline>
        </w:drawing>
      </w:r>
    </w:p>
    <w:p>
      <w:pPr>
        <w:tabs>
          <w:tab w:val="left" w:pos="628"/>
        </w:tabs>
        <w:ind w:firstLine="1080" w:firstLineChars="600"/>
        <w:jc w:val="left"/>
        <w:rPr>
          <w:rFonts w:hint="eastAsia"/>
          <w:sz w:val="18"/>
          <w:szCs w:val="18"/>
          <w:lang w:eastAsia="zh-CN"/>
        </w:rPr>
      </w:pPr>
      <w:r>
        <w:rPr>
          <w:rFonts w:hint="eastAsia"/>
          <w:sz w:val="18"/>
          <w:szCs w:val="18"/>
          <w:lang w:eastAsia="zh-CN"/>
        </w:rPr>
        <w:t>数据来源：国家统计局</w:t>
      </w:r>
    </w:p>
    <w:p>
      <w:pPr>
        <w:tabs>
          <w:tab w:val="left" w:pos="733"/>
        </w:tabs>
        <w:ind w:firstLine="420" w:firstLineChars="200"/>
        <w:jc w:val="left"/>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default" w:ascii="微软雅黑" w:hAnsi="微软雅黑" w:eastAsia="微软雅黑" w:cs="微软雅黑"/>
          <w:i w:val="0"/>
          <w:caps w:val="0"/>
          <w:color w:val="000000"/>
          <w:spacing w:val="0"/>
          <w:kern w:val="2"/>
          <w:sz w:val="21"/>
          <w:szCs w:val="21"/>
          <w:shd w:val="clear" w:fill="FFFFFF"/>
          <w:lang w:val="en-US" w:eastAsia="zh-CN" w:bidi="ar-SA"/>
        </w:rPr>
        <w:t>1-8</w:t>
      </w:r>
      <w:r>
        <w:rPr>
          <w:rFonts w:hint="eastAsia" w:ascii="微软雅黑" w:hAnsi="微软雅黑" w:eastAsia="微软雅黑" w:cs="微软雅黑"/>
          <w:i w:val="0"/>
          <w:caps w:val="0"/>
          <w:color w:val="000000"/>
          <w:spacing w:val="0"/>
          <w:kern w:val="2"/>
          <w:sz w:val="21"/>
          <w:szCs w:val="21"/>
          <w:shd w:val="clear" w:fill="FFFFFF"/>
          <w:lang w:val="en-US" w:eastAsia="zh-CN" w:bidi="ar-SA"/>
        </w:rPr>
        <w:t>月份，房地产开发企业房屋施工面积</w:t>
      </w:r>
      <w:r>
        <w:rPr>
          <w:rFonts w:hint="default" w:ascii="微软雅黑" w:hAnsi="微软雅黑" w:eastAsia="微软雅黑" w:cs="微软雅黑"/>
          <w:i w:val="0"/>
          <w:caps w:val="0"/>
          <w:color w:val="000000"/>
          <w:spacing w:val="0"/>
          <w:kern w:val="2"/>
          <w:sz w:val="21"/>
          <w:szCs w:val="21"/>
          <w:shd w:val="clear" w:fill="FFFFFF"/>
          <w:lang w:val="en-US" w:eastAsia="zh-CN" w:bidi="ar-SA"/>
        </w:rPr>
        <w:t>747658</w:t>
      </w:r>
      <w:r>
        <w:rPr>
          <w:rFonts w:hint="eastAsia" w:ascii="微软雅黑" w:hAnsi="微软雅黑" w:eastAsia="微软雅黑" w:cs="微软雅黑"/>
          <w:i w:val="0"/>
          <w:caps w:val="0"/>
          <w:color w:val="000000"/>
          <w:spacing w:val="0"/>
          <w:kern w:val="2"/>
          <w:sz w:val="21"/>
          <w:szCs w:val="21"/>
          <w:shd w:val="clear" w:fill="FFFFFF"/>
          <w:lang w:val="en-US" w:eastAsia="zh-CN" w:bidi="ar-SA"/>
        </w:rPr>
        <w:t>万平方米，同比增长</w:t>
      </w:r>
      <w:r>
        <w:rPr>
          <w:rFonts w:hint="default" w:ascii="微软雅黑" w:hAnsi="微软雅黑" w:eastAsia="微软雅黑" w:cs="微软雅黑"/>
          <w:i w:val="0"/>
          <w:caps w:val="0"/>
          <w:color w:val="000000"/>
          <w:spacing w:val="0"/>
          <w:kern w:val="2"/>
          <w:sz w:val="21"/>
          <w:szCs w:val="21"/>
          <w:shd w:val="clear" w:fill="FFFFFF"/>
          <w:lang w:val="en-US" w:eastAsia="zh-CN" w:bidi="ar-SA"/>
        </w:rPr>
        <w:t>3.6%</w:t>
      </w:r>
      <w:r>
        <w:rPr>
          <w:rFonts w:hint="eastAsia" w:ascii="微软雅黑" w:hAnsi="微软雅黑" w:eastAsia="微软雅黑" w:cs="微软雅黑"/>
          <w:i w:val="0"/>
          <w:caps w:val="0"/>
          <w:color w:val="000000"/>
          <w:spacing w:val="0"/>
          <w:kern w:val="2"/>
          <w:sz w:val="21"/>
          <w:szCs w:val="21"/>
          <w:shd w:val="clear" w:fill="FFFFFF"/>
          <w:lang w:val="en-US" w:eastAsia="zh-CN" w:bidi="ar-SA"/>
        </w:rPr>
        <w:t>，增速比</w:t>
      </w:r>
      <w:r>
        <w:rPr>
          <w:rFonts w:hint="default" w:ascii="微软雅黑" w:hAnsi="微软雅黑" w:eastAsia="微软雅黑" w:cs="微软雅黑"/>
          <w:i w:val="0"/>
          <w:caps w:val="0"/>
          <w:color w:val="000000"/>
          <w:spacing w:val="0"/>
          <w:kern w:val="2"/>
          <w:sz w:val="21"/>
          <w:szCs w:val="21"/>
          <w:shd w:val="clear" w:fill="FFFFFF"/>
          <w:lang w:val="en-US" w:eastAsia="zh-CN" w:bidi="ar-SA"/>
        </w:rPr>
        <w:t>1-7</w:t>
      </w:r>
      <w:r>
        <w:rPr>
          <w:rFonts w:hint="eastAsia" w:ascii="微软雅黑" w:hAnsi="微软雅黑" w:eastAsia="微软雅黑" w:cs="微软雅黑"/>
          <w:i w:val="0"/>
          <w:caps w:val="0"/>
          <w:color w:val="000000"/>
          <w:spacing w:val="0"/>
          <w:kern w:val="2"/>
          <w:sz w:val="21"/>
          <w:szCs w:val="21"/>
          <w:shd w:val="clear" w:fill="FFFFFF"/>
          <w:lang w:val="en-US" w:eastAsia="zh-CN" w:bidi="ar-SA"/>
        </w:rPr>
        <w:t>月份提高</w:t>
      </w:r>
      <w:r>
        <w:rPr>
          <w:rFonts w:hint="default" w:ascii="微软雅黑" w:hAnsi="微软雅黑" w:eastAsia="微软雅黑" w:cs="微软雅黑"/>
          <w:i w:val="0"/>
          <w:caps w:val="0"/>
          <w:color w:val="000000"/>
          <w:spacing w:val="0"/>
          <w:kern w:val="2"/>
          <w:sz w:val="21"/>
          <w:szCs w:val="21"/>
          <w:shd w:val="clear" w:fill="FFFFFF"/>
          <w:lang w:val="en-US" w:eastAsia="zh-CN" w:bidi="ar-SA"/>
        </w:rPr>
        <w:t>0.6</w:t>
      </w:r>
      <w:r>
        <w:rPr>
          <w:rFonts w:hint="eastAsia" w:ascii="微软雅黑" w:hAnsi="微软雅黑" w:eastAsia="微软雅黑" w:cs="微软雅黑"/>
          <w:i w:val="0"/>
          <w:caps w:val="0"/>
          <w:color w:val="000000"/>
          <w:spacing w:val="0"/>
          <w:kern w:val="2"/>
          <w:sz w:val="21"/>
          <w:szCs w:val="21"/>
          <w:shd w:val="clear" w:fill="FFFFFF"/>
          <w:lang w:val="en-US" w:eastAsia="zh-CN" w:bidi="ar-SA"/>
        </w:rPr>
        <w:t>个百分点。其中，住宅施工面积</w:t>
      </w:r>
      <w:r>
        <w:rPr>
          <w:rFonts w:hint="default" w:ascii="微软雅黑" w:hAnsi="微软雅黑" w:eastAsia="微软雅黑" w:cs="微软雅黑"/>
          <w:i w:val="0"/>
          <w:caps w:val="0"/>
          <w:color w:val="000000"/>
          <w:spacing w:val="0"/>
          <w:kern w:val="2"/>
          <w:sz w:val="21"/>
          <w:szCs w:val="21"/>
          <w:shd w:val="clear" w:fill="FFFFFF"/>
          <w:lang w:val="en-US" w:eastAsia="zh-CN" w:bidi="ar-SA"/>
        </w:rPr>
        <w:t>515961</w:t>
      </w:r>
      <w:r>
        <w:rPr>
          <w:rFonts w:hint="eastAsia" w:ascii="微软雅黑" w:hAnsi="微软雅黑" w:eastAsia="微软雅黑" w:cs="微软雅黑"/>
          <w:i w:val="0"/>
          <w:caps w:val="0"/>
          <w:color w:val="000000"/>
          <w:spacing w:val="0"/>
          <w:kern w:val="2"/>
          <w:sz w:val="21"/>
          <w:szCs w:val="21"/>
          <w:shd w:val="clear" w:fill="FFFFFF"/>
          <w:lang w:val="en-US" w:eastAsia="zh-CN" w:bidi="ar-SA"/>
        </w:rPr>
        <w:t>万平方米，增长</w:t>
      </w:r>
      <w:r>
        <w:rPr>
          <w:rFonts w:hint="default" w:ascii="微软雅黑" w:hAnsi="微软雅黑" w:eastAsia="微软雅黑" w:cs="微软雅黑"/>
          <w:i w:val="0"/>
          <w:caps w:val="0"/>
          <w:color w:val="000000"/>
          <w:spacing w:val="0"/>
          <w:kern w:val="2"/>
          <w:sz w:val="21"/>
          <w:szCs w:val="21"/>
          <w:shd w:val="clear" w:fill="FFFFFF"/>
          <w:lang w:val="en-US" w:eastAsia="zh-CN" w:bidi="ar-SA"/>
        </w:rPr>
        <w:t>4.6%</w:t>
      </w:r>
      <w:r>
        <w:rPr>
          <w:rFonts w:hint="eastAsia" w:ascii="微软雅黑" w:hAnsi="微软雅黑" w:eastAsia="微软雅黑" w:cs="微软雅黑"/>
          <w:i w:val="0"/>
          <w:caps w:val="0"/>
          <w:color w:val="000000"/>
          <w:spacing w:val="0"/>
          <w:kern w:val="2"/>
          <w:sz w:val="21"/>
          <w:szCs w:val="21"/>
          <w:shd w:val="clear" w:fill="FFFFFF"/>
          <w:lang w:val="en-US" w:eastAsia="zh-CN" w:bidi="ar-SA"/>
        </w:rPr>
        <w:t>。房屋新开工面积</w:t>
      </w:r>
      <w:r>
        <w:rPr>
          <w:rFonts w:hint="default" w:ascii="微软雅黑" w:hAnsi="微软雅黑" w:eastAsia="微软雅黑" w:cs="微软雅黑"/>
          <w:i w:val="0"/>
          <w:caps w:val="0"/>
          <w:color w:val="000000"/>
          <w:spacing w:val="0"/>
          <w:kern w:val="2"/>
          <w:sz w:val="21"/>
          <w:szCs w:val="21"/>
          <w:shd w:val="clear" w:fill="FFFFFF"/>
          <w:lang w:val="en-US" w:eastAsia="zh-CN" w:bidi="ar-SA"/>
        </w:rPr>
        <w:t>133293</w:t>
      </w:r>
      <w:r>
        <w:rPr>
          <w:rFonts w:hint="eastAsia" w:ascii="微软雅黑" w:hAnsi="微软雅黑" w:eastAsia="微软雅黑" w:cs="微软雅黑"/>
          <w:i w:val="0"/>
          <w:caps w:val="0"/>
          <w:color w:val="000000"/>
          <w:spacing w:val="0"/>
          <w:kern w:val="2"/>
          <w:sz w:val="21"/>
          <w:szCs w:val="21"/>
          <w:shd w:val="clear" w:fill="FFFFFF"/>
          <w:lang w:val="en-US" w:eastAsia="zh-CN" w:bidi="ar-SA"/>
        </w:rPr>
        <w:t>万平方米，增长</w:t>
      </w:r>
      <w:r>
        <w:rPr>
          <w:rFonts w:hint="default" w:ascii="微软雅黑" w:hAnsi="微软雅黑" w:eastAsia="微软雅黑" w:cs="微软雅黑"/>
          <w:i w:val="0"/>
          <w:caps w:val="0"/>
          <w:color w:val="000000"/>
          <w:spacing w:val="0"/>
          <w:kern w:val="2"/>
          <w:sz w:val="21"/>
          <w:szCs w:val="21"/>
          <w:shd w:val="clear" w:fill="FFFFFF"/>
          <w:lang w:val="en-US" w:eastAsia="zh-CN" w:bidi="ar-SA"/>
        </w:rPr>
        <w:t>15.9%</w:t>
      </w:r>
      <w:r>
        <w:rPr>
          <w:rFonts w:hint="eastAsia" w:ascii="微软雅黑" w:hAnsi="微软雅黑" w:eastAsia="微软雅黑" w:cs="微软雅黑"/>
          <w:i w:val="0"/>
          <w:caps w:val="0"/>
          <w:color w:val="000000"/>
          <w:spacing w:val="0"/>
          <w:kern w:val="2"/>
          <w:sz w:val="21"/>
          <w:szCs w:val="21"/>
          <w:shd w:val="clear" w:fill="FFFFFF"/>
          <w:lang w:val="en-US" w:eastAsia="zh-CN" w:bidi="ar-SA"/>
        </w:rPr>
        <w:t>，增速提高</w:t>
      </w:r>
      <w:r>
        <w:rPr>
          <w:rFonts w:hint="default" w:ascii="微软雅黑" w:hAnsi="微软雅黑" w:eastAsia="微软雅黑" w:cs="微软雅黑"/>
          <w:i w:val="0"/>
          <w:caps w:val="0"/>
          <w:color w:val="000000"/>
          <w:spacing w:val="0"/>
          <w:kern w:val="2"/>
          <w:sz w:val="21"/>
          <w:szCs w:val="21"/>
          <w:shd w:val="clear" w:fill="FFFFFF"/>
          <w:lang w:val="en-US" w:eastAsia="zh-CN" w:bidi="ar-SA"/>
        </w:rPr>
        <w:t>1.5</w:t>
      </w:r>
      <w:r>
        <w:rPr>
          <w:rFonts w:hint="eastAsia" w:ascii="微软雅黑" w:hAnsi="微软雅黑" w:eastAsia="微软雅黑" w:cs="微软雅黑"/>
          <w:i w:val="0"/>
          <w:caps w:val="0"/>
          <w:color w:val="000000"/>
          <w:spacing w:val="0"/>
          <w:kern w:val="2"/>
          <w:sz w:val="21"/>
          <w:szCs w:val="21"/>
          <w:shd w:val="clear" w:fill="FFFFFF"/>
          <w:lang w:val="en-US" w:eastAsia="zh-CN" w:bidi="ar-SA"/>
        </w:rPr>
        <w:t>个百分点。其中，住宅新开工面积</w:t>
      </w:r>
      <w:r>
        <w:rPr>
          <w:rFonts w:hint="default" w:ascii="微软雅黑" w:hAnsi="微软雅黑" w:eastAsia="微软雅黑" w:cs="微软雅黑"/>
          <w:i w:val="0"/>
          <w:caps w:val="0"/>
          <w:color w:val="000000"/>
          <w:spacing w:val="0"/>
          <w:kern w:val="2"/>
          <w:sz w:val="21"/>
          <w:szCs w:val="21"/>
          <w:shd w:val="clear" w:fill="FFFFFF"/>
          <w:lang w:val="en-US" w:eastAsia="zh-CN" w:bidi="ar-SA"/>
        </w:rPr>
        <w:t>98307</w:t>
      </w:r>
      <w:r>
        <w:rPr>
          <w:rFonts w:hint="eastAsia" w:ascii="微软雅黑" w:hAnsi="微软雅黑" w:eastAsia="微软雅黑" w:cs="微软雅黑"/>
          <w:i w:val="0"/>
          <w:caps w:val="0"/>
          <w:color w:val="000000"/>
          <w:spacing w:val="0"/>
          <w:kern w:val="2"/>
          <w:sz w:val="21"/>
          <w:szCs w:val="21"/>
          <w:shd w:val="clear" w:fill="FFFFFF"/>
          <w:lang w:val="en-US" w:eastAsia="zh-CN" w:bidi="ar-SA"/>
        </w:rPr>
        <w:t>万平方米，增长</w:t>
      </w:r>
      <w:r>
        <w:rPr>
          <w:rFonts w:hint="default" w:ascii="微软雅黑" w:hAnsi="微软雅黑" w:eastAsia="微软雅黑" w:cs="微软雅黑"/>
          <w:i w:val="0"/>
          <w:caps w:val="0"/>
          <w:color w:val="000000"/>
          <w:spacing w:val="0"/>
          <w:kern w:val="2"/>
          <w:sz w:val="21"/>
          <w:szCs w:val="21"/>
          <w:shd w:val="clear" w:fill="FFFFFF"/>
          <w:lang w:val="en-US" w:eastAsia="zh-CN" w:bidi="ar-SA"/>
        </w:rPr>
        <w:t>19.7%</w:t>
      </w:r>
      <w:r>
        <w:rPr>
          <w:rFonts w:hint="eastAsia" w:ascii="微软雅黑" w:hAnsi="微软雅黑" w:eastAsia="微软雅黑" w:cs="微软雅黑"/>
          <w:i w:val="0"/>
          <w:caps w:val="0"/>
          <w:color w:val="000000"/>
          <w:spacing w:val="0"/>
          <w:kern w:val="2"/>
          <w:sz w:val="21"/>
          <w:szCs w:val="21"/>
          <w:shd w:val="clear" w:fill="FFFFFF"/>
          <w:lang w:val="en-US" w:eastAsia="zh-CN" w:bidi="ar-SA"/>
        </w:rPr>
        <w:t>。</w:t>
      </w:r>
    </w:p>
    <w:p>
      <w:pPr>
        <w:keepNext w:val="0"/>
        <w:keepLines w:val="0"/>
        <w:pageBreakBefore w:val="0"/>
        <w:widowControl w:val="0"/>
        <w:tabs>
          <w:tab w:val="left" w:pos="733"/>
        </w:tabs>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国内房地产投资增速趋缓，虽然政策给了市场基建托底经济的预期，但效果仍然有待观察，有两个层面：一是基建投资对房地产投资对冲的效果；二是基建投资的空间及外部约束。结合起来，我们认为基建扮演的是缓解经济下行压力的角色，但并不能够扭转经济增速放缓的趋势，基建的影响远不及房地产广泛，除了自身对铜需求的拉动，房地产相关的家电、汽车等行业也是铜主要需求部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hint="eastAsia" w:cstheme="minorBidi"/>
          <w:b/>
          <w:bCs/>
          <w:kern w:val="2"/>
          <w:sz w:val="24"/>
          <w:szCs w:val="24"/>
          <w:lang w:val="en-US" w:eastAsia="zh-CN" w:bidi="ar-SA"/>
        </w:rPr>
      </w:pPr>
      <w:r>
        <w:rPr>
          <w:rFonts w:hint="eastAsia" w:cstheme="minorBidi"/>
          <w:b/>
          <w:bCs/>
          <w:kern w:val="2"/>
          <w:sz w:val="24"/>
          <w:szCs w:val="24"/>
          <w:lang w:val="en-US" w:eastAsia="zh-CN" w:bidi="ar-SA"/>
        </w:rPr>
        <w:t>2、电网投资和能源电缆</w:t>
      </w:r>
    </w:p>
    <w:p>
      <w:pPr>
        <w:keepNext w:val="0"/>
        <w:keepLines w:val="0"/>
        <w:pageBreakBefore w:val="0"/>
        <w:widowControl w:val="0"/>
        <w:tabs>
          <w:tab w:val="left" w:pos="733"/>
        </w:tabs>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国网投资将增加，2018年国网承诺全年电网投资达到4989亿元，高于2017年的4854亿元，如果国网完成全年目标，那么下半年投资大幅增加，而电网投资将带动铜消费。国际市场研究机构Lucintel日前发布报告称，能源电缆市场的未来在公用事业，工业，住宅和商业领域具有吸引力，预计2018年-2023年，全球能源电缆市场将以5.2%的复合年增长率增长，工业化、城镇化，尤其是电气化带来的电力消费快速增长的农村、偏远地区，以及不断增加的建筑活动是促进能源电缆需求稳定增长的主要动力。建筑业和汽车行业的增长，特别是中国和印度，低压电缆需求预计仍将占全球能源电缆最大组成部分，同时，随着对可再生能源发电源和超高压输电线路的投资增加，预计高压电缆将在预测期内实现最高增长。</w:t>
      </w:r>
    </w:p>
    <w:p>
      <w:pPr>
        <w:tabs>
          <w:tab w:val="left" w:pos="733"/>
        </w:tabs>
        <w:ind w:firstLine="420" w:firstLineChars="200"/>
        <w:jc w:val="left"/>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在能源电缆市场中，由于电力基础设施不断扩大以满足不断增长的电力需求，公用电力单位预计仍将是最大的终端用户市场。由于建筑活动的增加以及对供暖，制冷和空调(HVAC)设备的需求不断增加，住宅市场预计将在预测期内实现最高增长。从区域来看，亚太地区预计仍将是最大的市场，也将在预测期内实现最高增长。经济扩张，工业化，城市化和农村电气化项目，特别是印度和中国，正在引领对能源电缆的需求增长。</w:t>
      </w:r>
    </w:p>
    <w:p>
      <w:pPr>
        <w:ind w:firstLine="482" w:firstLineChars="200"/>
        <w:jc w:val="left"/>
        <w:rPr>
          <w:rFonts w:hint="eastAsia" w:cstheme="minorBidi"/>
          <w:b/>
          <w:bCs/>
          <w:kern w:val="2"/>
          <w:sz w:val="24"/>
          <w:szCs w:val="24"/>
          <w:lang w:val="en-US" w:eastAsia="zh-CN" w:bidi="ar-SA"/>
        </w:rPr>
      </w:pPr>
      <w:r>
        <w:rPr>
          <w:rFonts w:hint="eastAsia" w:cstheme="minorBidi"/>
          <w:b/>
          <w:bCs/>
          <w:kern w:val="2"/>
          <w:sz w:val="24"/>
          <w:szCs w:val="24"/>
          <w:lang w:val="en-US" w:eastAsia="zh-CN" w:bidi="ar-SA"/>
        </w:rPr>
        <w:t>3、空调和汽车</w:t>
      </w:r>
    </w:p>
    <w:p>
      <w:pPr>
        <w:tabs>
          <w:tab w:val="left" w:pos="733"/>
        </w:tabs>
        <w:ind w:firstLine="420" w:firstLineChars="200"/>
        <w:jc w:val="left"/>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上半年空调产销数据保持两位数增长，在去年同期高基数的基础上创出新高，任何其他传统家电产品都很难企及。住宅投资和空调内销累计同比正相关，下半年住宅投资增长支撑空调生产和销售。7月份空调产销“意外”转弱，据产业在线数据，国内家用空调产销分别为1415.2、1369.5万台，同比变化2.6%、-2.6%，增幅较前期有显著放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firstLine="420" w:firstLineChars="200"/>
        <w:textAlignment w:val="auto"/>
        <w:outlineLvl w:val="9"/>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国内汽车行业也受到类似影响，中汽协数据显示，7月国内汽车产销增速再度转负，现阶段来看，这种弱势局面短期料将延续，受此影响，市场分析今年9、10月份季节性需求不太可能超越去年。传统汽车销量下滑，新能源汽车销售高速增长，扣除置换需求，1—7月的汽车销量减少32.85万辆，对铜消费增量贡献为负数，不过，新能源汽车销售增量较大，部分弥补了传统汽车销量的下滑，当期增量为29.3万辆，同时新能源汽车用铜量是传统汽车用铜量的2—3倍，汽车行业总用铜依然存在增量。 总体上看，国内空调与汽车行业相关铜需求预计接下来将继续走弱，</w:t>
      </w:r>
    </w:p>
    <w:p>
      <w:pPr>
        <w:keepNext w:val="0"/>
        <w:keepLines w:val="0"/>
        <w:pageBreakBefore w:val="0"/>
        <w:kinsoku/>
        <w:wordWrap/>
        <w:overflowPunct/>
        <w:topLinePunct w:val="0"/>
        <w:autoSpaceDE/>
        <w:autoSpaceDN/>
        <w:bidi w:val="0"/>
        <w:adjustRightInd/>
        <w:snapToGrid/>
        <w:spacing w:line="240" w:lineRule="auto"/>
        <w:ind w:firstLine="433" w:firstLineChars="0"/>
        <w:jc w:val="left"/>
        <w:textAlignment w:val="auto"/>
        <w:outlineLvl w:val="9"/>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综上所述，国内铜需求增速放缓的趋势并不会发生改变，只不过可能因为扩大基建刺激，增速放缓的节奏较我们前期预期的要慢些。整体判断，今年9、10月份国内铜季节性需求相较于去年不会很突出，谈不上旺季，也谈不上淡季，中下游环节预计不会有较强的补库预期。外需方面，受贸易战及美联储加息影响，新兴市场铜需求高增长将被阻断，欧洲与日本本轮铜需求复苏也接近尾声，美国铜需求变化则有待观察。</w:t>
      </w:r>
    </w:p>
    <w:p>
      <w:pPr>
        <w:rPr>
          <w:rFonts w:hint="eastAsia" w:ascii="微软雅黑" w:hAnsi="微软雅黑" w:eastAsia="微软雅黑" w:cs="微软雅黑"/>
          <w:i w:val="0"/>
          <w:caps w:val="0"/>
          <w:color w:val="000000"/>
          <w:spacing w:val="0"/>
          <w:kern w:val="2"/>
          <w:sz w:val="21"/>
          <w:szCs w:val="21"/>
          <w:lang w:val="en-US" w:eastAsia="zh-CN" w:bidi="ar-SA"/>
        </w:rPr>
      </w:pPr>
    </w:p>
    <w:p>
      <w:pPr>
        <w:numPr>
          <w:ilvl w:val="0"/>
          <w:numId w:val="0"/>
        </w:numPr>
        <w:jc w:val="left"/>
        <w:rPr>
          <w:rFonts w:hint="eastAsia" w:cstheme="minorBidi"/>
          <w:b/>
          <w:bCs/>
          <w:kern w:val="2"/>
          <w:sz w:val="36"/>
          <w:szCs w:val="36"/>
          <w:lang w:val="en-US" w:eastAsia="zh-CN" w:bidi="ar-SA"/>
        </w:rPr>
      </w:pPr>
      <w:r>
        <w:rPr>
          <w:rFonts w:hint="eastAsia" w:cstheme="minorBidi"/>
          <w:b/>
          <w:bCs/>
          <w:kern w:val="2"/>
          <w:sz w:val="36"/>
          <w:szCs w:val="36"/>
          <w:lang w:val="en-US" w:eastAsia="zh-CN" w:bidi="ar-SA"/>
        </w:rPr>
        <w:t>三、供给端</w:t>
      </w:r>
    </w:p>
    <w:p>
      <w:pPr>
        <w:ind w:firstLine="433" w:firstLineChars="0"/>
        <w:jc w:val="left"/>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从供应端看，铜矿供应略超预期，智利铜矿罢工的扰动稍有下降，不罢工是普遍预期，我国环保政策趋严，固废或全部禁止进口，生态环境部不仅取消废铜贸易单位代理进口，并且大幅削减了废七类的核定进口量，废铜进口量大幅减少，废铜市场供应紧张是必然事件，其将成为扰动价格的重要因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hint="eastAsia" w:cstheme="minorBidi"/>
          <w:b/>
          <w:bCs/>
          <w:kern w:val="2"/>
          <w:sz w:val="24"/>
          <w:szCs w:val="24"/>
          <w:lang w:val="en-US" w:eastAsia="zh-CN" w:bidi="ar-SA"/>
        </w:rPr>
      </w:pPr>
      <w:r>
        <w:rPr>
          <w:rFonts w:hint="eastAsia" w:cstheme="minorBidi"/>
          <w:b/>
          <w:bCs/>
          <w:kern w:val="2"/>
          <w:sz w:val="24"/>
          <w:szCs w:val="24"/>
          <w:lang w:val="en-US" w:eastAsia="zh-CN" w:bidi="ar-SA"/>
        </w:rPr>
        <w:t>1、铜矿供应超预期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420" w:firstLineChars="200"/>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ICSG数据显示，今年1-5月份全球铜矿产量同比增长5.7%至833.6万吨（金属），智利与印尼存量修复，刚果与赞比亚增量释放，两者共振之下对供给增长形成了有力支撑。秘鲁能矿部的数据显示，2018年在中国五矿和自由港麦克莫兰等公司新矿山带动下，秘鲁铜山矿产量将达到245万吨，较上年增长3.9%，创新的纪录。刚果央行表示，刚果民主共和国的铜产量在2018年上半年同比增长7.9%至597,249吨。</w:t>
      </w:r>
    </w:p>
    <w:p>
      <w:pPr>
        <w:keepNext w:val="0"/>
        <w:keepLines w:val="0"/>
        <w:pageBreakBefore w:val="0"/>
        <w:widowControl w:val="0"/>
        <w:kinsoku/>
        <w:wordWrap/>
        <w:overflowPunct/>
        <w:topLinePunct w:val="0"/>
        <w:autoSpaceDE/>
        <w:autoSpaceDN/>
        <w:bidi w:val="0"/>
        <w:adjustRightInd/>
        <w:snapToGrid/>
        <w:spacing w:line="360" w:lineRule="auto"/>
        <w:ind w:firstLine="463" w:firstLineChars="0"/>
        <w:jc w:val="left"/>
        <w:textAlignment w:val="auto"/>
        <w:outlineLvl w:val="9"/>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智利铜业委员会（Cochilco）称，智利2018年1-7月铜产量达到331万吨，同比增长10.8%，其中7月份铜产量同比增加2.9%至481700吨，因全球最大铜矿——必和必拓旗下Escondid</w:t>
      </w:r>
      <w:r>
        <w:rPr>
          <w:rFonts w:hint="eastAsia" w:ascii="微软雅黑" w:hAnsi="微软雅黑" w:eastAsia="微软雅黑" w:cs="微软雅黑"/>
          <w:i w:val="0"/>
          <w:caps w:val="0"/>
          <w:color w:val="000000"/>
          <w:spacing w:val="0"/>
          <w:kern w:val="2"/>
          <w:sz w:val="21"/>
          <w:szCs w:val="21"/>
          <w:shd w:val="clear" w:fill="FFFFFF"/>
          <w:lang w:val="en-US" w:eastAsia="zh-CN" w:bidi="ar-SA"/>
        </w:rPr>
        <w:t>a铜矿去年发生罢工而导致去年同期基数较低，Escondida铜矿今年1-7月铜产量增加85.2%。智利国有铜委员会Cochilco在近期声明中称，预计智利的采矿业在未来十年将吸引总计657.5亿美元投资，涵盖44个运作，这些投资的铜项目将提振产量达到350万吨，为三年内最高水平。丘基卡玛塔地下矿山项目投资49亿美元，矿山建成后，从露天转入地下开采，丘基卡玛塔铜矿将能再开采50年，即使在矿石品位下降和生产成本上升的情况下，Codelco公司仍能维持目前生产水平，2017年丘基卡玛塔铜矿产量为33.09万吨，占Codelco公司铜产量的19%。</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hint="eastAsia" w:cstheme="minorBidi"/>
          <w:b/>
          <w:bCs/>
          <w:kern w:val="2"/>
          <w:sz w:val="24"/>
          <w:szCs w:val="24"/>
          <w:lang w:val="en-US" w:eastAsia="zh-CN" w:bidi="ar-SA"/>
        </w:rPr>
      </w:pPr>
      <w:r>
        <w:rPr>
          <w:rFonts w:hint="eastAsia" w:cstheme="minorBidi"/>
          <w:b/>
          <w:bCs/>
          <w:kern w:val="2"/>
          <w:sz w:val="24"/>
          <w:szCs w:val="24"/>
          <w:lang w:val="en-US" w:eastAsia="zh-CN" w:bidi="ar-SA"/>
        </w:rPr>
        <w:t>2、罢工预期消退</w:t>
      </w:r>
    </w:p>
    <w:p>
      <w:pPr>
        <w:keepNext w:val="0"/>
        <w:keepLines w:val="0"/>
        <w:pageBreakBefore w:val="0"/>
        <w:widowControl w:val="0"/>
        <w:kinsoku/>
        <w:wordWrap/>
        <w:overflowPunct/>
        <w:topLinePunct w:val="0"/>
        <w:autoSpaceDE/>
        <w:autoSpaceDN/>
        <w:bidi w:val="0"/>
        <w:adjustRightInd/>
        <w:snapToGrid/>
        <w:spacing w:line="360" w:lineRule="auto"/>
        <w:ind w:firstLine="463" w:firstLineChars="0"/>
        <w:jc w:val="left"/>
        <w:textAlignment w:val="auto"/>
        <w:outlineLvl w:val="9"/>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智利等国家在下半年步入了薪资谈判密集期，虽然罢工的消息层出不穷，但对生产造成的实际影响并不大，Escondida铜矿经历了多轮劳资对抗，甚至最终进入了政府调停阶段，但结果是工会及工人接受了新的协议，罢工被避免。在当前的市场环境下，大范围、长时间罢工对资方、政府、工会是最不利的局面，虽然最终协议远不及工会及工人提出的涨薪及奖金预期，但工会及工人涨薪与资方降本增效达成一种平衡。矿端的角度看，9月份罢工消息仍会不断扰动市场，但短期却难以改变市场对铜矿供给恢复的预期，铜价自高位回调之后，边际矿山回归市场料将减缓，实际供给增势对加工费仍然会形成一定上行压力，国内冶炼厂对铜精矿进口的需求不减，加工费上行的空间也较为有效，同时综合成本上升对铜价也有一定支撑。</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hint="eastAsia" w:cstheme="minorBidi"/>
          <w:b/>
          <w:bCs/>
          <w:kern w:val="2"/>
          <w:sz w:val="24"/>
          <w:szCs w:val="24"/>
          <w:lang w:val="en-US" w:eastAsia="zh-CN" w:bidi="ar-SA"/>
        </w:rPr>
      </w:pPr>
      <w:r>
        <w:rPr>
          <w:rFonts w:hint="eastAsia" w:cstheme="minorBidi"/>
          <w:b/>
          <w:bCs/>
          <w:kern w:val="2"/>
          <w:sz w:val="24"/>
          <w:szCs w:val="24"/>
          <w:lang w:val="en-US" w:eastAsia="zh-CN" w:bidi="ar-SA"/>
        </w:rPr>
        <w:t>3、废铜供应紧张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420" w:firstLineChars="200"/>
        <w:rPr>
          <w:sz w:val="21"/>
          <w:szCs w:val="21"/>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9月19日第二十批限制进口类固废批文发布，本次批文中涉及废铜相关企业四十余家，均位于宁波、台州两地，所获批量16.46万吨，截至目前，今年累计发放批量90.32万吨，累计同比减少69.95%。废铜供应紧张，一方面是因为国内加强环保，部分废铜企业退出市场，另一方面是因为限制废七类进口，废铜进口量下降。由于废铜供应不足，国内废铜杆企业开工受到影响，甚至出现关闭现象，这些需求转向精铜杆企业。据有关部门预测，今年精铜对废铜的替代数量会在20万吨附近。8月23日中国宣布对美进行关税反击，其中废铜在加税产品目录中，导致精废价差进一步缩小，据市场调研7月废铜杆企业开工率仅为38.78%，而进入8月开工率为38.54%，部分废铜需求向精炼铜转移，对精炼铜现货价格起到了支撑作用。</w:t>
      </w:r>
    </w:p>
    <w:p>
      <w:pPr>
        <w:numPr>
          <w:ilvl w:val="0"/>
          <w:numId w:val="0"/>
        </w:numPr>
        <w:jc w:val="left"/>
        <w:rPr>
          <w:rFonts w:hint="eastAsia" w:cstheme="minorBidi"/>
          <w:b/>
          <w:bCs/>
          <w:kern w:val="2"/>
          <w:sz w:val="36"/>
          <w:szCs w:val="36"/>
          <w:lang w:val="en-US" w:eastAsia="zh-CN" w:bidi="ar-SA"/>
        </w:rPr>
      </w:pPr>
      <w:r>
        <w:rPr>
          <w:rFonts w:hint="eastAsia" w:cstheme="minorBidi"/>
          <w:b/>
          <w:bCs/>
          <w:kern w:val="2"/>
          <w:sz w:val="36"/>
          <w:szCs w:val="36"/>
          <w:lang w:val="en-US" w:eastAsia="zh-CN" w:bidi="ar-SA"/>
        </w:rPr>
        <w:t>四、其它因素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hint="eastAsia" w:cstheme="minorBidi"/>
          <w:b/>
          <w:bCs/>
          <w:kern w:val="2"/>
          <w:sz w:val="24"/>
          <w:szCs w:val="24"/>
          <w:lang w:val="en-US" w:eastAsia="zh-CN" w:bidi="ar-SA"/>
        </w:rPr>
      </w:pPr>
      <w:r>
        <w:rPr>
          <w:rFonts w:hint="eastAsia" w:cstheme="minorBidi"/>
          <w:b/>
          <w:bCs/>
          <w:kern w:val="2"/>
          <w:sz w:val="24"/>
          <w:szCs w:val="24"/>
          <w:lang w:val="en-US" w:eastAsia="zh-CN" w:bidi="ar-SA"/>
        </w:rPr>
        <w:t>1、CFTC持仓数据</w:t>
      </w:r>
    </w:p>
    <w:p>
      <w:pPr>
        <w:ind w:firstLine="420" w:firstLineChars="200"/>
        <w:jc w:val="left"/>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CFTC持仓数据变化验证期价走势，8月28日当周，非商业持仓多头减少4226,手，空头减少</w:t>
      </w:r>
      <w:r>
        <w:rPr>
          <w:rFonts w:hint="eastAsia" w:ascii="微软雅黑" w:hAnsi="微软雅黑" w:eastAsia="微软雅黑" w:cs="微软雅黑"/>
          <w:i w:val="0"/>
          <w:caps w:val="0"/>
          <w:color w:val="000000"/>
          <w:spacing w:val="0"/>
          <w:kern w:val="2"/>
          <w:sz w:val="21"/>
          <w:szCs w:val="21"/>
          <w:shd w:val="clear" w:fill="FFFFFF"/>
          <w:lang w:val="en-US" w:eastAsia="zh-CN" w:bidi="ar-SA"/>
        </w:rPr>
        <w:t>6216手，使得投机基金持有的comex铜转为净多291手，数据显示短期投机基金做多意愿明显下滑；截至9月4日当周，comex期铜cftc总持仓238426手，处于年内持仓均值271887手之下，显示近期铜市投资人气相对低迷。持仓结构方面，非商业持仓多头减少3285,手，空头增加2983手，使得投机基金持有的comex铜转为净空5977，这是投机持仓在过去97周里实现第二次转空，显示短期空头暂居优势；截至9月11日当周，非商业持仓多头减少5768手，空头减2851手，美铜实现98周来第三次周呈现净空，显示投机基金仍积极看空</w:t>
      </w:r>
      <w:r>
        <w:rPr>
          <w:rFonts w:hint="eastAsia" w:ascii="微软雅黑" w:hAnsi="微软雅黑" w:eastAsia="微软雅黑" w:cs="微软雅黑"/>
          <w:i w:val="0"/>
          <w:caps w:val="0"/>
          <w:color w:val="000000"/>
          <w:spacing w:val="0"/>
          <w:kern w:val="2"/>
          <w:sz w:val="21"/>
          <w:szCs w:val="21"/>
          <w:shd w:val="clear" w:fill="FFFFFF"/>
          <w:lang w:val="en-US" w:eastAsia="zh-CN" w:bidi="ar-SA"/>
        </w:rPr>
        <w:fldChar w:fldCharType="begin"/>
      </w:r>
      <w:r>
        <w:rPr>
          <w:rFonts w:hint="eastAsia" w:ascii="微软雅黑" w:hAnsi="微软雅黑" w:eastAsia="微软雅黑" w:cs="微软雅黑"/>
          <w:i w:val="0"/>
          <w:caps w:val="0"/>
          <w:color w:val="000000"/>
          <w:spacing w:val="0"/>
          <w:kern w:val="2"/>
          <w:sz w:val="21"/>
          <w:szCs w:val="21"/>
          <w:shd w:val="clear" w:fill="FFFFFF"/>
          <w:lang w:val="en-US" w:eastAsia="zh-CN" w:bidi="ar-SA"/>
        </w:rPr>
        <w:instrText xml:space="preserve"> HYPERLINK "http://copper.ccmn.cn/" \t "http://copper.ccmn.cn/copperplfx/2018-09-17/_blank" </w:instrText>
      </w:r>
      <w:r>
        <w:rPr>
          <w:rFonts w:hint="eastAsia" w:ascii="微软雅黑" w:hAnsi="微软雅黑" w:eastAsia="微软雅黑" w:cs="微软雅黑"/>
          <w:i w:val="0"/>
          <w:caps w:val="0"/>
          <w:color w:val="000000"/>
          <w:spacing w:val="0"/>
          <w:kern w:val="2"/>
          <w:sz w:val="21"/>
          <w:szCs w:val="21"/>
          <w:shd w:val="clear" w:fill="FFFFFF"/>
          <w:lang w:val="en-US" w:eastAsia="zh-CN" w:bidi="ar-SA"/>
        </w:rPr>
        <w:fldChar w:fldCharType="separate"/>
      </w:r>
      <w:r>
        <w:rPr>
          <w:rFonts w:hint="eastAsia" w:ascii="微软雅黑" w:hAnsi="微软雅黑" w:eastAsia="微软雅黑" w:cs="微软雅黑"/>
          <w:i w:val="0"/>
          <w:caps w:val="0"/>
          <w:color w:val="000000"/>
          <w:spacing w:val="0"/>
          <w:kern w:val="2"/>
          <w:sz w:val="21"/>
          <w:szCs w:val="21"/>
          <w:shd w:val="clear" w:fill="FFFFFF"/>
          <w:lang w:val="en-US" w:eastAsia="zh-CN" w:bidi="ar-SA"/>
        </w:rPr>
        <w:t>铜价</w:t>
      </w:r>
      <w:r>
        <w:rPr>
          <w:rFonts w:hint="eastAsia" w:ascii="微软雅黑" w:hAnsi="微软雅黑" w:eastAsia="微软雅黑" w:cs="微软雅黑"/>
          <w:i w:val="0"/>
          <w:caps w:val="0"/>
          <w:color w:val="000000"/>
          <w:spacing w:val="0"/>
          <w:kern w:val="2"/>
          <w:sz w:val="21"/>
          <w:szCs w:val="21"/>
          <w:shd w:val="clear" w:fill="FFFFFF"/>
          <w:lang w:val="en-US" w:eastAsia="zh-CN" w:bidi="ar-SA"/>
        </w:rPr>
        <w:fldChar w:fldCharType="end"/>
      </w:r>
      <w:r>
        <w:rPr>
          <w:rFonts w:hint="eastAsia" w:ascii="微软雅黑" w:hAnsi="微软雅黑" w:eastAsia="微软雅黑" w:cs="微软雅黑"/>
          <w:i w:val="0"/>
          <w:caps w:val="0"/>
          <w:color w:val="000000"/>
          <w:spacing w:val="0"/>
          <w:kern w:val="2"/>
          <w:sz w:val="21"/>
          <w:szCs w:val="21"/>
          <w:shd w:val="clear" w:fill="FFFFFF"/>
          <w:lang w:val="en-US" w:eastAsia="zh-CN" w:bidi="ar-SA"/>
        </w:rPr>
        <w:t>为主；截至9月18日当周，持仓结构方面，非商业持仓多头增加2393手，空头减少6310手，使得投机基金持有的comex铜净空量降至191，较上周锐减8703手，显示投机基金看空铜的积极性明显下滑。</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outlineLvl w:val="9"/>
        <w:rPr>
          <w:rFonts w:hint="eastAsia" w:cstheme="minorBidi"/>
          <w:b/>
          <w:bCs/>
          <w:kern w:val="2"/>
          <w:sz w:val="24"/>
          <w:szCs w:val="24"/>
          <w:lang w:val="en-US" w:eastAsia="zh-CN" w:bidi="ar-SA"/>
        </w:rPr>
      </w:pPr>
      <w:r>
        <w:rPr>
          <w:rFonts w:hint="eastAsia" w:cstheme="minorBidi"/>
          <w:b/>
          <w:bCs/>
          <w:kern w:val="2"/>
          <w:sz w:val="24"/>
          <w:szCs w:val="24"/>
          <w:lang w:val="en-US" w:eastAsia="zh-CN" w:bidi="ar-SA"/>
        </w:rPr>
        <w:t>2、美元指数</w:t>
      </w:r>
    </w:p>
    <w:p>
      <w:pPr>
        <w:ind w:firstLine="420" w:firstLineChars="200"/>
        <w:jc w:val="left"/>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9月中旬随着贸易紧张情绪降温且美国PPI表现不佳，</w:t>
      </w:r>
      <w:r>
        <w:rPr>
          <w:rFonts w:hint="eastAsia" w:ascii="微软雅黑" w:hAnsi="微软雅黑" w:eastAsia="微软雅黑" w:cs="微软雅黑"/>
          <w:i w:val="0"/>
          <w:caps w:val="0"/>
          <w:color w:val="000000"/>
          <w:spacing w:val="0"/>
          <w:kern w:val="2"/>
          <w:sz w:val="21"/>
          <w:szCs w:val="21"/>
          <w:shd w:val="clear" w:fill="FFFFFF"/>
          <w:lang w:val="en-US" w:eastAsia="zh-CN" w:bidi="ar-SA"/>
        </w:rPr>
        <w:fldChar w:fldCharType="begin"/>
      </w:r>
      <w:r>
        <w:rPr>
          <w:rFonts w:hint="eastAsia" w:ascii="微软雅黑" w:hAnsi="微软雅黑" w:eastAsia="微软雅黑" w:cs="微软雅黑"/>
          <w:i w:val="0"/>
          <w:caps w:val="0"/>
          <w:color w:val="000000"/>
          <w:spacing w:val="0"/>
          <w:kern w:val="2"/>
          <w:sz w:val="21"/>
          <w:szCs w:val="21"/>
          <w:shd w:val="clear" w:fill="FFFFFF"/>
          <w:lang w:val="en-US" w:eastAsia="zh-CN" w:bidi="ar-SA"/>
        </w:rPr>
        <w:instrText xml:space="preserve"> HYPERLINK "http://biz.finance.sina.com.cn/forex/quote.php?code=DINIW&amp;img_type=min" \t "http://finance.sina.com.cn/money/forex/forexanaly/2018-09-13/_blank" </w:instrText>
      </w:r>
      <w:r>
        <w:rPr>
          <w:rFonts w:hint="eastAsia" w:ascii="微软雅黑" w:hAnsi="微软雅黑" w:eastAsia="微软雅黑" w:cs="微软雅黑"/>
          <w:i w:val="0"/>
          <w:caps w:val="0"/>
          <w:color w:val="000000"/>
          <w:spacing w:val="0"/>
          <w:kern w:val="2"/>
          <w:sz w:val="21"/>
          <w:szCs w:val="21"/>
          <w:shd w:val="clear" w:fill="FFFFFF"/>
          <w:lang w:val="en-US" w:eastAsia="zh-CN" w:bidi="ar-SA"/>
        </w:rPr>
        <w:fldChar w:fldCharType="separate"/>
      </w:r>
      <w:r>
        <w:rPr>
          <w:rFonts w:hint="eastAsia" w:ascii="微软雅黑" w:hAnsi="微软雅黑" w:eastAsia="微软雅黑" w:cs="微软雅黑"/>
          <w:i w:val="0"/>
          <w:caps w:val="0"/>
          <w:color w:val="000000"/>
          <w:spacing w:val="0"/>
          <w:kern w:val="2"/>
          <w:sz w:val="21"/>
          <w:szCs w:val="21"/>
          <w:shd w:val="clear" w:fill="FFFFFF"/>
          <w:lang w:val="en-US" w:eastAsia="zh-CN" w:bidi="ar-SA"/>
        </w:rPr>
        <w:t>美元指数</w:t>
      </w:r>
      <w:r>
        <w:rPr>
          <w:rFonts w:hint="eastAsia" w:ascii="微软雅黑" w:hAnsi="微软雅黑" w:eastAsia="微软雅黑" w:cs="微软雅黑"/>
          <w:i w:val="0"/>
          <w:caps w:val="0"/>
          <w:color w:val="000000"/>
          <w:spacing w:val="0"/>
          <w:kern w:val="2"/>
          <w:sz w:val="21"/>
          <w:szCs w:val="21"/>
          <w:shd w:val="clear" w:fill="FFFFFF"/>
          <w:lang w:val="en-US" w:eastAsia="zh-CN" w:bidi="ar-SA"/>
        </w:rPr>
        <w:fldChar w:fldCharType="end"/>
      </w:r>
      <w:r>
        <w:rPr>
          <w:rFonts w:hint="eastAsia" w:ascii="微软雅黑" w:hAnsi="微软雅黑" w:eastAsia="微软雅黑" w:cs="微软雅黑"/>
          <w:i w:val="0"/>
          <w:caps w:val="0"/>
          <w:color w:val="000000"/>
          <w:spacing w:val="0"/>
          <w:kern w:val="2"/>
          <w:sz w:val="21"/>
          <w:szCs w:val="21"/>
          <w:shd w:val="clear" w:fill="FFFFFF"/>
          <w:lang w:val="en-US" w:eastAsia="zh-CN" w:bidi="ar-SA"/>
        </w:rPr>
        <w:t>承压，俄罗斯，土耳其，印尼等新兴国家为了防止外汇流出本币贬值，都是开始加息，倒逼全球货币开始紧缩防止通胀，受英国将与欧盟就脱欧条款达成协议的乐观预期提振，英镑和欧元隔夜大幅上涨，这令美元受到明显拖累，下破95关口，美元指数已经跌穿关键上升趋势线的支撑。</w:t>
      </w:r>
    </w:p>
    <w:p>
      <w:pPr>
        <w:ind w:firstLine="420" w:firstLineChars="200"/>
        <w:jc w:val="left"/>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9月27日美联储如期加息，加息次数预期不变，移除政策宽松措辞，上调经济增长预期，鲍威尔称删除宽松措辞不意味利率预期路径改变，表示关税对美经济影响仍相对较小，美股先涨后跌、道指跌超百点，美元指数震荡，整体看美元指数8月中旬高点后持续下跌，本月美联储加息没有改变弱势形态，利于期铜近期大幅反弹。</w:t>
      </w:r>
    </w:p>
    <w:p>
      <w:pPr>
        <w:jc w:val="left"/>
        <w:rPr>
          <w:rFonts w:hint="eastAsia" w:ascii="微软雅黑" w:hAnsi="微软雅黑" w:eastAsia="微软雅黑" w:cs="微软雅黑"/>
          <w:i w:val="0"/>
          <w:caps w:val="0"/>
          <w:color w:val="000000"/>
          <w:spacing w:val="0"/>
          <w:kern w:val="2"/>
          <w:sz w:val="21"/>
          <w:szCs w:val="21"/>
          <w:lang w:val="en-US" w:eastAsia="zh-CN" w:bidi="ar-SA"/>
        </w:rPr>
      </w:pPr>
    </w:p>
    <w:p>
      <w:pPr>
        <w:numPr>
          <w:ilvl w:val="0"/>
          <w:numId w:val="0"/>
        </w:numPr>
        <w:jc w:val="left"/>
        <w:rPr>
          <w:rFonts w:hint="eastAsia" w:cstheme="minorBidi"/>
          <w:b/>
          <w:bCs/>
          <w:kern w:val="2"/>
          <w:sz w:val="36"/>
          <w:szCs w:val="36"/>
          <w:lang w:val="en-US" w:eastAsia="zh-CN" w:bidi="ar-SA"/>
        </w:rPr>
      </w:pPr>
      <w:r>
        <w:rPr>
          <w:rFonts w:hint="eastAsia" w:cstheme="minorBidi"/>
          <w:b/>
          <w:bCs/>
          <w:kern w:val="2"/>
          <w:sz w:val="36"/>
          <w:szCs w:val="36"/>
          <w:lang w:val="en-US" w:eastAsia="zh-CN" w:bidi="ar-SA"/>
        </w:rPr>
        <w:t>五、后市行情研判</w:t>
      </w:r>
    </w:p>
    <w:p>
      <w:pPr>
        <w:tabs>
          <w:tab w:val="left" w:pos="808"/>
        </w:tabs>
        <w:ind w:firstLine="420" w:firstLineChars="200"/>
        <w:jc w:val="left"/>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9月24日双方</w:t>
      </w:r>
      <w:r>
        <w:rPr>
          <w:rFonts w:hint="eastAsia" w:ascii="微软雅黑" w:hAnsi="微软雅黑" w:eastAsia="微软雅黑" w:cs="微软雅黑"/>
          <w:i w:val="0"/>
          <w:caps w:val="0"/>
          <w:color w:val="000000"/>
          <w:spacing w:val="0"/>
          <w:kern w:val="2"/>
          <w:sz w:val="21"/>
          <w:szCs w:val="21"/>
          <w:shd w:val="clear" w:fill="FFFFFF"/>
          <w:lang w:val="en-US" w:eastAsia="zh-CN" w:bidi="ar-SA"/>
        </w:rPr>
        <w:t>起征关税，关税涉及金额规模扩大但市场并未出现大的恐慌，说明市场对此消息早已做了充分准备，期铜不跌而大幅反弹，一是关税税率比预期降低，二是利空落地释放。宏观面依然不确定，中国退出原定近日举行的中美贸易谈判，令全球两大经济体解决贸易纠纷的前景变得更加黯淡，中美贸易争端的变化依然是影响期铜的重要因素，后市仍需关注。</w:t>
      </w:r>
    </w:p>
    <w:p>
      <w:pPr>
        <w:tabs>
          <w:tab w:val="left" w:pos="808"/>
        </w:tabs>
        <w:ind w:firstLine="420" w:firstLineChars="200"/>
        <w:jc w:val="left"/>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shd w:val="clear" w:fill="FFFFFF"/>
          <w:lang w:val="en-US" w:eastAsia="zh-CN" w:bidi="ar-SA"/>
        </w:rPr>
        <w:t>需求面如果国网完成全年目标，那么下半年投资大幅增加，电网投资可能带动铜消费，国内房地产投资增速趋缓，虽然政策给了市场基建托底经济的预期，但效果仍然有待观察，国内空调与汽车行业下半年需求令人担忧，7月份空调产销转弱，中汽协数据显示，7月国内汽车产销增速再度转负，现阶段来看这种弱势局面短期料将延续。需求端局部有亮点，新能源增长速度较快，但整体看四季度需求依然偏弱，期铜上涨空间受限。供给端罢工预期消退，智利与印尼存量修复，刚果与赞比亚增量释放，两者共振之下对供给增长形成了有力支撑，废铜相对供应紧张，一是因为国内加强环保，部分废铜企业退出市场，另一方面是限制废七类进口，废铜进口量下降。</w:t>
      </w:r>
    </w:p>
    <w:p>
      <w:pPr>
        <w:ind w:firstLine="478" w:firstLineChars="0"/>
        <w:jc w:val="left"/>
        <w:rPr>
          <w:rFonts w:hint="eastAsia" w:ascii="微软雅黑" w:hAnsi="微软雅黑" w:eastAsia="微软雅黑" w:cs="微软雅黑"/>
          <w:i w:val="0"/>
          <w:caps w:val="0"/>
          <w:color w:val="000000"/>
          <w:spacing w:val="0"/>
          <w:kern w:val="2"/>
          <w:sz w:val="21"/>
          <w:szCs w:val="21"/>
          <w:shd w:val="clear" w:fill="FFFFFF"/>
          <w:lang w:val="en-US" w:eastAsia="zh-CN" w:bidi="ar-SA"/>
        </w:rPr>
      </w:pPr>
      <w:r>
        <w:rPr>
          <w:rFonts w:hint="eastAsia" w:ascii="微软雅黑" w:hAnsi="微软雅黑" w:eastAsia="微软雅黑" w:cs="微软雅黑"/>
          <w:i w:val="0"/>
          <w:caps w:val="0"/>
          <w:color w:val="000000"/>
          <w:spacing w:val="0"/>
          <w:kern w:val="2"/>
          <w:sz w:val="21"/>
          <w:szCs w:val="21"/>
          <w:lang w:val="en-US" w:eastAsia="zh-CN" w:bidi="ar-SA"/>
        </w:rPr>
        <w:t>综合看基本面不支持期铜持续上涨，宏观面也是偏弱，特别是中美</w:t>
      </w:r>
      <w:r>
        <w:rPr>
          <w:rFonts w:hint="eastAsia" w:ascii="微软雅黑" w:hAnsi="微软雅黑" w:eastAsia="微软雅黑" w:cs="微软雅黑"/>
          <w:i w:val="0"/>
          <w:caps w:val="0"/>
          <w:color w:val="000000"/>
          <w:spacing w:val="0"/>
          <w:kern w:val="2"/>
          <w:sz w:val="21"/>
          <w:szCs w:val="21"/>
          <w:shd w:val="clear" w:fill="FFFFFF"/>
          <w:lang w:val="en-US" w:eastAsia="zh-CN" w:bidi="ar-SA"/>
        </w:rPr>
        <w:t>贸易争端的前景变得更加黯淡，如果四季度</w:t>
      </w:r>
      <w:r>
        <w:rPr>
          <w:rFonts w:hint="eastAsia" w:ascii="微软雅黑" w:hAnsi="微软雅黑" w:eastAsia="微软雅黑" w:cs="微软雅黑"/>
          <w:i w:val="0"/>
          <w:caps w:val="0"/>
          <w:color w:val="000000"/>
          <w:spacing w:val="0"/>
          <w:kern w:val="2"/>
          <w:sz w:val="21"/>
          <w:szCs w:val="21"/>
          <w:lang w:val="en-US" w:eastAsia="zh-CN" w:bidi="ar-SA"/>
        </w:rPr>
        <w:t>中美</w:t>
      </w:r>
      <w:r>
        <w:rPr>
          <w:rFonts w:hint="eastAsia" w:ascii="微软雅黑" w:hAnsi="微软雅黑" w:eastAsia="微软雅黑" w:cs="微软雅黑"/>
          <w:i w:val="0"/>
          <w:caps w:val="0"/>
          <w:color w:val="000000"/>
          <w:spacing w:val="0"/>
          <w:kern w:val="2"/>
          <w:sz w:val="21"/>
          <w:szCs w:val="21"/>
          <w:shd w:val="clear" w:fill="FFFFFF"/>
          <w:lang w:val="en-US" w:eastAsia="zh-CN" w:bidi="ar-SA"/>
        </w:rPr>
        <w:t>贸易争端形势有所好转将是对期铜的一大利好。盘面看沪铜在8、9月几次下探47000都得到有效的支撑，目前看47000--48000是今年较为坚实的底部，利空释放后，技术面大幅反弹沪铜站上50000大关，同时沪铜、伦铜站稳60日均线，盘面看期铜还在多头趋势中，预计本次高点在51000--52000间，后续在48000--52000间震荡。</w:t>
      </w:r>
    </w:p>
    <w:p>
      <w:pPr>
        <w:rPr>
          <w:rFonts w:hint="eastAsia" w:ascii="微软雅黑" w:hAnsi="微软雅黑" w:eastAsia="微软雅黑" w:cs="微软雅黑"/>
          <w:i w:val="0"/>
          <w:caps w:val="0"/>
          <w:color w:val="000000"/>
          <w:spacing w:val="0"/>
          <w:kern w:val="2"/>
          <w:sz w:val="21"/>
          <w:szCs w:val="21"/>
          <w:lang w:val="en-US" w:eastAsia="zh-CN" w:bidi="ar-SA"/>
        </w:rPr>
      </w:pPr>
    </w:p>
    <w:p>
      <w:pPr>
        <w:rPr>
          <w:rFonts w:hint="eastAsia" w:ascii="微软雅黑" w:hAnsi="微软雅黑" w:eastAsia="微软雅黑" w:cs="微软雅黑"/>
          <w:i w:val="0"/>
          <w:caps w:val="0"/>
          <w:color w:val="000000"/>
          <w:spacing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5"/>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3683B3"/>
    <w:multiLevelType w:val="singleLevel"/>
    <w:tmpl w:val="DD3683B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80130"/>
    <w:rsid w:val="00CA2FDC"/>
    <w:rsid w:val="01466FE2"/>
    <w:rsid w:val="03D01AA7"/>
    <w:rsid w:val="05AF32C7"/>
    <w:rsid w:val="062A4545"/>
    <w:rsid w:val="06C92CFB"/>
    <w:rsid w:val="07B110A6"/>
    <w:rsid w:val="08EA3454"/>
    <w:rsid w:val="09A941DB"/>
    <w:rsid w:val="09B71D1E"/>
    <w:rsid w:val="0A5F49D3"/>
    <w:rsid w:val="0AF12B60"/>
    <w:rsid w:val="0C435D7C"/>
    <w:rsid w:val="0C7F27BD"/>
    <w:rsid w:val="0D525BF6"/>
    <w:rsid w:val="0D9F2338"/>
    <w:rsid w:val="0E235230"/>
    <w:rsid w:val="0F632E7D"/>
    <w:rsid w:val="0F683111"/>
    <w:rsid w:val="134175F1"/>
    <w:rsid w:val="137025D6"/>
    <w:rsid w:val="13E6464E"/>
    <w:rsid w:val="14D4743B"/>
    <w:rsid w:val="15260378"/>
    <w:rsid w:val="15F31D53"/>
    <w:rsid w:val="16151375"/>
    <w:rsid w:val="16975641"/>
    <w:rsid w:val="17AD2220"/>
    <w:rsid w:val="17B2021E"/>
    <w:rsid w:val="182C0D4B"/>
    <w:rsid w:val="198509BF"/>
    <w:rsid w:val="1B27597C"/>
    <w:rsid w:val="1B2E6688"/>
    <w:rsid w:val="1C480F60"/>
    <w:rsid w:val="1C490427"/>
    <w:rsid w:val="1CEB16C1"/>
    <w:rsid w:val="1D6723CF"/>
    <w:rsid w:val="1D675C05"/>
    <w:rsid w:val="1F6A3902"/>
    <w:rsid w:val="1FA02057"/>
    <w:rsid w:val="212C5490"/>
    <w:rsid w:val="22023F4E"/>
    <w:rsid w:val="222254B3"/>
    <w:rsid w:val="22586145"/>
    <w:rsid w:val="23766167"/>
    <w:rsid w:val="24B004F8"/>
    <w:rsid w:val="24FD7ED5"/>
    <w:rsid w:val="2503318E"/>
    <w:rsid w:val="25565E44"/>
    <w:rsid w:val="26371FAB"/>
    <w:rsid w:val="26AB70E4"/>
    <w:rsid w:val="27446F74"/>
    <w:rsid w:val="27DF3D25"/>
    <w:rsid w:val="27EB24FA"/>
    <w:rsid w:val="28A7387D"/>
    <w:rsid w:val="290B668C"/>
    <w:rsid w:val="2C4E12FE"/>
    <w:rsid w:val="2CF01293"/>
    <w:rsid w:val="3188741F"/>
    <w:rsid w:val="31A5106F"/>
    <w:rsid w:val="31F35BFB"/>
    <w:rsid w:val="31FF6075"/>
    <w:rsid w:val="326F544F"/>
    <w:rsid w:val="32A204C9"/>
    <w:rsid w:val="33541698"/>
    <w:rsid w:val="33E26960"/>
    <w:rsid w:val="35132DF7"/>
    <w:rsid w:val="36913428"/>
    <w:rsid w:val="38373EE4"/>
    <w:rsid w:val="38FC3C27"/>
    <w:rsid w:val="391B1A0E"/>
    <w:rsid w:val="39A76624"/>
    <w:rsid w:val="3A4965E3"/>
    <w:rsid w:val="3EFA42E9"/>
    <w:rsid w:val="45CA159D"/>
    <w:rsid w:val="45F51E82"/>
    <w:rsid w:val="46347F61"/>
    <w:rsid w:val="485F5FED"/>
    <w:rsid w:val="49431238"/>
    <w:rsid w:val="49FE2737"/>
    <w:rsid w:val="502171C8"/>
    <w:rsid w:val="50895051"/>
    <w:rsid w:val="50B7677C"/>
    <w:rsid w:val="50CB5FBE"/>
    <w:rsid w:val="50D37287"/>
    <w:rsid w:val="52494EAA"/>
    <w:rsid w:val="52B954B8"/>
    <w:rsid w:val="52F415B9"/>
    <w:rsid w:val="541B1607"/>
    <w:rsid w:val="56DF53D5"/>
    <w:rsid w:val="58261771"/>
    <w:rsid w:val="59A810E8"/>
    <w:rsid w:val="59BE3C65"/>
    <w:rsid w:val="59C854D8"/>
    <w:rsid w:val="5BC873EF"/>
    <w:rsid w:val="5D3C44AE"/>
    <w:rsid w:val="5DA45C8D"/>
    <w:rsid w:val="5E4D5439"/>
    <w:rsid w:val="5F8E06BF"/>
    <w:rsid w:val="5F920FF9"/>
    <w:rsid w:val="60D10B72"/>
    <w:rsid w:val="618023DF"/>
    <w:rsid w:val="652841A2"/>
    <w:rsid w:val="65D11BFD"/>
    <w:rsid w:val="67782CAE"/>
    <w:rsid w:val="67C90260"/>
    <w:rsid w:val="68765A87"/>
    <w:rsid w:val="699922C6"/>
    <w:rsid w:val="6A4558D3"/>
    <w:rsid w:val="6AEF76C8"/>
    <w:rsid w:val="6C27608B"/>
    <w:rsid w:val="6CE11471"/>
    <w:rsid w:val="6CF80130"/>
    <w:rsid w:val="6D535020"/>
    <w:rsid w:val="6E241EE4"/>
    <w:rsid w:val="6E761182"/>
    <w:rsid w:val="700E0F20"/>
    <w:rsid w:val="70802C04"/>
    <w:rsid w:val="71F736D7"/>
    <w:rsid w:val="72A958FE"/>
    <w:rsid w:val="72CD695B"/>
    <w:rsid w:val="735565FD"/>
    <w:rsid w:val="735E45E1"/>
    <w:rsid w:val="741010AC"/>
    <w:rsid w:val="748C3473"/>
    <w:rsid w:val="75444A44"/>
    <w:rsid w:val="75DA2C11"/>
    <w:rsid w:val="797D3035"/>
    <w:rsid w:val="79D5766E"/>
    <w:rsid w:val="7A616126"/>
    <w:rsid w:val="7B9C535F"/>
    <w:rsid w:val="7BC321DC"/>
    <w:rsid w:val="7D093F7E"/>
    <w:rsid w:val="7D614E89"/>
    <w:rsid w:val="7D7A564D"/>
    <w:rsid w:val="7F584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333333"/>
      <w:u w:val="none"/>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2018-09-26T03:05:00Z</dcterms:created>
  <dc:creator>Administrator</dc:creator>
  <cp:lastModifiedBy>Administrator</cp:lastModifiedBy>
  <dcterms:modified xsi:type="dcterms:W3CDTF">2018-09-27T05:49:50Z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