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郑棉月报（2018年9月）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当月（9月3日-9月28日），棉花现货价格CC Index 3128B月度下跌55元/吨，大幅下调，9月28日报价16243元/吨；外棉FC Index M月度下跌0.72美分/磅，小幅下调，9月28日报价87.65美分/磅；考特鲁克指数Cotlook A 月度下跌美0.5分/磅，小幅下跌，9月28日报价87.95美分/磅，1%关税后折合人民币15033元/吨；中国棉纱价格指数CY Index C32S月度下跌20元/吨，基本保持稳定，9月28日报价24260元/；进口棉纱价格指数FCY Index C32S月度下跌7元/吨，小幅下跌，9月28日报价24498元/吨。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814955"/>
            <wp:effectExtent l="4445" t="4445" r="1270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503805"/>
            <wp:effectExtent l="4445" t="4445" r="11430" b="635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当周（9月3日-9月28日）储备棉轮出第二十九周（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月25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30日）标准级销售底价为</w:t>
      </w:r>
      <w:r>
        <w:rPr>
          <w:rFonts w:hint="default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  <w:lang w:val="en-US" w:eastAsia="zh-CN"/>
        </w:rPr>
        <w:t>697元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吨，较上周下调237元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27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1.75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54%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14797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cstheme="minorEastAsia"/>
          <w:lang w:val="en-US" w:eastAsia="zh-CN"/>
        </w:rPr>
        <w:t>173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16248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cstheme="minorEastAsia"/>
          <w:lang w:val="en-US" w:eastAsia="zh-CN"/>
        </w:rPr>
        <w:t>241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27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421.1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246.4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59%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drawing>
          <wp:inline distT="0" distB="0" distL="114300" distR="114300">
            <wp:extent cx="5269865" cy="1704340"/>
            <wp:effectExtent l="0" t="0" r="3175" b="2540"/>
            <wp:docPr id="8" name="图片 8" descr="W0201809276154786229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927615478622981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357880"/>
            <wp:effectExtent l="0" t="0" r="1270" b="10160"/>
            <wp:docPr id="15" name="图片 15" descr="W0201809276154786356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020180927615478635633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中国棉花生长情况及主产区天气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9月上半月，中国棉花协会棉农分会对内地12个省市26个县近2000定点农户进行了棉花采摘交</w:t>
      </w:r>
      <w:r>
        <w:rPr>
          <w:rFonts w:hint="eastAsia" w:asciiTheme="minorEastAsia" w:hAnsiTheme="minorEastAsia" w:cstheme="minorEastAsia"/>
          <w:lang w:val="en-US" w:eastAsia="zh-CN"/>
        </w:rPr>
        <w:t>售进度的调查。调查结果显示：进入9月以来，天气条件较好，有利于棉花吐絮采摘，采摘进度明显快于去年同期；品质也较前期有所好转，局部棉区品质好于去年；新棉收购已全面启动，开秤价格高于去年。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黄河流域，上半月天气正常，有利于棉花吐絮、采摘，截止到9月15日，该流域棉花采摘进度为48.89%，同比加快5个百分点，整体品质较好。新棉开秤收购的价格明显高于去年，棉农基本满意，棉农交售棉花的平均价格为3.44元/斤，同比上涨9个百分点。截止到9月15日，棉花交售进度为8.55%，同比增加4个百分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2885" cy="4298315"/>
            <wp:effectExtent l="0" t="0" r="635" b="14605"/>
            <wp:docPr id="1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429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cstheme="minorEastAsia"/>
          <w:lang w:val="en-US" w:eastAsia="zh-CN"/>
        </w:rPr>
        <w:t>天气情况：9月，新疆棉区大部气温偏低、降水偏多，可能出现阶段性低温阴雨天气，不利棉花开花结铃。黄河流域和长江流域棉区大部气温偏高、降水接近常年同期或偏少，可能出现阶段性伏旱，易导致棉花蕾铃脱落增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690" cy="3072130"/>
            <wp:effectExtent l="0" t="0" r="6350" b="6350"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跌1.06%，跌至七个月最低，因受累于美元强劲以及周度出口销售报告疲软。12月期棉合约收跌0.83美分/磅，报每77.72美分/磅。市期货市场总成交量增加3905手，至23602手。数据显示，前一交易日持仓量下降657手，至24.8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1135" cy="2645410"/>
            <wp:effectExtent l="0" t="0" r="1905" b="635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当月（9月3日-9月28日）9月28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日主力合约收盘价</w:t>
      </w:r>
      <w:r>
        <w:rPr>
          <w:rFonts w:hint="eastAsia" w:asciiTheme="minorEastAsia" w:hAnsiTheme="minorEastAsia" w:cstheme="minorEastAsia"/>
          <w:lang w:val="en-US" w:eastAsia="zh-CN"/>
        </w:rPr>
        <w:t>15665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15670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15735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15550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9月28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</w:t>
      </w:r>
      <w:r>
        <w:rPr>
          <w:rFonts w:hint="eastAsia" w:asciiTheme="minorEastAsia" w:hAnsiTheme="minorEastAsia" w:cstheme="minorEastAsia"/>
          <w:lang w:val="en-US" w:eastAsia="zh-CN"/>
        </w:rPr>
        <w:t>成交量18.8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减少13.9万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持仓量40.3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减少5.13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9865" cy="2774950"/>
            <wp:effectExtent l="0" t="0" r="3175" b="1397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当月（9月3日-9月28日）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9月28日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9月24日发布的美国棉花生产报告显示，截至2017年9月23日，美国棉花吐絮进度58%，较前周增加9个百分点，较上年同期增加3个百分点，较过去五年平均水平增加1个百分点；收获进度16%，较前周增加3个百分点，较上年同期增加2个百分点，较过去五年平均水平增加7个百分点；棉花生长状况达到良好级以上的达到39%，与前周持平，较上年同期减少21个百分点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45735" cy="3181985"/>
            <wp:effectExtent l="0" t="0" r="12065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rcRect l="482" t="1047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2018年9月14-20日，2018/19年度美棉出口净签约量1.59万吨，较前周减少28%，较前四周平均值减少33%，创年度最低水平。美国2019/2020年度棉花净出口销售量为1.32万吨，2018/19年度美国棉花装运量为3.15万吨，较前周减少7%，较前四周平均值减少13%。皮马棉装运量为1088吨，较前周减少45%，较前四周平均值减少22%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3182620"/>
            <wp:effectExtent l="0" t="0" r="317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最近棉花、棉纱市场走势疲弱，主要是因国际、国内市场棉花产量均大幅超出市场预期。郑棉短期受政策面进口纺织品降税的利空影响，且随着减产证伪，新棉上市，宏观形势利空，中短期上方压力依然明显，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国内上周受国内外棉价下跌影响，籽棉收购价格上涨呼声减弱，疆内手摘棉收购价格在减弱，受贸易战影响，下游棉纱传统销售旺季并未如约而至，广东、福建出现抛售棉</w:t>
      </w:r>
      <w:r>
        <w:rPr>
          <w:rFonts w:hint="eastAsia" w:ascii="宋体" w:hAnsi="宋体" w:eastAsia="宋体" w:cs="宋体"/>
          <w:color w:val="auto"/>
          <w:lang w:val="en-US" w:eastAsia="zh-CN"/>
        </w:rPr>
        <w:t>纱面料情况。今年纱线、坯布开机率反而在旺季期出现微降现象，截至9月18日，纱线开机率保持在66.50%，其坯布开机率下滑至60.4%，纱线库存指数为13.0%，坯布库存指数小幅滑落至26.5%。棉花储备平均成交率处于6成附近的水平，而前两年的棉花轮出成交率平均水平处于8成的水平，储备棉成交率的变化反映了下游纺织企业补库的节奏，可见今年棉花需求明显差于往年。短期内新棉将集中上市，下游需求堪忧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基于以上考虑，</w:t>
      </w:r>
      <w:r>
        <w:rPr>
          <w:rFonts w:hint="eastAsia" w:asciiTheme="minorEastAsia" w:hAnsiTheme="minorEastAsia" w:cstheme="minorEastAsia"/>
          <w:lang w:val="en-US" w:eastAsia="zh-CN"/>
        </w:rPr>
        <w:t>郑棉价格重心下移，</w:t>
      </w:r>
      <w:r>
        <w:rPr>
          <w:rFonts w:hint="default" w:asciiTheme="minorEastAsia" w:hAnsiTheme="minorEastAsia" w:cstheme="minorEastAsia"/>
          <w:lang w:val="en-US" w:eastAsia="zh-CN"/>
        </w:rPr>
        <w:t>对于近期棉花的走势倾向于区间震荡</w:t>
      </w:r>
      <w:r>
        <w:rPr>
          <w:rFonts w:hint="eastAsia" w:asciiTheme="minorEastAsia" w:hAnsiTheme="minorEastAsia" w:cstheme="minorEastAsia"/>
          <w:lang w:val="en-US" w:eastAsia="zh-CN"/>
        </w:rPr>
        <w:t>偏弱</w:t>
      </w:r>
      <w:r>
        <w:rPr>
          <w:rFonts w:hint="default" w:asciiTheme="minorEastAsia" w:hAnsiTheme="minorEastAsia" w:cstheme="minorEastAsia"/>
          <w:lang w:val="en-US" w:eastAsia="zh-CN"/>
        </w:rPr>
        <w:t>的判断</w:t>
      </w:r>
      <w:r>
        <w:rPr>
          <w:rFonts w:hint="eastAsia" w:asciiTheme="minorEastAsia" w:hAnsiTheme="minorEastAsia" w:cstheme="minorEastAsia"/>
          <w:lang w:val="en-US" w:eastAsia="zh-CN"/>
        </w:rPr>
        <w:t>，但长假前投资风险较大，建议投资者</w:t>
      </w:r>
      <w:r>
        <w:rPr>
          <w:rFonts w:hint="eastAsia" w:asciiTheme="minorEastAsia" w:hAnsiTheme="minorEastAsia" w:cstheme="minorEastAsia"/>
          <w:lang w:val="en-US" w:eastAsia="zh-CN"/>
        </w:rPr>
        <w:t>1901合约保持观望。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保持观望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9D497A"/>
    <w:rsid w:val="00A325D2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[刘嘉琳数据库.xlsx]棉花现货!$C$3:$C$131</c:f>
              <c:numCache>
                <c:formatCode>General</c:formatCode>
                <c:ptCount val="129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[刘嘉琳数据库.xlsx]棉花现货!$D$3:$D$131</c:f>
              <c:numCache>
                <c:formatCode>General</c:formatCode>
                <c:ptCount val="129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[刘嘉琳数据库.xlsx]棉花现货!$B$3:$B$131</c:f>
              <c:strCache>
                <c:ptCount val="129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</c:strCache>
            </c:strRef>
          </c:cat>
          <c:val>
            <c:numRef>
              <c:f>[刘嘉琳数据库.xlsx]棉花现货!$E$3:$E$131</c:f>
              <c:numCache>
                <c:formatCode>General</c:formatCode>
                <c:ptCount val="129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[刘嘉琳数据库.xlsx]棉花现货!$K$37:$K$130</c:f>
              <c:numCache>
                <c:formatCode>General</c:formatCode>
                <c:ptCount val="94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[刘嘉琳数据库.xlsx]棉花现货!$B$32:$B$131</c:f>
              <c:strCache>
                <c:ptCount val="100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</c:strCache>
            </c:strRef>
          </c:cat>
          <c:val>
            <c:numRef>
              <c:f>[刘嘉琳数据库.xlsx]棉花现货!$I$32:$I$130</c:f>
              <c:numCache>
                <c:formatCode>General</c:formatCode>
                <c:ptCount val="99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[刘嘉琳数据库.xlsx]棉花现货!$B$32:$B$131</c:f>
              <c:strCache>
                <c:ptCount val="100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</c:strCache>
            </c:strRef>
          </c:cat>
          <c:val>
            <c:numRef>
              <c:f>[刘嘉琳数据库.xlsx]棉花现货!$J$32:$J$129</c:f>
              <c:numCache>
                <c:formatCode>General</c:formatCode>
                <c:ptCount val="98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2018-09-28T07:08:01Z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