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鸡蛋周报（20181015--20181019）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2018年10月19日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当周（10月15日-10月19日）鸡蛋现货价格：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当周（10月15日-10月19日）鸡蛋期货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鸡蛋截至收盘，主力合约收盘价4268元/500千克，开盘价4283元/500千克，全天高价4293元/500千克，最低价4213元/500千克，下跌6元/500千克，涨幅0.14%。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今日鸡蛋主力合约成交量20.6万手，增加2.24手；持仓量17.1万手，减少1.27万手。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2405" cy="2734945"/>
            <wp:effectExtent l="0" t="0" r="635" b="825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大部分地区蛋价基本持稳，局部区域小幅涨跌调整，当前反映走货情况较前几日有所减缓，部分反映有所存货，整体库存正常，短期蛋价业者认为变动不大，或以稳为主。预计近期全国大部分地区蛋价或持稳，部分区域小幅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国庆节后，各地区鸡蛋现货价格持续小幅下跌，除河北、辽宁以及陕西主产区现货价格稳中调整外，其他主产区价格继续弱势回调，全国主产区均价在3.76元/斤附近，销区、产区走货偏慢。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instrText xml:space="preserve"> HYPERLINK "https://futures.cngold.org/jidan/" \t "https://futures.cngold.org/jidan/_blank" </w:instrTex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鸡蛋期货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近远月合约不同程度收高，其中以近月合约表现亮眼，国庆节后的近月合约大幅拉涨，站位于近一个月以来新高。连续6个交易日收涨，一方面主要是受央行降准带动资金流动性增加，市场资金大量流入大宗商品市场；另一方面，蛋鸡养殖成本端豆粕价格大涨，多头情绪带动饲料养殖产业链的下游产品价格提升。从成本来看，蛋鸡饲料豆粕和玉米存在涨价预期，预计未来成本支撑将加强。预计短期盘面仍将保持高位震荡运行。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1901合多单离场。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2018-10-19T07:31:45Z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