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沪铜10月月报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15875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36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36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36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3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摘要：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需求端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四季度房地产调控将继续趋紧，家电、汽车等领域受贸易摩擦影响难有起色，基建投资趋于放松，电网投资能否在最后发力，在需求端可能出现支撑铜价的亮点。供给端当前全球铜矿罢工风险逐渐解除，铜矿供应担忧消退，我国的精铜产量和产能还在快速增长，供应宽松需求转弱的基本面格局暂时难以改变。目前看下月还是震荡走势为主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一、行情回顾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盘面看沪铜在8、9月几次下探47000都得到有效的支撑，目前看47000--48000是今年较为坚实的底部，9月中美双方关税升级，关税涉及金额规模扩大但市场并未出现大的恐慌，说明市场对此消息早已做了充分准备，期铜不跌而大幅反弹，一是关税税率比预期降低，二是利空落地释放，技术面大幅反弹沪铜站上50000大关，同时沪铜、伦铜站稳60日均线。</w:t>
      </w:r>
    </w:p>
    <w:p>
      <w:pPr>
        <w:jc w:val="left"/>
      </w:pPr>
      <w:r>
        <w:drawing>
          <wp:inline distT="0" distB="0" distL="114300" distR="114300">
            <wp:extent cx="5161915" cy="23145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>沪铜9月走势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二、宏观面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中国央行宣布从2018年10月15日起，下调大型商业银行、股份制商业银行、城市商业银行、非县域农村商业银行、外资银行人民币存款准备金率1个百分点，这是央行年内第四次降准，置换约4500亿元MLF，并释放7500亿元增量资金支持民企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统计局公布数据显示，中国三季度GDP同比增长6.5%，低于前值的6.7%，增速回落至十年新低，9月CPI同比 2.5%为7个月新高，中国9月PPI同比 3.6%为5个月新低，统计局解读称CPI、PPI涨幅总体平稳，有机构表示，今年8、9月份CPI明显上行，四季度仍有可能升至2.5%-3%，但国内经济下行压力加大，PPI继续下行，年内通胀走势分化，中国经济放缓预期削弱原材料需求前景。9月财新中国制造业采购经理人指数(PMI)，录得50.0，较8月下降0.6个百分点，结束此前连续15个月的扩张态势，落在荣枯分界线上,其中新出口订单指数则大幅回落至2016年2月以来低位，数据显示9月中国制造业增长乏力，可能是美国关税对中国经济产生冲击的后果，近期美国总统特朗普表示，美国同中国磋商制定贸易协议还“为时过早”，宏观面风险依然存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美国经济增长维持强劲，但在明年扩张速度可能会放缓至2-3%区间，财政政策在2019年仍然会对经济形成支撑，减税和财政支出会拉动经济增长0.5个百分点左右，欧盟方面对意大利财政增赤计划预算案表示了强烈不满，迫令意大利政府对预算案进行修改和调整，目前意大利政府背负有高达2.3万亿欧元的巨债，周一意大利10年期国债收益率已升至3.58%，为自2013年以来最高水平，这意味着该国政府融资成本上升，经济前景也变得更加脆弱，或将引发第二次欧债危机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IMF将2018及2019年全球经济增速预期均由3.9%下调至3.7%，为2016年7月以来首次下调。IMF同时还下调中美两国经济增速预期，其中2019年美国增速预期由2.7%下调至2.5%，2019年中国经济增速预期由6.4%下调至6.2%，IMF对今年中美两国经济增速预期维持不变，分别为6.6%、2.9%。</w:t>
      </w:r>
    </w:p>
    <w:p>
      <w:pPr>
        <w:ind w:firstLine="44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  <w:t>需求端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中国9月铜精矿进口量出炉，数据显示高达193万吨，同比增30.9%，累计1499.1万吨，同比增19.5%。单月进口量再度刷新历史高位，原因一方面是中国收紧废金属的进口令其对铜的需求大增，还有是tc/rc 在7月份攀升到了90美元/吨，极大地激起了炼厂的买家兴趣，且国内炼厂扩建多集中在下半年，也要为其后续生产备足原料。与此同时，国内精铜冶炼产能继续扩张，1—9月国内精铜累计产量为650.6万吨，同比增长11.7%，仍旧处于增长状态。由于目前现货铜矿加工费处于高位，加之冶炼厂年底需完成年度产量目标，冶炼厂将保持高开工率，预计1—10月精铜累计产量或达723.76万吨，同比增长10.6%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四季度房地产调控将继续趋紧，家电、电子信息等领域受贸易摩擦影响难有起色，中国9月汽车销量239万辆同比下降11.6%，基建投资趋于放松，在需求端可能出现基建独自支撑的情况，2018年国家电网计划投资4989亿元，上半年电网投资增速为-15.1%，较去年同期增速回落近25个百分点，完成额为2036亿元，预计下半年电网投资额在2953亿元，较上半年增加917亿元，下半年电线电缆领域将发力，9月电线电缆企业开工率90%，较7月上升近4个百分点，能否保持增速需持续关注进展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智利国有企业Codelco董事长表示，过去几个月，中国对铜的需求非常强劲，以至于Codelco几乎已提前将明年的铜供应售罄，验证了9月铜精矿进口量，近期必和必拓称，通过对中国倡导的“一带一路”基建项目的分析得出，中国“一带一路”将提升约160万吨的铜需求，相当于中国每年铜需求的7%，其中70%的需求将来自100个电厂项目，中长期看铜需求有新的增长点，短期看中国铜需求有所减缓。</w:t>
      </w:r>
    </w:p>
    <w:p>
      <w:pPr>
        <w:ind w:firstLine="35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  <w:t>四、供给端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2018年9月中国精铜产量为71.68万吨，环比下降2.78%，同比增长4.72%，1-9月累计产量为650.6万吨，累计同比增长11.7%，9月精铜产量低于预期，主因富冶集团本部、东营方圆、新疆五鑫铜业等冶炼厂检修，同时部分炼厂因为粗铜原料紧张，产能利用率下降所致，全年看精铜产量和产能还在快速增长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当前全球铜矿罢工风险逐渐解除，铜矿供应担忧消退，2018年1—7月，全球最大铜矿生产国智利铜矿产量为331万吨，较去年同期增加10.8%。全球铜矿供给总体上较为宽松，10月进口铜矿加工费为92.5美元/吨，较今年年初上涨19美元/吨，延续年初以来的涨势，印证铜矿供给充裕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国际铜业研究组织(ICSG)在最新公布的月报中称，2018年7月，全球精炼铜市场供应短缺47,000吨，6月为短缺38,000吨，ICSG称1-7月全球铜市供应短缺157,000吨，去年同期为短缺188,000吨7月全球精炼铜产量为198万吨，消费量为203万吨。2014年以来，全球铜供需缺口逐步收窄，2018年上半年全球铜供需缺口仅为5.1万吨，全年缺口预估在10万吨以内，较往年20万吨以上的供需缺口有很大的改善。</w:t>
      </w:r>
    </w:p>
    <w:p>
      <w:pPr>
        <w:tabs>
          <w:tab w:val="left" w:pos="748"/>
        </w:tabs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  <w:t>五、其它因素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1、美元指数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</w:pPr>
      <w:r>
        <w:drawing>
          <wp:inline distT="0" distB="0" distL="114300" distR="114300">
            <wp:extent cx="5614035" cy="2635250"/>
            <wp:effectExtent l="0" t="0" r="571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美元指数</w:t>
      </w:r>
      <w:r>
        <w:rPr>
          <w:rFonts w:hint="eastAsia"/>
          <w:lang w:val="en-US" w:eastAsia="zh-CN"/>
        </w:rPr>
        <w:t>10月走势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10月18日美联储公布的最新政策会议纪要显示，美联储官员仍然相信，强调了唯有继续加息才能防止通胀抬头和经济过热，一致认为9月份加息是合理的，将进一步加息，无视美国总统特朗普的多次抨击，提升了市场对美联储将在12月进行今年第四次加息的预期，12月加息25个基点至2.25%--2.5%区间的概率升至81.4%，市场还预期2019年美联储会再加息2-3次，支撑美元指数走高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2、CFTC持仓</w:t>
      </w:r>
    </w:p>
    <w:p>
      <w:pP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CFTC公布的持仓数据显示，截至10月2日当周，comex期铜cftc总持仓234368手，投机基金持有的comex铜净多量增加至11975，较上周微增871手，显示投机基金看多铜的积极性有所增加；截至10月9日当周，持仓结构方面，非商业持仓多头减少4266手，空头减538手，投机基金持有的comex铜净多头减少为8247手，较上周减少3728手，显示虽然当前投机基金持仓仍处于净多，但看涨的情绪有所下降；截至10月16日当周，非商业持仓多头减少1422手，空头减2093手，投机基金多空持仓均出现小幅减少，显示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instrText xml:space="preserve"> HYPERLINK "http://copper.ccmn.cn/" \t "http://copper.ccmn.cn/copperplfx/2018-10-22/_blank" </w:instrTex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回落，市场多空交投趋于谨慎，铜市场投资人气有所下滑。</w:t>
      </w:r>
    </w:p>
    <w:p>
      <w:pP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  <w:t>六、后市行情研判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期铜在今年主要受到了宏观题材的驱动，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近期美国总统特朗普表示，美国同中国磋商制定贸易协议还“为时过早”，宏观面风险依然存，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四季度依然有贸易摩擦的不断升温、全球资本市场的大幅震荡、市场情绪的悲观等宏观因素对期铜价的冲击，需求端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四季度房地产调控将继续趋紧，家电、汽车等领域受贸易摩擦影响难有起色，基建投资趋于放松，电网投资能否在最后发力，在需求端可能出现支撑铜价的亮点。供给端当前全球铜矿罢工风险逐渐解除，铜矿供应担忧消退，10月进口铜矿加工费为92.5美元/吨，延续年初以来的涨势，印证铜矿供给充裕，我国的精铜产量和产能还在快速增长，供应宽松需求转弱的基本面格局暂时难以改变。</w:t>
      </w:r>
    </w:p>
    <w:p>
      <w:r>
        <w:drawing>
          <wp:inline distT="0" distB="0" distL="114300" distR="114300">
            <wp:extent cx="5297805" cy="2345055"/>
            <wp:effectExtent l="0" t="0" r="17145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沪铜</w:t>
      </w:r>
      <w:r>
        <w:rPr>
          <w:rFonts w:hint="eastAsia"/>
          <w:lang w:val="en-US" w:eastAsia="zh-CN"/>
        </w:rPr>
        <w:t>10月走势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综合看基本面不支持期铜持续上涨，宏观面也是偏弱，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美元指数走高对铜价有所压制，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盘面看10月沪铜主要是在49500--51000间震荡，沪铜在8、9月几次下探47000都得到有效的支撑，下方有均线支撑下跌空间有限，目前看下月还是震荡走势为主。</w:t>
      </w:r>
    </w:p>
    <w:p>
      <w:pPr>
        <w:widowControl w:val="0"/>
        <w:numPr>
          <w:ilvl w:val="0"/>
          <w:numId w:val="0"/>
        </w:numPr>
        <w:ind w:firstLine="433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/>
          <w:sz w:val="21"/>
          <w:szCs w:val="21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045"/>
    <w:multiLevelType w:val="singleLevel"/>
    <w:tmpl w:val="216A204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6F41"/>
    <w:rsid w:val="01987534"/>
    <w:rsid w:val="01E83652"/>
    <w:rsid w:val="03481D30"/>
    <w:rsid w:val="042139F3"/>
    <w:rsid w:val="076E240A"/>
    <w:rsid w:val="0AE46221"/>
    <w:rsid w:val="0C3A7651"/>
    <w:rsid w:val="0E155C18"/>
    <w:rsid w:val="13CE4262"/>
    <w:rsid w:val="14444CD4"/>
    <w:rsid w:val="145B4E6C"/>
    <w:rsid w:val="15645AF9"/>
    <w:rsid w:val="159442CF"/>
    <w:rsid w:val="16AE27F6"/>
    <w:rsid w:val="188C6D64"/>
    <w:rsid w:val="19071DCE"/>
    <w:rsid w:val="1951333E"/>
    <w:rsid w:val="1AEF2E9A"/>
    <w:rsid w:val="1BCA6F41"/>
    <w:rsid w:val="1D0E45CA"/>
    <w:rsid w:val="1E7D74E4"/>
    <w:rsid w:val="1EDD43C0"/>
    <w:rsid w:val="1F602AF6"/>
    <w:rsid w:val="1F9D4737"/>
    <w:rsid w:val="201370CA"/>
    <w:rsid w:val="208579C9"/>
    <w:rsid w:val="217F5552"/>
    <w:rsid w:val="221E2AA2"/>
    <w:rsid w:val="222019EF"/>
    <w:rsid w:val="23763D73"/>
    <w:rsid w:val="23E54FE1"/>
    <w:rsid w:val="24245100"/>
    <w:rsid w:val="24F465F1"/>
    <w:rsid w:val="265666E3"/>
    <w:rsid w:val="26B766AE"/>
    <w:rsid w:val="27FD36B8"/>
    <w:rsid w:val="28827FB5"/>
    <w:rsid w:val="2A9830D2"/>
    <w:rsid w:val="2BCC4905"/>
    <w:rsid w:val="2C9250BA"/>
    <w:rsid w:val="2E6F493C"/>
    <w:rsid w:val="30055D78"/>
    <w:rsid w:val="30F80EE4"/>
    <w:rsid w:val="30FA7317"/>
    <w:rsid w:val="31424FAB"/>
    <w:rsid w:val="338A3B24"/>
    <w:rsid w:val="34B83847"/>
    <w:rsid w:val="355418A6"/>
    <w:rsid w:val="365B04CC"/>
    <w:rsid w:val="36CF6002"/>
    <w:rsid w:val="3856567B"/>
    <w:rsid w:val="385C3643"/>
    <w:rsid w:val="38A705AA"/>
    <w:rsid w:val="397C0E1B"/>
    <w:rsid w:val="3AAD0B35"/>
    <w:rsid w:val="3BB42DCF"/>
    <w:rsid w:val="3CF22D0B"/>
    <w:rsid w:val="3D5E1F61"/>
    <w:rsid w:val="40810AFC"/>
    <w:rsid w:val="42EF7ED7"/>
    <w:rsid w:val="47D22147"/>
    <w:rsid w:val="47D82017"/>
    <w:rsid w:val="47FE2F84"/>
    <w:rsid w:val="48FC57D4"/>
    <w:rsid w:val="498354C6"/>
    <w:rsid w:val="4A252F1B"/>
    <w:rsid w:val="4A92667C"/>
    <w:rsid w:val="4BCA0B17"/>
    <w:rsid w:val="4DA00E20"/>
    <w:rsid w:val="4DC10A67"/>
    <w:rsid w:val="4F7B19A0"/>
    <w:rsid w:val="50D8429C"/>
    <w:rsid w:val="52591539"/>
    <w:rsid w:val="53F87259"/>
    <w:rsid w:val="542E7C60"/>
    <w:rsid w:val="55862071"/>
    <w:rsid w:val="55E37426"/>
    <w:rsid w:val="563A307C"/>
    <w:rsid w:val="56F92396"/>
    <w:rsid w:val="5A4C067B"/>
    <w:rsid w:val="5C7813D7"/>
    <w:rsid w:val="5CE40FC8"/>
    <w:rsid w:val="5D6E255E"/>
    <w:rsid w:val="5F73678B"/>
    <w:rsid w:val="60672BE7"/>
    <w:rsid w:val="60C10B32"/>
    <w:rsid w:val="60FC5552"/>
    <w:rsid w:val="65DB68E4"/>
    <w:rsid w:val="684B12BC"/>
    <w:rsid w:val="69525E82"/>
    <w:rsid w:val="6B7C79E0"/>
    <w:rsid w:val="6B95391B"/>
    <w:rsid w:val="6BB0137C"/>
    <w:rsid w:val="6BE33F74"/>
    <w:rsid w:val="6D121F2A"/>
    <w:rsid w:val="6F995905"/>
    <w:rsid w:val="6FF47B2D"/>
    <w:rsid w:val="70465D1A"/>
    <w:rsid w:val="70F43EBF"/>
    <w:rsid w:val="71D25A66"/>
    <w:rsid w:val="72AD65BF"/>
    <w:rsid w:val="73D62BD2"/>
    <w:rsid w:val="74F00665"/>
    <w:rsid w:val="77441613"/>
    <w:rsid w:val="7DC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2018-10-25T05:09:00Z</dcterms:created>
  <dc:creator>Administrator</dc:creator>
  <cp:lastModifiedBy>Administrator</cp:lastModifiedBy>
  <dcterms:modified xsi:type="dcterms:W3CDTF">2018-10-26T07:29:18Z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