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bCs/>
          <w:kern w:val="2"/>
          <w:sz w:val="30"/>
          <w:szCs w:val="30"/>
          <w:lang w:val="en-US" w:eastAsia="zh-CN" w:bidi="ar-SA"/>
        </w:rPr>
      </w:pPr>
      <w:r>
        <w:rPr>
          <w:rFonts w:hint="eastAsia"/>
          <w:b/>
          <w:bCs/>
          <w:sz w:val="30"/>
          <w:szCs w:val="30"/>
          <w:lang w:val="en-US" w:eastAsia="zh-CN"/>
        </w:rPr>
        <w:t>和合期货沪金周报（20181105--20181109）</w:t>
      </w:r>
    </w:p>
    <w:p>
      <w:pPr>
        <w:rPr>
          <w:rFonts w:hint="eastAsia" w:asciiTheme="minorHAnsi" w:hAnsiTheme="minorHAnsi" w:eastAsiaTheme="minorEastAsia" w:cstheme="minorBidi"/>
          <w:b/>
          <w:bCs/>
          <w:kern w:val="2"/>
          <w:sz w:val="30"/>
          <w:szCs w:val="30"/>
          <w:lang w:val="en-US" w:eastAsia="zh-CN" w:bidi="ar-SA"/>
        </w:rPr>
      </w:pPr>
      <w:r>
        <w:drawing>
          <wp:anchor distT="0" distB="0" distL="114300" distR="114300" simplePos="0" relativeHeight="251658240" behindDoc="0" locked="0" layoutInCell="1" allowOverlap="1">
            <wp:simplePos x="0" y="0"/>
            <wp:positionH relativeFrom="column">
              <wp:posOffset>-18415</wp:posOffset>
            </wp:positionH>
            <wp:positionV relativeFrom="paragraph">
              <wp:posOffset>185420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4"/>
          <w:rFonts w:hint="eastAsia" w:ascii="宋体" w:hAnsi="宋体" w:cs="宋体"/>
          <w:sz w:val="18"/>
          <w:szCs w:val="18"/>
          <w:lang w:val="en-US" w:eastAsia="zh-CN"/>
        </w:rPr>
        <w:t>zhailu</w:t>
      </w:r>
      <w:r>
        <w:rPr>
          <w:rStyle w:val="4"/>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1，沪金主力本周弱势震荡</w:t>
      </w:r>
    </w:p>
    <w:p>
      <w:pPr>
        <w:jc w:val="left"/>
      </w:pPr>
      <w:r>
        <w:drawing>
          <wp:inline distT="0" distB="0" distL="114300" distR="114300">
            <wp:extent cx="5378450" cy="2898775"/>
            <wp:effectExtent l="0" t="0" r="1270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378450" cy="2898775"/>
                    </a:xfrm>
                    <a:prstGeom prst="rect">
                      <a:avLst/>
                    </a:prstGeom>
                    <a:noFill/>
                    <a:ln w="9525">
                      <a:noFill/>
                    </a:ln>
                  </pic:spPr>
                </pic:pic>
              </a:graphicData>
            </a:graphic>
          </wp:inline>
        </w:drawing>
      </w:r>
    </w:p>
    <w:p>
      <w:pPr>
        <w:rPr>
          <w:rFonts w:hint="eastAsia" w:asciiTheme="minorHAnsi" w:hAnsiTheme="minorHAnsi" w:eastAsiaTheme="minorEastAsia" w:cstheme="minorBidi"/>
          <w:kern w:val="2"/>
          <w:sz w:val="21"/>
          <w:szCs w:val="24"/>
          <w:lang w:val="en-US" w:eastAsia="zh-CN" w:bidi="ar-SA"/>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11月5日--11月9日，沪金指数总成交量74.7万手，较上周减少40.9万手，总持仓量29.1万手，较上周减仓1.3万手，沪金主力本周震荡下跌，主力合约收盘价274.35，比上周收盘价下跌</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0.2%。</w: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0"/>
          <w:sz w:val="21"/>
          <w:szCs w:val="21"/>
          <w:lang w:val="en-US" w:eastAsia="zh-CN" w:bidi="ar"/>
        </w:rPr>
      </w:pPr>
      <w:r>
        <w:rPr>
          <w:rFonts w:hint="eastAsia" w:ascii="微软雅黑" w:hAnsi="微软雅黑" w:eastAsia="微软雅黑" w:cs="微软雅黑"/>
          <w:b/>
          <w:bCs/>
          <w:i w:val="0"/>
          <w:caps w:val="0"/>
          <w:color w:val="4D4D4D"/>
          <w:spacing w:val="0"/>
          <w:sz w:val="21"/>
          <w:szCs w:val="21"/>
          <w:lang w:val="en-US" w:eastAsia="zh-CN"/>
        </w:rPr>
        <w:t>1、</w:t>
      </w:r>
      <w:r>
        <w:rPr>
          <w:rFonts w:hint="eastAsia" w:ascii="微软雅黑" w:hAnsi="微软雅黑" w:eastAsia="微软雅黑" w:cs="微软雅黑"/>
          <w:b w:val="0"/>
          <w:i w:val="0"/>
          <w:caps w:val="0"/>
          <w:color w:val="4D4D4D"/>
          <w:spacing w:val="0"/>
          <w:kern w:val="0"/>
          <w:sz w:val="21"/>
          <w:szCs w:val="21"/>
          <w:lang w:val="en-US" w:eastAsia="zh-CN" w:bidi="ar"/>
        </w:rPr>
        <w:t>宏观</w:t>
      </w:r>
      <w:r>
        <w:rPr>
          <w:rFonts w:hint="eastAsia" w:ascii="微软雅黑" w:hAnsi="微软雅黑" w:eastAsia="微软雅黑" w:cs="微软雅黑"/>
          <w:b/>
          <w:bCs/>
          <w:i w:val="0"/>
          <w:caps w:val="0"/>
          <w:color w:val="4D4D4D"/>
          <w:spacing w:val="0"/>
          <w:sz w:val="21"/>
          <w:szCs w:val="21"/>
          <w:lang w:val="en-US" w:eastAsia="zh-CN"/>
        </w:rPr>
        <w:t>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国举行中期选举，两党就众议院全部435个席位、35个参议院席位以及36个州长席位展开角逐，选举结果正如原先预计，共和党继续控制参议院，而在众议院选举中，由于共和党丢失了纽约、宾州、弗罗里达、刚萨斯四个州，导致民主党取得控制权，这是过去8年来，民主党首次夺回众院控制权，这将使特朗普总统无法实施他的国内议程，这可能会结束任何进一步的减税措施，这意味着从长远来看，美联储将需要实施更少的加息，这本身将对美元产生负面影响，特朗普总统可能会更多地关注外交政策，这可能会产生额外的不确定性，黄金将从这两个因素中长期获利。</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2、供需端</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据中国黄金协会最新统计数据显示，2018年前三季度，国内累计生产黄金289.745吨，与去年同期相比，减产23.344吨，同比下降7.46%。其中，黄金矿产金246.842吨，有色原料产金42.903吨。另有国外进口原料产金83.082吨，同比增长34.24%，全国累计生产黄金（含进口料）372.827吨，同比下降0.57%。中国黄金、山东黄金、紫金矿业、山东招金等十二家大型黄金企业集团国内黄金成品金产量和矿产金产量分别占全国产量（含进口料）的53.44%和43.33%。</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2018年前三季度，全国黄金实际消费量849.70吨，与去年同期相比增长5.08%。其中：黄金首饰538.85吨，同比增长6.94%；金条210.85吨，同比下降5.05%；金币18.10吨，同比增长6.47%；工业及其他81.90吨，同比增长24.68%。国内黄金消费持续回暖，首饰销售继续稳定增长，金条销售降幅收窄。</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i w:val="0"/>
          <w:caps w:val="0"/>
          <w:color w:val="4D4D4D"/>
          <w:spacing w:val="0"/>
          <w:sz w:val="21"/>
          <w:szCs w:val="21"/>
          <w:lang w:val="en-US" w:eastAsia="zh-CN"/>
        </w:rPr>
        <w:t>3、美元指数本周走势</w:t>
      </w:r>
      <w:r>
        <w:drawing>
          <wp:inline distT="0" distB="0" distL="114300" distR="114300">
            <wp:extent cx="5405120" cy="2781935"/>
            <wp:effectExtent l="0" t="0" r="508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05120" cy="2781935"/>
                    </a:xfrm>
                    <a:prstGeom prst="rect">
                      <a:avLst/>
                    </a:prstGeom>
                    <a:noFill/>
                    <a:ln w="9525">
                      <a:noFill/>
                    </a:ln>
                  </pic:spPr>
                </pic:pic>
              </a:graphicData>
            </a:graphic>
          </wp:inline>
        </w:drawing>
      </w:r>
    </w:p>
    <w:p>
      <w:pPr>
        <w:jc w:val="left"/>
        <w:rPr>
          <w:rFonts w:hint="eastAsia"/>
          <w:lang w:val="en-US" w:eastAsia="zh-CN"/>
        </w:rPr>
      </w:pPr>
      <w:r>
        <w:rPr>
          <w:rFonts w:hint="eastAsia" w:ascii="微软雅黑" w:hAnsi="微软雅黑" w:eastAsia="微软雅黑" w:cs="微软雅黑"/>
          <w:b w:val="0"/>
          <w:i w:val="0"/>
          <w:caps w:val="0"/>
          <w:color w:val="4D4D4D"/>
          <w:spacing w:val="0"/>
          <w:sz w:val="21"/>
          <w:szCs w:val="21"/>
          <w:lang w:val="en-US" w:eastAsia="zh-CN"/>
        </w:rPr>
        <w:t>美国中期选举结果：民主党重掌众议院，共和党控制参议院，形成两党制衡的局面，市场依旧担忧中期选举过后，美国在货币政策和外交和贸易政策上会出现一些变数，美元指数出现了一定幅度的下跌走势，随后美联储表示长期通胀率变化不大，整体及核心通胀率均保持在2%附近，失业率下降，家庭消费增长强劲，经济、就业人口增长出色，劳动力市场强劲，FOMC投票一致决定维持利率不变，美联储决议声明预计将“进一步渐进式加息”，促使美元指数快速拉升。</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Theme="minorHAnsi" w:hAnsiTheme="minorHAnsi" w:eastAsiaTheme="minorEastAsia" w:cstheme="minorBidi"/>
          <w:kern w:val="2"/>
          <w:sz w:val="21"/>
          <w:szCs w:val="24"/>
          <w:lang w:val="en-US" w:eastAsia="zh-CN" w:bidi="ar-SA"/>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表示长期通胀率变化不大，整体及核心通胀率均保持在2%附近，失业率下降，家庭消费增长强劲，经济、就业人口增长出色，劳动力市场强劲，FOMC投票一致决定维持利率不变，美联储决议声明预计将“进一步渐进式加息”，受此影响美元大幅上涨，盘面看沪金夜盘跌破20日单位线，有走弱迹象。</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numPr>
          <w:ilvl w:val="0"/>
          <w:numId w:val="2"/>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建议下周暂时观望。</w:t>
      </w:r>
    </w:p>
    <w:p>
      <w:pPr>
        <w:ind w:firstLine="220"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4"/>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和合期货有限公司经营范围包括：商品期货经纪业务、金融期货经纪业务、期货投资咨询业务、公开募集证券投资基金销售业务。 </w:t>
      </w: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10C42C7"/>
    <w:rsid w:val="01BB34FD"/>
    <w:rsid w:val="02B85F59"/>
    <w:rsid w:val="04DB7491"/>
    <w:rsid w:val="05346D95"/>
    <w:rsid w:val="058E2349"/>
    <w:rsid w:val="059F0D22"/>
    <w:rsid w:val="08EB045B"/>
    <w:rsid w:val="09580960"/>
    <w:rsid w:val="0A577107"/>
    <w:rsid w:val="0B0F23B0"/>
    <w:rsid w:val="0B5D76C3"/>
    <w:rsid w:val="0CA24803"/>
    <w:rsid w:val="0DBD2C3A"/>
    <w:rsid w:val="0E785E97"/>
    <w:rsid w:val="0E98627A"/>
    <w:rsid w:val="0F713DA7"/>
    <w:rsid w:val="0FE07546"/>
    <w:rsid w:val="10175806"/>
    <w:rsid w:val="10DE43B6"/>
    <w:rsid w:val="12622A1B"/>
    <w:rsid w:val="149804D9"/>
    <w:rsid w:val="159549F8"/>
    <w:rsid w:val="16315468"/>
    <w:rsid w:val="16B90F0B"/>
    <w:rsid w:val="16BC7D70"/>
    <w:rsid w:val="180A7E0A"/>
    <w:rsid w:val="1900255E"/>
    <w:rsid w:val="197E68F0"/>
    <w:rsid w:val="19CB1947"/>
    <w:rsid w:val="1B105259"/>
    <w:rsid w:val="1BAF70F7"/>
    <w:rsid w:val="1BF74BA9"/>
    <w:rsid w:val="1C98669B"/>
    <w:rsid w:val="1D82318A"/>
    <w:rsid w:val="1F78214C"/>
    <w:rsid w:val="217F4412"/>
    <w:rsid w:val="21DC5984"/>
    <w:rsid w:val="22514DCC"/>
    <w:rsid w:val="226C150F"/>
    <w:rsid w:val="22AE584D"/>
    <w:rsid w:val="233C77FA"/>
    <w:rsid w:val="234D2400"/>
    <w:rsid w:val="23DB5C03"/>
    <w:rsid w:val="24EC6B9C"/>
    <w:rsid w:val="250801D0"/>
    <w:rsid w:val="257E7A9D"/>
    <w:rsid w:val="25A34410"/>
    <w:rsid w:val="25BA2A27"/>
    <w:rsid w:val="262C35EC"/>
    <w:rsid w:val="27C468ED"/>
    <w:rsid w:val="27D23E36"/>
    <w:rsid w:val="287B299D"/>
    <w:rsid w:val="28CB12ED"/>
    <w:rsid w:val="29770DF6"/>
    <w:rsid w:val="2A965D69"/>
    <w:rsid w:val="2AC016D6"/>
    <w:rsid w:val="2B8C12AF"/>
    <w:rsid w:val="2C70600F"/>
    <w:rsid w:val="2CA32BFA"/>
    <w:rsid w:val="2CD36583"/>
    <w:rsid w:val="2D3223DC"/>
    <w:rsid w:val="2D7327E9"/>
    <w:rsid w:val="2DC81517"/>
    <w:rsid w:val="2E1474B1"/>
    <w:rsid w:val="2E27387C"/>
    <w:rsid w:val="2F0342EA"/>
    <w:rsid w:val="34DD0795"/>
    <w:rsid w:val="35585F86"/>
    <w:rsid w:val="356B3483"/>
    <w:rsid w:val="35C8033D"/>
    <w:rsid w:val="36616030"/>
    <w:rsid w:val="377865DA"/>
    <w:rsid w:val="37793F03"/>
    <w:rsid w:val="38671A7B"/>
    <w:rsid w:val="391B495D"/>
    <w:rsid w:val="3A344BDE"/>
    <w:rsid w:val="3AF73A70"/>
    <w:rsid w:val="3B654901"/>
    <w:rsid w:val="3CAD453B"/>
    <w:rsid w:val="3CB02EF0"/>
    <w:rsid w:val="3F5F08DD"/>
    <w:rsid w:val="3F701419"/>
    <w:rsid w:val="41821EF2"/>
    <w:rsid w:val="42153DA7"/>
    <w:rsid w:val="42F65A32"/>
    <w:rsid w:val="43362C42"/>
    <w:rsid w:val="43944AAA"/>
    <w:rsid w:val="440A1991"/>
    <w:rsid w:val="44AC35A8"/>
    <w:rsid w:val="454F6971"/>
    <w:rsid w:val="45B81E14"/>
    <w:rsid w:val="46EB161E"/>
    <w:rsid w:val="47202075"/>
    <w:rsid w:val="48212370"/>
    <w:rsid w:val="48262752"/>
    <w:rsid w:val="48CC34D6"/>
    <w:rsid w:val="49800A26"/>
    <w:rsid w:val="49D67D8F"/>
    <w:rsid w:val="4B992EB3"/>
    <w:rsid w:val="4BD65659"/>
    <w:rsid w:val="4CA92E45"/>
    <w:rsid w:val="4E5F735F"/>
    <w:rsid w:val="4F4E0134"/>
    <w:rsid w:val="4FEC0643"/>
    <w:rsid w:val="509E0607"/>
    <w:rsid w:val="529B4691"/>
    <w:rsid w:val="52B63898"/>
    <w:rsid w:val="52CA0037"/>
    <w:rsid w:val="5331008D"/>
    <w:rsid w:val="53BC13D0"/>
    <w:rsid w:val="53D05B73"/>
    <w:rsid w:val="54523C02"/>
    <w:rsid w:val="548F0B33"/>
    <w:rsid w:val="54E6473B"/>
    <w:rsid w:val="556325BD"/>
    <w:rsid w:val="57991FA4"/>
    <w:rsid w:val="57E57181"/>
    <w:rsid w:val="58117104"/>
    <w:rsid w:val="58B968E3"/>
    <w:rsid w:val="59165D64"/>
    <w:rsid w:val="5AA02E3B"/>
    <w:rsid w:val="5ACF1D2D"/>
    <w:rsid w:val="5C1A0FE5"/>
    <w:rsid w:val="5CEB32A0"/>
    <w:rsid w:val="5D461671"/>
    <w:rsid w:val="5DD83019"/>
    <w:rsid w:val="5E0B5EE7"/>
    <w:rsid w:val="5EC83DAF"/>
    <w:rsid w:val="5FA12E02"/>
    <w:rsid w:val="5FFB27F0"/>
    <w:rsid w:val="61383115"/>
    <w:rsid w:val="614F29D5"/>
    <w:rsid w:val="61581B6F"/>
    <w:rsid w:val="61A14A4A"/>
    <w:rsid w:val="61DD0913"/>
    <w:rsid w:val="63D61992"/>
    <w:rsid w:val="649F1D8C"/>
    <w:rsid w:val="64CC5C9D"/>
    <w:rsid w:val="65300A13"/>
    <w:rsid w:val="67337E5D"/>
    <w:rsid w:val="67F37EDB"/>
    <w:rsid w:val="680B1397"/>
    <w:rsid w:val="68167808"/>
    <w:rsid w:val="68DA7AF4"/>
    <w:rsid w:val="695E1D64"/>
    <w:rsid w:val="69DB69F6"/>
    <w:rsid w:val="6A2F6D7C"/>
    <w:rsid w:val="6AD34A4C"/>
    <w:rsid w:val="6B1040FE"/>
    <w:rsid w:val="6BBC65B5"/>
    <w:rsid w:val="6BDB046F"/>
    <w:rsid w:val="6BE440C5"/>
    <w:rsid w:val="6CDA0C21"/>
    <w:rsid w:val="705B4CF7"/>
    <w:rsid w:val="70711724"/>
    <w:rsid w:val="710D5594"/>
    <w:rsid w:val="713A2A4A"/>
    <w:rsid w:val="72C74F40"/>
    <w:rsid w:val="74454085"/>
    <w:rsid w:val="74FD04FA"/>
    <w:rsid w:val="7505209A"/>
    <w:rsid w:val="777058BE"/>
    <w:rsid w:val="77A83D92"/>
    <w:rsid w:val="784A3707"/>
    <w:rsid w:val="79DB45EE"/>
    <w:rsid w:val="7A1940EF"/>
    <w:rsid w:val="7A272796"/>
    <w:rsid w:val="7A697BB4"/>
    <w:rsid w:val="7AE91501"/>
    <w:rsid w:val="7B515D85"/>
    <w:rsid w:val="7BD83419"/>
    <w:rsid w:val="7C296053"/>
    <w:rsid w:val="7D9C6D51"/>
    <w:rsid w:val="7DF30130"/>
    <w:rsid w:val="7E655543"/>
    <w:rsid w:val="7E70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2018-11-09T08:01:58Z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