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加息放缓美指动能减弱，黄金有望走牛</w:t>
      </w:r>
    </w:p>
    <w:p>
      <w:pPr>
        <w:rPr>
          <w:rFonts w:hint="eastAsia" w:asciiTheme="minorHAnsi" w:hAnsiTheme="minorHAnsi" w:eastAsiaTheme="minorEastAsia" w:cstheme="minorBidi"/>
          <w:b/>
          <w:bCs/>
          <w:kern w:val="2"/>
          <w:sz w:val="44"/>
          <w:szCs w:val="44"/>
          <w:lang w:val="en-US" w:eastAsia="zh-CN" w:bidi="ar-SA"/>
        </w:rPr>
      </w:pPr>
      <w:r>
        <w:drawing>
          <wp:anchor distT="0" distB="0" distL="114300" distR="114300" simplePos="0" relativeHeight="251658240" behindDoc="0" locked="0" layoutInCell="1" allowOverlap="1">
            <wp:simplePos x="0" y="0"/>
            <wp:positionH relativeFrom="column">
              <wp:posOffset>295910</wp:posOffset>
            </wp:positionH>
            <wp:positionV relativeFrom="paragraph">
              <wp:posOffset>194945</wp:posOffset>
            </wp:positionV>
            <wp:extent cx="2040255" cy="1021715"/>
            <wp:effectExtent l="0" t="0" r="1714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900" w:firstLineChars="500"/>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ind w:firstLine="900" w:firstLineChars="500"/>
        <w:rPr>
          <w:rFonts w:hint="eastAsia" w:ascii="宋体" w:hAnsi="宋体" w:eastAsia="宋体" w:cs="宋体"/>
          <w:sz w:val="18"/>
          <w:szCs w:val="18"/>
          <w:lang w:val="en-US" w:eastAsia="zh-CN"/>
        </w:rPr>
      </w:pP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kern w:val="2"/>
          <w:sz w:val="24"/>
          <w:szCs w:val="24"/>
          <w:lang w:val="en-US" w:eastAsia="zh-CN" w:bidi="ar-SA"/>
        </w:rPr>
        <w:t>摘要：</w:t>
      </w:r>
      <w:r>
        <w:rPr>
          <w:rFonts w:hint="eastAsia" w:ascii="微软雅黑" w:hAnsi="微软雅黑" w:eastAsia="微软雅黑" w:cs="微软雅黑"/>
          <w:kern w:val="2"/>
          <w:sz w:val="24"/>
          <w:szCs w:val="24"/>
          <w:lang w:val="en-US" w:eastAsia="zh-CN" w:bidi="ar-SA"/>
        </w:rPr>
        <w:t>美联储刚刚在12月议息会议下调今明两年通胀预期，低油价也将制约物价水平进一步上升，随着美联储放慢加息步伐，美元走弱的可能性越来越大，这对金价而言是一大利好。</w:t>
      </w:r>
      <w:r>
        <w:rPr>
          <w:rFonts w:hint="default" w:ascii="微软雅黑" w:hAnsi="微软雅黑" w:eastAsia="微软雅黑" w:cs="微软雅黑"/>
          <w:kern w:val="2"/>
          <w:sz w:val="24"/>
          <w:szCs w:val="24"/>
          <w:lang w:val="en-US" w:eastAsia="zh-CN" w:bidi="ar-SA"/>
        </w:rPr>
        <w:t>各国央行增持黄金分散风险</w:t>
      </w:r>
      <w:r>
        <w:rPr>
          <w:rFonts w:hint="eastAsia" w:ascii="微软雅黑" w:hAnsi="微软雅黑" w:eastAsia="微软雅黑" w:cs="微软雅黑"/>
          <w:kern w:val="2"/>
          <w:sz w:val="24"/>
          <w:szCs w:val="24"/>
          <w:lang w:val="en-US" w:eastAsia="zh-CN" w:bidi="ar-SA"/>
        </w:rPr>
        <w:t>，受</w:t>
      </w:r>
      <w:r>
        <w:rPr>
          <w:rFonts w:hint="default" w:ascii="微软雅黑" w:hAnsi="微软雅黑" w:eastAsia="微软雅黑" w:cs="微软雅黑"/>
          <w:kern w:val="2"/>
          <w:sz w:val="24"/>
          <w:szCs w:val="24"/>
          <w:lang w:val="en-US" w:eastAsia="zh-CN" w:bidi="ar-SA"/>
        </w:rPr>
        <w:t>贸易摩擦升级和外债高企等多因素共同影响，不少新兴国家市场因资本外流出现大幅波动</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多国央行纷纷选择增持黄金为了应对金融风险对于本国货币体系的冲击。</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当前全球股市逐步进入技术性熊市，市场风险偏好的下降正使得部分资金开始涌入黄金市场，美国政府关门、美国政府高官相继离职、欧洲以及中东地缘政治风险等等，这一系列的不确定性给黄金带来了利好，会提升市场对黄金的避险需求。</w:t>
      </w:r>
    </w:p>
    <w:p>
      <w:pPr>
        <w:numPr>
          <w:ilvl w:val="0"/>
          <w:numId w:val="1"/>
        </w:numPr>
        <w:ind w:firstLine="280" w:firstLineChars="100"/>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美国经济</w:t>
      </w:r>
      <w:r>
        <w:rPr>
          <w:rFonts w:hint="eastAsia" w:ascii="微软雅黑" w:hAnsi="微软雅黑" w:eastAsia="微软雅黑" w:cs="微软雅黑"/>
          <w:b/>
          <w:bCs/>
          <w:sz w:val="28"/>
          <w:szCs w:val="28"/>
          <w:lang w:val="en-US" w:eastAsia="zh-CN"/>
        </w:rPr>
        <w:tab/>
      </w:r>
    </w:p>
    <w:p>
      <w:pPr>
        <w:numPr>
          <w:ilvl w:val="0"/>
          <w:numId w:val="0"/>
        </w:numPr>
        <w:jc w:val="left"/>
      </w:pPr>
    </w:p>
    <w:p>
      <w:pPr>
        <w:numPr>
          <w:ilvl w:val="0"/>
          <w:numId w:val="0"/>
        </w:numPr>
        <w:jc w:val="left"/>
      </w:pPr>
      <w:r>
        <w:drawing>
          <wp:inline distT="0" distB="0" distL="114300" distR="114300">
            <wp:extent cx="5247640" cy="2752725"/>
            <wp:effectExtent l="4445" t="4445" r="5715" b="508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jc w:val="left"/>
        <w:rPr>
          <w:rFonts w:hint="eastAsia"/>
        </w:rPr>
      </w:pPr>
      <w:r>
        <w:rPr>
          <w:rFonts w:hint="eastAsia"/>
          <w:lang w:eastAsia="zh-CN"/>
        </w:rPr>
        <w:t>数据来源：东方财富网</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i w:val="0"/>
          <w:caps w:val="0"/>
          <w:color w:val="000000"/>
          <w:spacing w:val="0"/>
          <w:sz w:val="24"/>
          <w:szCs w:val="24"/>
          <w:shd w:val="clear" w:fill="FFFFFF"/>
        </w:rPr>
        <w:t>美国</w:t>
      </w:r>
      <w:r>
        <w:rPr>
          <w:rFonts w:hint="eastAsia" w:ascii="微软雅黑" w:hAnsi="微软雅黑" w:eastAsia="微软雅黑" w:cs="微软雅黑"/>
          <w:b w:val="0"/>
          <w:i w:val="0"/>
          <w:caps w:val="0"/>
          <w:color w:val="000000"/>
          <w:spacing w:val="0"/>
          <w:sz w:val="24"/>
          <w:szCs w:val="24"/>
          <w:shd w:val="clear" w:fill="FFFFFF"/>
          <w:lang w:eastAsia="zh-CN"/>
        </w:rPr>
        <w:t>经济从</w:t>
      </w:r>
      <w:r>
        <w:rPr>
          <w:rFonts w:hint="eastAsia" w:ascii="微软雅黑" w:hAnsi="微软雅黑" w:eastAsia="微软雅黑" w:cs="微软雅黑"/>
          <w:b w:val="0"/>
          <w:i w:val="0"/>
          <w:caps w:val="0"/>
          <w:color w:val="000000"/>
          <w:spacing w:val="0"/>
          <w:sz w:val="24"/>
          <w:szCs w:val="24"/>
          <w:shd w:val="clear" w:fill="FFFFFF"/>
          <w:lang w:val="en-US" w:eastAsia="zh-CN"/>
        </w:rPr>
        <w:t>2015年12月以来实现了强劲的复苏增长，特别是今年</w:t>
      </w:r>
      <w:r>
        <w:rPr>
          <w:rFonts w:hint="eastAsia" w:ascii="微软雅黑" w:hAnsi="微软雅黑" w:eastAsia="微软雅黑" w:cs="微软雅黑"/>
          <w:b w:val="0"/>
          <w:i w:val="0"/>
          <w:caps w:val="0"/>
          <w:color w:val="000000"/>
          <w:spacing w:val="0"/>
          <w:sz w:val="24"/>
          <w:szCs w:val="24"/>
          <w:shd w:val="clear" w:fill="FFFFFF"/>
        </w:rPr>
        <w:t>第二季度实际GDP年化季率初值增长4.1%，虽不及预期增长4.2%，但仍为2014年以来最佳表现。</w:t>
      </w:r>
      <w:r>
        <w:rPr>
          <w:rFonts w:hint="eastAsia" w:ascii="微软雅黑" w:hAnsi="微软雅黑" w:eastAsia="微软雅黑" w:cs="微软雅黑"/>
          <w:sz w:val="24"/>
          <w:szCs w:val="24"/>
          <w:lang w:eastAsia="zh-CN"/>
        </w:rPr>
        <w:t>但</w:t>
      </w:r>
      <w:r>
        <w:rPr>
          <w:rFonts w:hint="eastAsia" w:ascii="微软雅黑" w:hAnsi="微软雅黑" w:eastAsia="微软雅黑" w:cs="微软雅黑"/>
          <w:sz w:val="24"/>
          <w:szCs w:val="24"/>
          <w:lang w:val="en-US" w:eastAsia="zh-CN"/>
        </w:rPr>
        <w:t>市场分析美国第二季度4.1%的GDP增幅虽然看起来很美，但增幅却是属于“不可持续”的，这4.1%的高增幅主要是贸易战前中国集中采购的结果，但这等于是把后几个季度这方面的经济增长提前了，同时美国政府减税政策也推高了二季度GDP，但代价是美国的财政赤字问题会变得更加棘手，并迫使美联储加息，从而最终拉低经济增速。</w:t>
      </w:r>
    </w:p>
    <w:p>
      <w:pPr>
        <w:jc w:val="left"/>
      </w:pPr>
      <w:r>
        <w:drawing>
          <wp:inline distT="0" distB="0" distL="114300" distR="114300">
            <wp:extent cx="5257800" cy="28194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pPr>
      <w:r>
        <w:drawing>
          <wp:inline distT="0" distB="0" distL="114300" distR="114300">
            <wp:extent cx="5267325" cy="2687955"/>
            <wp:effectExtent l="4445" t="4445" r="5080" b="1270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pPr>
      <w:r>
        <w:rPr>
          <w:rFonts w:hint="eastAsia"/>
          <w:sz w:val="18"/>
          <w:szCs w:val="18"/>
          <w:lang w:eastAsia="zh-CN"/>
        </w:rPr>
        <w:t>数据来源：东方财富网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480" w:firstLineChars="200"/>
        <w:jc w:val="both"/>
        <w:rPr>
          <w:rFonts w:hint="eastAsia" w:ascii="微软雅黑" w:hAnsi="微软雅黑" w:eastAsia="微软雅黑" w:cs="微软雅黑"/>
          <w:b w:val="0"/>
          <w:i w:val="0"/>
          <w:caps w:val="0"/>
          <w:color w:val="000000"/>
          <w:spacing w:val="0"/>
          <w:sz w:val="24"/>
          <w:szCs w:val="24"/>
          <w:shd w:val="clear" w:fill="FFFFFF"/>
          <w:lang w:eastAsia="zh-CN"/>
        </w:rPr>
      </w:pPr>
      <w:r>
        <w:rPr>
          <w:rFonts w:hint="eastAsia" w:ascii="微软雅黑" w:hAnsi="微软雅黑" w:eastAsia="微软雅黑" w:cs="微软雅黑"/>
          <w:b w:val="0"/>
          <w:i w:val="0"/>
          <w:caps w:val="0"/>
          <w:color w:val="000000"/>
          <w:spacing w:val="0"/>
          <w:sz w:val="24"/>
          <w:szCs w:val="24"/>
          <w:shd w:val="clear" w:fill="FFFFFF"/>
          <w:lang w:eastAsia="zh-CN"/>
        </w:rPr>
        <w:t>美国</w:t>
      </w:r>
      <w:r>
        <w:rPr>
          <w:rFonts w:hint="eastAsia" w:ascii="微软雅黑" w:hAnsi="微软雅黑" w:eastAsia="微软雅黑" w:cs="微软雅黑"/>
          <w:b w:val="0"/>
          <w:i w:val="0"/>
          <w:caps w:val="0"/>
          <w:color w:val="000000"/>
          <w:spacing w:val="0"/>
          <w:sz w:val="24"/>
          <w:szCs w:val="24"/>
          <w:shd w:val="clear" w:fill="FFFFFF"/>
          <w:lang w:val="en-US" w:eastAsia="zh-CN"/>
        </w:rPr>
        <w:t>9</w:t>
      </w:r>
      <w:r>
        <w:rPr>
          <w:rFonts w:hint="eastAsia" w:ascii="微软雅黑" w:hAnsi="微软雅黑" w:eastAsia="微软雅黑" w:cs="微软雅黑"/>
          <w:b w:val="0"/>
          <w:i w:val="0"/>
          <w:caps w:val="0"/>
          <w:color w:val="000000"/>
          <w:spacing w:val="0"/>
          <w:sz w:val="24"/>
          <w:szCs w:val="24"/>
          <w:shd w:val="clear" w:fill="FFFFFF"/>
          <w:lang w:eastAsia="zh-CN"/>
        </w:rPr>
        <w:t>月份</w:t>
      </w:r>
      <w:r>
        <w:rPr>
          <w:rFonts w:hint="default" w:ascii="微软雅黑" w:hAnsi="微软雅黑" w:eastAsia="微软雅黑" w:cs="微软雅黑"/>
          <w:b w:val="0"/>
          <w:i w:val="0"/>
          <w:caps w:val="0"/>
          <w:color w:val="000000"/>
          <w:spacing w:val="0"/>
          <w:sz w:val="24"/>
          <w:szCs w:val="24"/>
          <w:shd w:val="clear" w:fill="FFFFFF"/>
          <w:lang w:eastAsia="zh-CN"/>
        </w:rPr>
        <w:t>失业率降至近50年来的最低水平</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default" w:ascii="微软雅黑" w:hAnsi="微软雅黑" w:eastAsia="微软雅黑" w:cs="微软雅黑"/>
          <w:b w:val="0"/>
          <w:i w:val="0"/>
          <w:caps w:val="0"/>
          <w:color w:val="000000"/>
          <w:spacing w:val="0"/>
          <w:sz w:val="24"/>
          <w:szCs w:val="24"/>
          <w:shd w:val="clear" w:fill="FFFFFF"/>
          <w:lang w:eastAsia="zh-CN"/>
        </w:rPr>
        <w:t>失业率下降了0.2个百分点，至3.7%，为1969年12月以来的最低水平，比预期低了0.1个百分点。</w:t>
      </w:r>
      <w:r>
        <w:rPr>
          <w:rFonts w:hint="eastAsia" w:ascii="微软雅黑" w:hAnsi="微软雅黑" w:eastAsia="微软雅黑" w:cs="微软雅黑"/>
          <w:b w:val="0"/>
          <w:i w:val="0"/>
          <w:caps w:val="0"/>
          <w:color w:val="000000"/>
          <w:spacing w:val="0"/>
          <w:sz w:val="24"/>
          <w:szCs w:val="24"/>
          <w:shd w:val="clear" w:fill="FFFFFF"/>
          <w:lang w:eastAsia="zh-CN"/>
        </w:rPr>
        <w:t>美国劳工部最新公布的数据显示</w:t>
      </w:r>
      <w:r>
        <w:rPr>
          <w:rFonts w:hint="eastAsia" w:ascii="微软雅黑" w:hAnsi="微软雅黑" w:eastAsia="微软雅黑" w:cs="微软雅黑"/>
          <w:b w:val="0"/>
          <w:i w:val="0"/>
          <w:caps w:val="0"/>
          <w:color w:val="000000"/>
          <w:spacing w:val="0"/>
          <w:sz w:val="24"/>
          <w:szCs w:val="24"/>
          <w:shd w:val="clear" w:fill="FFFFFF"/>
          <w:lang w:val="en-US" w:eastAsia="zh-CN"/>
        </w:rPr>
        <w:t>11月</w:t>
      </w:r>
      <w:r>
        <w:rPr>
          <w:rFonts w:hint="default" w:ascii="微软雅黑" w:hAnsi="微软雅黑" w:eastAsia="微软雅黑" w:cs="微软雅黑"/>
          <w:b w:val="0"/>
          <w:i w:val="0"/>
          <w:caps w:val="0"/>
          <w:color w:val="000000"/>
          <w:spacing w:val="0"/>
          <w:sz w:val="24"/>
          <w:szCs w:val="24"/>
          <w:shd w:val="clear" w:fill="FFFFFF"/>
          <w:lang w:eastAsia="zh-CN"/>
        </w:rPr>
        <w:t>失业率</w:t>
      </w:r>
      <w:r>
        <w:rPr>
          <w:rFonts w:hint="eastAsia" w:ascii="微软雅黑" w:hAnsi="微软雅黑" w:eastAsia="微软雅黑" w:cs="微软雅黑"/>
          <w:b w:val="0"/>
          <w:i w:val="0"/>
          <w:caps w:val="0"/>
          <w:color w:val="000000"/>
          <w:spacing w:val="0"/>
          <w:sz w:val="24"/>
          <w:szCs w:val="24"/>
          <w:shd w:val="clear" w:fill="FFFFFF"/>
          <w:lang w:eastAsia="zh-CN"/>
        </w:rPr>
        <w:t>维持</w:t>
      </w:r>
      <w:r>
        <w:rPr>
          <w:rFonts w:hint="default" w:ascii="微软雅黑" w:hAnsi="微软雅黑" w:eastAsia="微软雅黑" w:cs="微软雅黑"/>
          <w:b w:val="0"/>
          <w:i w:val="0"/>
          <w:caps w:val="0"/>
          <w:color w:val="000000"/>
          <w:spacing w:val="0"/>
          <w:sz w:val="24"/>
          <w:szCs w:val="24"/>
          <w:shd w:val="clear" w:fill="FFFFFF"/>
          <w:lang w:eastAsia="zh-CN"/>
        </w:rPr>
        <w:t>3.7%，</w:t>
      </w:r>
      <w:r>
        <w:rPr>
          <w:rFonts w:hint="eastAsia" w:ascii="微软雅黑" w:hAnsi="微软雅黑" w:eastAsia="微软雅黑" w:cs="微软雅黑"/>
          <w:b w:val="0"/>
          <w:i w:val="0"/>
          <w:caps w:val="0"/>
          <w:color w:val="000000"/>
          <w:spacing w:val="0"/>
          <w:sz w:val="24"/>
          <w:szCs w:val="24"/>
          <w:shd w:val="clear" w:fill="FFFFFF"/>
          <w:lang w:eastAsia="zh-CN"/>
        </w:rPr>
        <w:t>许多分析师表示，失业率仍维持在1969年以来的最低水平，薪资稳步增长缓解了近期对衰退的担忧，</w:t>
      </w:r>
      <w:r>
        <w:rPr>
          <w:rFonts w:hint="default" w:ascii="微软雅黑" w:hAnsi="微软雅黑" w:eastAsia="微软雅黑" w:cs="微软雅黑"/>
          <w:b w:val="0"/>
          <w:i w:val="0"/>
          <w:caps w:val="0"/>
          <w:color w:val="000000"/>
          <w:spacing w:val="0"/>
          <w:sz w:val="24"/>
          <w:szCs w:val="24"/>
          <w:shd w:val="clear" w:fill="FFFFFF"/>
          <w:lang w:eastAsia="zh-CN"/>
        </w:rPr>
        <w:t>美国劳工部公布，11月非农就业人口增加15.5万人，低于分析师预估的20万人。私营部门就业人数增加了16.1万人，而经济学家的预期为20万人</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default" w:ascii="微软雅黑" w:hAnsi="微软雅黑" w:eastAsia="微软雅黑" w:cs="微软雅黑"/>
          <w:b w:val="0"/>
          <w:i w:val="0"/>
          <w:caps w:val="0"/>
          <w:color w:val="000000"/>
          <w:spacing w:val="0"/>
          <w:sz w:val="24"/>
          <w:szCs w:val="24"/>
          <w:shd w:val="clear" w:fill="FFFFFF"/>
          <w:lang w:eastAsia="zh-CN"/>
        </w:rPr>
        <w:t>根据劳工部的就业成本指数，从2017年9月到2018年9月，工资上涨了2.9%</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default" w:ascii="微软雅黑" w:hAnsi="微软雅黑" w:eastAsia="微软雅黑" w:cs="微软雅黑"/>
          <w:b w:val="0"/>
          <w:i w:val="0"/>
          <w:caps w:val="0"/>
          <w:color w:val="000000"/>
          <w:spacing w:val="0"/>
          <w:sz w:val="24"/>
          <w:szCs w:val="24"/>
          <w:shd w:val="clear" w:fill="FFFFFF"/>
          <w:lang w:eastAsia="zh-CN"/>
        </w:rPr>
        <w:t>这是自2008年9月工资上涨3.1%以来的最大涨幅，没有经过通货膨胀的调整</w:t>
      </w:r>
      <w:r>
        <w:rPr>
          <w:rFonts w:hint="eastAsia" w:ascii="微软雅黑" w:hAnsi="微软雅黑" w:eastAsia="微软雅黑" w:cs="微软雅黑"/>
          <w:b w:val="0"/>
          <w:i w:val="0"/>
          <w:caps w:val="0"/>
          <w:color w:val="000000"/>
          <w:spacing w:val="0"/>
          <w:sz w:val="24"/>
          <w:szCs w:val="24"/>
          <w:shd w:val="clear" w:fill="FFFFFF"/>
          <w:lang w:eastAsia="zh-CN"/>
        </w:rPr>
        <w:t>，美国经济仍在大量创造新就业岗位，反映出强劲的基本商业环境，预示着2019年就业增长和经济活动将趋于稳定，尽管增速有所放缓。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default" w:ascii="微软雅黑" w:hAnsi="微软雅黑" w:eastAsia="微软雅黑" w:cs="微软雅黑"/>
          <w:b w:val="0"/>
          <w:i w:val="0"/>
          <w:caps w:val="0"/>
          <w:color w:val="000000"/>
          <w:spacing w:val="0"/>
          <w:sz w:val="24"/>
          <w:szCs w:val="24"/>
          <w:shd w:val="clear" w:fill="FFFFFF"/>
          <w:lang w:eastAsia="zh-CN"/>
        </w:rPr>
      </w:pPr>
      <w:r>
        <w:rPr>
          <w:rFonts w:hint="default" w:ascii="微软雅黑" w:hAnsi="微软雅黑" w:eastAsia="微软雅黑" w:cs="微软雅黑"/>
          <w:b w:val="0"/>
          <w:i w:val="0"/>
          <w:caps w:val="0"/>
          <w:color w:val="000000"/>
          <w:spacing w:val="0"/>
          <w:sz w:val="24"/>
          <w:szCs w:val="24"/>
          <w:shd w:val="clear" w:fill="FFFFFF"/>
          <w:lang w:eastAsia="zh-CN"/>
        </w:rPr>
        <w:t>美国今年夏天出现了多达700万个职位空缺，这在美国两百多年历史上史无前例。周二美国劳工部公布的最新数据显示，截止8月底，美国仍有高达713.6万个工作岗位空缺，破了2000年时出现的最高记录。与此同时美国的失业率已经自今年7月开始连续3个月低于4%，这在历史上除了2000年出现的短暂几个月外（此后立刻爆发了经济危机），是只有战时才可能出现的情况。美国的人口结构变化也被认为是失业率长期或保持低位的原因</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default" w:ascii="微软雅黑" w:hAnsi="微软雅黑" w:eastAsia="微软雅黑" w:cs="微软雅黑"/>
          <w:b w:val="0"/>
          <w:i w:val="0"/>
          <w:caps w:val="0"/>
          <w:color w:val="000000"/>
          <w:spacing w:val="0"/>
          <w:sz w:val="24"/>
          <w:szCs w:val="24"/>
          <w:shd w:val="clear" w:fill="FFFFFF"/>
          <w:lang w:eastAsia="zh-CN"/>
        </w:rPr>
        <w:t>目前美国每一天都有1万人达到65岁的退休年龄，而这一趋势在接下来可预见的数年都将一直持续下去，这在很大程度上解释了为什么美国新增就业人数“一般”，但是失业率下降却很快，其中一个影响因素是大量美国婴儿潮人口退休，退出了就业人口的统计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美国22万亿美元的负债是“不定时炸弹”，随着美国各个主体债务不断膨胀，美国公司债务创10年新高，家庭债务、消费者债务也是居高不下，具体来看，根据标普最新全球报告显示，美国公司债务6.3万亿美元，创2008年以来历史新高，美国家庭债务目前约为13.3万亿美元，美国信用卡债务2018年也首次超过1万亿美元，这是自2007年以来的最高单年数额。通过数据看出，目前美国的债务水平已经超过2008年金融危机时的底线，如果债务继续攀升，将会使得恐慌情绪继续蔓延，支撑黄金上涨。</w:t>
      </w:r>
    </w:p>
    <w:p>
      <w:pPr>
        <w:rPr>
          <w:rFonts w:hint="eastAsia" w:ascii="微软雅黑" w:hAnsi="微软雅黑" w:eastAsia="微软雅黑" w:cs="微软雅黑"/>
          <w:b w:val="0"/>
          <w:i w:val="0"/>
          <w:caps w:val="0"/>
          <w:color w:val="000000"/>
          <w:spacing w:val="0"/>
          <w:kern w:val="2"/>
          <w:sz w:val="24"/>
          <w:szCs w:val="24"/>
          <w:lang w:val="en-US" w:eastAsia="zh-CN" w:bidi="ar-SA"/>
        </w:rPr>
      </w:pPr>
    </w:p>
    <w:p>
      <w:pPr>
        <w:rPr>
          <w:rFonts w:hint="eastAsia" w:ascii="微软雅黑" w:hAnsi="微软雅黑" w:eastAsia="微软雅黑" w:cs="微软雅黑"/>
          <w:b/>
          <w:bCs/>
          <w:i w:val="0"/>
          <w:caps w:val="0"/>
          <w:color w:val="000000"/>
          <w:spacing w:val="0"/>
          <w:kern w:val="2"/>
          <w:sz w:val="28"/>
          <w:szCs w:val="28"/>
          <w:lang w:val="en-US" w:eastAsia="zh-CN" w:bidi="ar-SA"/>
        </w:rPr>
      </w:pPr>
      <w:r>
        <w:rPr>
          <w:rFonts w:hint="eastAsia" w:ascii="微软雅黑" w:hAnsi="微软雅黑" w:eastAsia="微软雅黑" w:cs="微软雅黑"/>
          <w:b/>
          <w:bCs/>
          <w:i w:val="0"/>
          <w:caps w:val="0"/>
          <w:color w:val="000000"/>
          <w:spacing w:val="0"/>
          <w:kern w:val="2"/>
          <w:sz w:val="28"/>
          <w:szCs w:val="28"/>
          <w:lang w:val="en-US" w:eastAsia="zh-CN" w:bidi="ar-SA"/>
        </w:rPr>
        <w:t>二、欧盟欧元区经济表现</w:t>
      </w:r>
    </w:p>
    <w:p>
      <w:pPr>
        <w:jc w:val="left"/>
      </w:pPr>
    </w:p>
    <w:p>
      <w:pPr>
        <w:jc w:val="left"/>
      </w:pPr>
      <w:r>
        <w:drawing>
          <wp:inline distT="0" distB="0" distL="114300" distR="114300">
            <wp:extent cx="5276850" cy="2895600"/>
            <wp:effectExtent l="4445" t="4445" r="14605" b="14605"/>
            <wp:docPr id="32774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20" w:firstLineChars="200"/>
        <w:jc w:val="left"/>
        <w:rPr>
          <w:rFonts w:hint="eastAsia"/>
          <w:lang w:val="en-US" w:eastAsia="zh-CN"/>
        </w:rPr>
      </w:pPr>
      <w:r>
        <w:rPr>
          <w:rFonts w:hint="eastAsia"/>
          <w:lang w:val="en-US" w:eastAsia="zh-CN"/>
        </w:rPr>
        <w:t>数据来源：东方财富网</w:t>
      </w: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r>
        <w:rPr>
          <w:rFonts w:hint="default" w:ascii="微软雅黑" w:hAnsi="微软雅黑" w:eastAsia="微软雅黑" w:cs="微软雅黑"/>
          <w:b w:val="0"/>
          <w:i w:val="0"/>
          <w:caps w:val="0"/>
          <w:color w:val="000000"/>
          <w:spacing w:val="0"/>
          <w:kern w:val="0"/>
          <w:sz w:val="24"/>
          <w:szCs w:val="24"/>
          <w:shd w:val="clear" w:fill="FFFFFF"/>
          <w:lang w:val="en-US" w:eastAsia="zh-CN" w:bidi="ar"/>
        </w:rPr>
        <w:t>2014年</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开始欧元经济区</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经济持续复苏，希腊等债务国先后结束财政救济，经济步入正常增长轨道</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，但在2018年美国推行</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全球保护主义上升、单边主义肆虐的影响下，全球需求下降，直接影响到欧洲产品的出口和投资需求。</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欧元区</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经济承受巨大的外部压力，增长乏力，复苏态势放缓。美国对欧盟加征钢铝关税和威胁加征汽车税，迫使欧洲企业收缩或调整销售及投资布局，成本上升。作为欧盟经济最重要“发动机”的德国，其高度依赖外贸的经济结构在美欧贸易争端加剧之下首当其冲，并且自身存在制造业升级瓶颈，导致出口下滑、增速下降，今年的经济增长预期已从2.7％下调至1.8％。在“发动机”减速的情况下，尽管其他国家经济增速变化不大，但欧元区和欧盟经济整体表现不佳，欧元区增长率回落至2％，欧洲央行年内也已三次下调欧盟整体经济增长预期。</w:t>
      </w:r>
    </w:p>
    <w:p>
      <w:pPr>
        <w:ind w:firstLine="480" w:firstLineChars="200"/>
        <w:jc w:val="left"/>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default" w:ascii="微软雅黑" w:hAnsi="微软雅黑" w:eastAsia="微软雅黑" w:cs="微软雅黑"/>
          <w:b w:val="0"/>
          <w:i w:val="0"/>
          <w:caps w:val="0"/>
          <w:color w:val="000000"/>
          <w:spacing w:val="0"/>
          <w:kern w:val="0"/>
          <w:sz w:val="24"/>
          <w:szCs w:val="24"/>
          <w:shd w:val="clear" w:fill="FFFFFF"/>
          <w:lang w:val="en-US" w:eastAsia="zh-CN" w:bidi="ar"/>
        </w:rPr>
        <w:t>导致欧盟经济乏力的另一主要原因是市场纠结于意大利银行业风险和英国脱欧的不确定性，消极避险情绪强烈，导致在外贸疲软情况下，投资和消费也未能为经济增长提供足够动能。2018年是英国脱欧的“谈判年”，在经历了一波三折的谈判后，英欧双方于11月推出了“脱欧协议”草案，脱欧进程的前景似乎清晰起来</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，但</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保守党内部和议会内部均严重分裂，英国政府和议会围绕脱欧主导权的斗争再度激烈</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梅首相在逃过党内不信任投票一劫后，在梅政府设定的2019年1月下旬的议会表决期前，要重新将脱欧进程纳入正轨似乎已经成为“不可能完成的任务”。12月23日，意大利参议院就政府2019财年预算案进行审议表决，最终该预算案获得通过，欧盟委员会与意大利政府就该预算案达成共识，避免了欧盟对意大利启动惩戒程序</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意大利总理孔特表示，将2019年财政赤字占国内生产总值（GDP）的比例从2.4%下调至2.04%，按照修改后的预算方案，2019年意大利经济增速预期将从1.5%下调至1%</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w:t>
      </w: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r>
        <w:rPr>
          <w:rFonts w:hint="default" w:ascii="微软雅黑" w:hAnsi="微软雅黑" w:eastAsia="微软雅黑" w:cs="微软雅黑"/>
          <w:b w:val="0"/>
          <w:i w:val="0"/>
          <w:caps w:val="0"/>
          <w:color w:val="000000"/>
          <w:spacing w:val="0"/>
          <w:kern w:val="0"/>
          <w:sz w:val="24"/>
          <w:szCs w:val="24"/>
          <w:shd w:val="clear" w:fill="FFFFFF"/>
          <w:lang w:val="en-US" w:eastAsia="zh-CN" w:bidi="ar"/>
        </w:rPr>
        <w:t>为阻止经济下行的颓势，原本迟缓的欧元区改革被倒逼出了一些成果：在接近年终之时，欧盟终于就在欧元区创设统一预算、加强金融监管和扩大“欧洲稳定机制”达成共识，尽管相比此前马克龙提出的激进改革方案缩水不少，但毕竟在历时一年的讨论后没有交上白卷。结合此前欧盟在升级贸易防护体系和建立对外资审查机制方面取得的进展，收紧内外治理、加强市场保护将是欧盟经济治理的长期态势。</w:t>
      </w:r>
    </w:p>
    <w:p>
      <w:pPr>
        <w:ind w:firstLine="528" w:firstLineChars="220"/>
        <w:jc w:val="left"/>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kern w:val="2"/>
          <w:sz w:val="24"/>
          <w:szCs w:val="24"/>
          <w:lang w:val="en-US" w:eastAsia="zh-CN" w:bidi="ar-SA"/>
        </w:rPr>
        <w:t>最新一期《世界经济展望》中，IMF将2018及2019年全球经济增速预期均由3.9%下调至3.7%，为2016年7月以来首次下调。IMF同时还下调中美两国经济增速预期，其中2019年美国增速预期由2.7%下调至2.5%，2019年中国经济增速预期由6.4%下调至6.2%。</w:t>
      </w:r>
    </w:p>
    <w:p>
      <w:pPr>
        <w:ind w:firstLine="560" w:firstLineChars="200"/>
        <w:jc w:val="left"/>
        <w:rPr>
          <w:rFonts w:hint="default" w:ascii="微软雅黑" w:hAnsi="微软雅黑" w:eastAsia="微软雅黑" w:cs="微软雅黑"/>
          <w:b/>
          <w:bCs/>
          <w:i w:val="0"/>
          <w:caps w:val="0"/>
          <w:color w:val="000000"/>
          <w:spacing w:val="0"/>
          <w:kern w:val="0"/>
          <w:sz w:val="28"/>
          <w:szCs w:val="28"/>
          <w:shd w:val="clear" w:fill="FFFFFF"/>
          <w:lang w:val="en-US" w:eastAsia="zh-CN" w:bidi="ar"/>
        </w:rPr>
      </w:pPr>
      <w:r>
        <w:rPr>
          <w:rFonts w:hint="eastAsia" w:ascii="微软雅黑" w:hAnsi="微软雅黑" w:eastAsia="微软雅黑" w:cs="微软雅黑"/>
          <w:b/>
          <w:bCs/>
          <w:i w:val="0"/>
          <w:caps w:val="0"/>
          <w:color w:val="000000"/>
          <w:spacing w:val="0"/>
          <w:kern w:val="0"/>
          <w:sz w:val="28"/>
          <w:szCs w:val="28"/>
          <w:shd w:val="clear" w:fill="FFFFFF"/>
          <w:lang w:val="en-US" w:eastAsia="zh-CN" w:bidi="ar"/>
        </w:rPr>
        <w:t>三、货币政策</w:t>
      </w:r>
    </w:p>
    <w:tbl>
      <w:tblPr>
        <w:tblStyle w:val="6"/>
        <w:tblW w:w="89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6"/>
        <w:gridCol w:w="1200"/>
        <w:gridCol w:w="2985"/>
        <w:gridCol w:w="250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8901" w:type="dxa"/>
            <w:gridSpan w:val="5"/>
            <w:tcBorders>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2018年美联储四次加息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w:t>
            </w:r>
          </w:p>
        </w:tc>
        <w:tc>
          <w:tcPr>
            <w:tcW w:w="120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加息幅度</w:t>
            </w:r>
          </w:p>
        </w:tc>
        <w:tc>
          <w:tcPr>
            <w:tcW w:w="29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美联储主席讲话</w:t>
            </w:r>
          </w:p>
        </w:tc>
        <w:tc>
          <w:tcPr>
            <w:tcW w:w="25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后市预测</w:t>
            </w:r>
          </w:p>
        </w:tc>
        <w:tc>
          <w:tcPr>
            <w:tcW w:w="15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2018.3.21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上调25基点          1.5--1.75%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美国经济前景有所改善，美联储进一步加息有助于经济温和增长、就业市场保持稳健。美联储认为未来数月通胀率将回升，并在中期内达到美联储２％的目标。但美联储强调将继续密切关注通胀走势。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美联储官员仍预计2018年还有二次加息，与去年１２月的预测一致，美联储官员预计２０１９年和２０２０年将分别加息三次和两次，较去年１２月的预测有所加快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美股美元跳水，黄金原油暴涨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2018.6.14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上调25基点          1.75--2.0%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加息政策偏鹰派，但美联储主席讲话偏中性，强调经济较好，也表示美联储将非常谨慎，确保政策收紧步伐不会过快，并重申加息过快或过慢都可能带来损害，如果经济反应不好，完全可以及时扭转加息路径。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美联储公布的点阵图还显示，今年还将加息2次，比今年3月时的预测多了1次。市场预期，除了此次6月的第二次加息，下一次加息时间或在9月。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美股短线走低，美元跳涨，美债价格急跌、收益率飙升。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2018.9.27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上调25基点          到2%--2.25%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美联储认为8月议息会议以来，美国劳动力市场保持强劲，失业率维持低位；经济活动持续增长，家庭支出和商业固定投资增长强势；整体通胀和核心通胀均接近2%。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美联储再一次上调对今明两年经济预期，对美国短期经济乐观，12月加息为大概率事件，2019年和2020年分别三次和一次，2020年之后不会加息。</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议息会议声明公布后，美国10年期国债利率小幅回落，美元指数震荡。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2018.12.20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上调25基点          2.25--2.50%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美联储对美国经济增长预期仍是乐观基调，美国货币政策正常化仍将继续，但利率上调恐已接近后半场，美联储可实现基准利率的中性水平。</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从美联储此次公布的点阵图可以看出，明年加息次数将从此前预期的3次减少到2次，2020年加息一次维持不变。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kern w:val="0"/>
                <w:sz w:val="22"/>
                <w:szCs w:val="22"/>
                <w:u w:val="none"/>
                <w:lang w:val="en-US" w:eastAsia="zh-CN" w:bidi="ar"/>
              </w:rPr>
            </w:pPr>
            <w:r>
              <w:rPr>
                <w:rFonts w:hint="eastAsia" w:ascii="宋体" w:hAnsi="宋体" w:eastAsia="宋体" w:cs="宋体"/>
                <w:i w:val="0"/>
                <w:color w:val="333333"/>
                <w:kern w:val="0"/>
                <w:sz w:val="22"/>
                <w:szCs w:val="22"/>
                <w:u w:val="none"/>
                <w:lang w:val="en-US" w:eastAsia="zh-CN" w:bidi="ar"/>
              </w:rPr>
              <w:t>金融市场产生剧烈波动，道指快速大幅跳水，美元指数冲破97整数关之后小幅回落，原油价格继续下跌。</w:t>
            </w:r>
          </w:p>
        </w:tc>
      </w:tr>
    </w:tbl>
    <w:p>
      <w:pPr>
        <w:ind w:firstLine="420" w:firstLineChars="200"/>
        <w:jc w:val="left"/>
        <w:rPr>
          <w:rFonts w:hint="eastAsia"/>
          <w:lang w:val="en-US" w:eastAsia="zh-CN"/>
        </w:rPr>
      </w:pPr>
    </w:p>
    <w:p>
      <w:pPr>
        <w:ind w:firstLine="420" w:firstLineChars="200"/>
        <w:jc w:val="left"/>
        <w:rPr>
          <w:rFonts w:hint="eastAsia"/>
          <w:lang w:val="en-US" w:eastAsia="zh-CN"/>
        </w:rPr>
      </w:pPr>
    </w:p>
    <w:p>
      <w:pPr>
        <w:ind w:firstLine="420" w:firstLineChars="200"/>
        <w:jc w:val="left"/>
        <w:rPr>
          <w:rFonts w:hint="eastAsia"/>
          <w:lang w:val="en-US" w:eastAsia="zh-CN"/>
        </w:rPr>
      </w:pPr>
    </w:p>
    <w:p>
      <w:pPr>
        <w:ind w:firstLine="420" w:firstLineChars="200"/>
        <w:jc w:val="left"/>
        <w:rPr>
          <w:rFonts w:hint="eastAsia"/>
          <w:lang w:val="en-US" w:eastAsia="zh-CN"/>
        </w:rPr>
      </w:pPr>
    </w:p>
    <w:p>
      <w:pPr>
        <w:ind w:firstLine="420" w:firstLineChars="200"/>
        <w:jc w:val="left"/>
        <w:rPr>
          <w:rFonts w:hint="eastAsia"/>
          <w:lang w:val="en-US" w:eastAsia="zh-CN"/>
        </w:rPr>
      </w:pPr>
    </w:p>
    <w:p>
      <w:pPr>
        <w:ind w:firstLine="3150" w:firstLineChars="1500"/>
        <w:jc w:val="left"/>
        <w:rPr>
          <w:rFonts w:hint="default"/>
          <w:lang w:val="en-US" w:eastAsia="zh-CN"/>
        </w:rPr>
      </w:pPr>
      <w:r>
        <w:rPr>
          <w:rFonts w:hint="eastAsia"/>
          <w:lang w:val="en-US" w:eastAsia="zh-CN"/>
        </w:rPr>
        <w:t>近4年美联储利率走势</w:t>
      </w:r>
    </w:p>
    <w:p>
      <w:pPr>
        <w:jc w:val="left"/>
      </w:pPr>
      <w:r>
        <w:drawing>
          <wp:inline distT="0" distB="0" distL="114300" distR="114300">
            <wp:extent cx="5408930" cy="2828925"/>
            <wp:effectExtent l="4445" t="4445" r="1587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480" w:firstLineChars="200"/>
        <w:jc w:val="left"/>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default" w:ascii="微软雅黑" w:hAnsi="微软雅黑" w:eastAsia="微软雅黑" w:cs="微软雅黑"/>
          <w:b w:val="0"/>
          <w:i w:val="0"/>
          <w:caps w:val="0"/>
          <w:color w:val="000000"/>
          <w:spacing w:val="0"/>
          <w:kern w:val="0"/>
          <w:sz w:val="24"/>
          <w:szCs w:val="24"/>
          <w:shd w:val="clear" w:fill="FFFFFF"/>
          <w:lang w:val="en-US" w:eastAsia="zh-CN" w:bidi="ar"/>
        </w:rPr>
        <w:t>本轮加息周期起始于201</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5</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年12月，时任美联储主席耶伦宣布加息25个基点，联邦基金利率脱离了零利率区间，意味着美国货币政策正常化正式起步</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从2016年12月起美联储加息进入快车道，</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但是</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美元指数并没有因为货币政策收紧而出现明显走强，甚至有种强弩之末的感觉</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w:t>
      </w:r>
      <w:r>
        <w:rPr>
          <w:rFonts w:hint="default" w:ascii="微软雅黑" w:hAnsi="微软雅黑" w:eastAsia="微软雅黑" w:cs="微软雅黑"/>
          <w:b w:val="0"/>
          <w:i w:val="0"/>
          <w:caps w:val="0"/>
          <w:color w:val="000000"/>
          <w:spacing w:val="0"/>
          <w:kern w:val="0"/>
          <w:sz w:val="24"/>
          <w:szCs w:val="24"/>
          <w:shd w:val="clear" w:fill="FFFFFF"/>
          <w:lang w:val="en-US" w:eastAsia="zh-CN" w:bidi="ar"/>
        </w:rPr>
        <w:t>经历了九次加息，目前美指依然没有超越2016年12月创下的近15年高点103.80。</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美联储2018年12月如期加息，但下调了2019年加息次数预期，暗示明年加息两次，中期看美联储加息进度预期放缓。</w:t>
      </w:r>
    </w:p>
    <w:p>
      <w:pPr>
        <w:ind w:firstLine="480" w:firstLineChars="200"/>
        <w:jc w:val="left"/>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欧洲央行公布12月利率决议，维持三大利率不变，确认12月底退出QE，且首次明确再投资将持续到首次加息后，德拉吉在讲话中表示，地缘政治、保护主义令经济面临下行风险，受外部需求走弱影响，欧洲央行下调了今明两年GDP增速预期。具体来看，预计2018年GDP增速为1.9%，9月份时预期为2%；预计2019年GDP增速为1.7%，9月份时预期为1.8%；预计2020年GDP增速为1.7%，9月份时预期为1.7%；预计2021年GDP增速为1.5%。德拉吉表示，能源价格下降，但考虑到货币政策、经济扩张等的支撑，欧洲央行下调明年通胀预期，上调今年通胀预期。</w:t>
      </w:r>
    </w:p>
    <w:p>
      <w:pPr>
        <w:ind w:firstLine="560" w:firstLineChars="200"/>
        <w:jc w:val="left"/>
        <w:rPr>
          <w:rFonts w:hint="eastAsia" w:ascii="微软雅黑" w:hAnsi="微软雅黑" w:eastAsia="微软雅黑" w:cs="微软雅黑"/>
          <w:b/>
          <w:bCs/>
          <w:i w:val="0"/>
          <w:caps w:val="0"/>
          <w:color w:val="000000"/>
          <w:spacing w:val="0"/>
          <w:kern w:val="0"/>
          <w:sz w:val="28"/>
          <w:szCs w:val="28"/>
          <w:shd w:val="clear" w:fill="FFFFFF"/>
          <w:lang w:val="en-US" w:eastAsia="zh-CN" w:bidi="ar"/>
        </w:rPr>
      </w:pPr>
      <w:r>
        <w:rPr>
          <w:rFonts w:hint="eastAsia" w:ascii="微软雅黑" w:hAnsi="微软雅黑" w:eastAsia="微软雅黑" w:cs="微软雅黑"/>
          <w:b/>
          <w:bCs/>
          <w:i w:val="0"/>
          <w:caps w:val="0"/>
          <w:color w:val="000000"/>
          <w:spacing w:val="0"/>
          <w:kern w:val="0"/>
          <w:sz w:val="28"/>
          <w:szCs w:val="28"/>
          <w:shd w:val="clear" w:fill="FFFFFF"/>
          <w:lang w:val="en-US" w:eastAsia="zh-CN" w:bidi="ar"/>
        </w:rPr>
        <w:t>四、美元指数</w:t>
      </w:r>
    </w:p>
    <w:p>
      <w:pPr>
        <w:jc w:val="left"/>
      </w:pPr>
      <w:r>
        <w:drawing>
          <wp:inline distT="0" distB="0" distL="114300" distR="114300">
            <wp:extent cx="5272405" cy="3475990"/>
            <wp:effectExtent l="0" t="0" r="444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2405" cy="3475990"/>
                    </a:xfrm>
                    <a:prstGeom prst="rect">
                      <a:avLst/>
                    </a:prstGeom>
                    <a:noFill/>
                    <a:ln w="9525">
                      <a:noFill/>
                    </a:ln>
                  </pic:spPr>
                </pic:pic>
              </a:graphicData>
            </a:graphic>
          </wp:inline>
        </w:drawing>
      </w:r>
    </w:p>
    <w:p>
      <w:pPr>
        <w:jc w:val="left"/>
        <w:rPr>
          <w:rFonts w:hint="eastAsia" w:eastAsiaTheme="minorEastAsia"/>
          <w:lang w:eastAsia="zh-CN"/>
        </w:rPr>
      </w:pPr>
      <w:r>
        <w:rPr>
          <w:rFonts w:hint="eastAsia"/>
          <w:lang w:val="en-US" w:eastAsia="zh-CN"/>
        </w:rPr>
        <w:t>2018年</w:t>
      </w:r>
      <w:r>
        <w:rPr>
          <w:rFonts w:hint="eastAsia"/>
          <w:lang w:eastAsia="zh-CN"/>
        </w:rPr>
        <w:t>美元指数走势</w:t>
      </w:r>
    </w:p>
    <w:p>
      <w:pPr>
        <w:ind w:firstLine="480" w:firstLineChars="200"/>
        <w:jc w:val="left"/>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美元指数在年初经过2--3月的低位横盘整理，4月份开始突破上涨，主要原因是美国发起了全球贸易保护主义，特别是中美贸易大战爆发，市场对2018年的全球经济产生了悲观预期，而美国在17年大幅降税后经济增长显现出了强大力度，二季度GDP增长率创近年新高，全球资本进一步看好美国经济，再次背景下美元指数突破上涨。</w:t>
      </w:r>
    </w:p>
    <w:p>
      <w:pPr>
        <w:jc w:val="left"/>
        <w:rPr>
          <w:rFonts w:hint="eastAsia" w:eastAsiaTheme="minorEastAsia"/>
          <w:lang w:val="en-US" w:eastAsia="zh-CN"/>
        </w:rPr>
      </w:pPr>
      <w:r>
        <w:rPr>
          <w:rFonts w:hint="eastAsia"/>
          <w:lang w:val="en-US" w:eastAsia="zh-CN"/>
        </w:rPr>
        <w:t xml:space="preserve"> </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 xml:space="preserve">   随着美国对谈判承若的违约，双方贸易冲突进一步升级，以及新兴市场国家的经</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济增长缓慢，这些国家的货币出现了不同程度贬值，特别是土耳其和阿根廷贬值幅度巨大，土耳其信用违约互换可能要高过比自己低四档的希腊，随着人们对土耳其政府维持本国资产稳定的能力失去信心，土耳其里拉兑美元汇率快速下跌，恐慌指数短线急升，全球股市全线大跌，土耳其里拉引发了“蝴蝶效应”，</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4"/>
          <w:szCs w:val="24"/>
          <w:shd w:val="clear" w:fill="FFFFFF"/>
          <w:lang w:val="en-US" w:eastAsia="zh-CN" w:bidi="ar"/>
        </w:rPr>
        <w:instrText xml:space="preserve"> HYPERLINK "http://biz.finance.sina.com.cn/forex/quote.php?code=EURUSD&amp;img_type=min" \t "http://finance.sina.com.cn/money/forex/forexanaly/2018-08-13/_blank" </w:instrTex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欧元</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等主要非美货币全线下挫，美元指数冲到新高。11</w:t>
      </w:r>
      <w:r>
        <w:rPr>
          <w:rFonts w:hint="eastAsia" w:ascii="微软雅黑" w:hAnsi="微软雅黑" w:eastAsia="微软雅黑" w:cs="微软雅黑"/>
          <w:kern w:val="2"/>
          <w:sz w:val="24"/>
          <w:szCs w:val="24"/>
          <w:lang w:val="en-US" w:eastAsia="zh-CN" w:bidi="ar-SA"/>
        </w:rPr>
        <w:t>月美国中期选举，民主党获得众议院多数席位，共和党则扩大在参议院的领先优势，选举结果在很大程度上符合预期，民主党赢得了众议院的控制权，这可能会结束任何进一步的减税措施，特别是不到两个月原油暴跌30%，通胀可能会下降，预示着美联储紧缩周期的阶段性调整，最新会议纪要显示美联储主席鲍威尔暗示利率接近中性，这意味着从长远来看，美联储将需要实施更少的加息，对美元产生负面影响。</w:t>
      </w:r>
    </w:p>
    <w:p>
      <w:pPr>
        <w:ind w:firstLine="480" w:firstLineChars="20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美联储12月如期加息，美联储下调了2019年加息次数预期，暗示明年加息两次，</w:t>
      </w:r>
      <w:r>
        <w:rPr>
          <w:rFonts w:hint="default" w:ascii="微软雅黑" w:hAnsi="微软雅黑" w:eastAsia="微软雅黑" w:cs="微软雅黑"/>
          <w:kern w:val="2"/>
          <w:sz w:val="24"/>
          <w:szCs w:val="24"/>
          <w:lang w:val="en-US" w:eastAsia="zh-CN" w:bidi="ar-SA"/>
        </w:rPr>
        <w:t>美联储公布的最新点阵图显示，FOMC官员认为2019年将加息两次，较9月声明减少一次</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芝商所利率观察工具FedWatch显示，2019年3月加息的概率24%，2019年加息两次及以上的概率仅10.8% ，美联储或将结束此轮加息周期。</w:t>
      </w:r>
    </w:p>
    <w:p>
      <w:pPr>
        <w:ind w:firstLine="560" w:firstLineChars="200"/>
        <w:jc w:val="left"/>
        <w:rPr>
          <w:rFonts w:hint="eastAsia" w:ascii="微软雅黑" w:hAnsi="微软雅黑" w:eastAsia="微软雅黑" w:cs="微软雅黑"/>
          <w:b/>
          <w:bCs/>
          <w:kern w:val="2"/>
          <w:sz w:val="28"/>
          <w:szCs w:val="28"/>
          <w:lang w:val="en-US" w:eastAsia="zh-CN" w:bidi="ar-SA"/>
        </w:rPr>
      </w:pPr>
      <w:r>
        <w:rPr>
          <w:rFonts w:hint="eastAsia" w:ascii="微软雅黑" w:hAnsi="微软雅黑" w:eastAsia="微软雅黑" w:cs="微软雅黑"/>
          <w:b/>
          <w:bCs/>
          <w:kern w:val="2"/>
          <w:sz w:val="28"/>
          <w:szCs w:val="28"/>
          <w:lang w:val="en-US" w:eastAsia="zh-CN" w:bidi="ar-SA"/>
        </w:rPr>
        <w:t>五、供需端</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供给面近几年黄金矿产商们却一直没能发现大的金矿，许多大型矿企预计其未来几年的产量将出现下降，此外不少国家的产量会受到环保因素的影响。</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中国是世界上最大的黄金开采国，在2016年生产了453吨黄金</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在2017年，中国的产量下降了9个百分点</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，2018年</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如果黄金产量继续下降，全球需求的增长是必然的</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，总体而言，全球黄金矿产量即将迎来下跌，因为过去的矿藏已经慢慢开发殆尽，而新的矿藏则很少。</w:t>
      </w:r>
    </w:p>
    <w:p>
      <w:p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需求端主要是各国央行增持，</w:t>
      </w:r>
      <w:r>
        <w:rPr>
          <w:rFonts w:hint="eastAsia" w:ascii="微软雅黑" w:hAnsi="微软雅黑" w:eastAsia="微软雅黑" w:cs="微软雅黑"/>
          <w:kern w:val="2"/>
          <w:sz w:val="24"/>
          <w:szCs w:val="24"/>
          <w:lang w:val="en-US" w:eastAsia="zh-CN" w:bidi="ar-SA"/>
        </w:rPr>
        <w:t>印度方面发布的最新报告显示，该国央行在2017-18财年累计净增持了8.46吨黄金，至目前有573.1吨，这是自该国央行于2009年全球经济危机从IMF取回200吨存托黄金补充储备之后，首度增持黄金。今年9月波兰继续增持黄金，其黄金储备从4.4吨增加至117吨，达到35年来最高水平，匈牙利央行在10月份购买了28.4吨黄金，使其黄金储备从3.1吨猛增10倍至31.5吨。伊朗希望振兴黄金和铜矿，在美国再次实施制裁后，伊朗的黄金开采活动激增，世界黄金协会在其第二季度黄金需求趋势报告中表示，伊朗对金条和金币的需求同比增长200%，达到15.2公吨，这是四年多来的最高水平，黄金的需求端扩大。</w:t>
      </w:r>
    </w:p>
    <w:p>
      <w:p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不少新兴国家市场因资本外流出现大幅波动。面对挑战，</w:t>
      </w:r>
      <w:r>
        <w:rPr>
          <w:rFonts w:hint="default" w:ascii="微软雅黑" w:hAnsi="微软雅黑" w:eastAsia="微软雅黑" w:cs="微软雅黑"/>
          <w:kern w:val="2"/>
          <w:sz w:val="24"/>
          <w:szCs w:val="24"/>
          <w:lang w:val="en-US" w:eastAsia="zh-CN" w:bidi="ar-SA"/>
        </w:rPr>
        <w:t>多国央行纷纷选择增持黄金主要是为了应对金融风险对于本国货币体系的冲击。</w:t>
      </w:r>
      <w:r>
        <w:rPr>
          <w:rFonts w:hint="eastAsia" w:ascii="微软雅黑" w:hAnsi="微软雅黑" w:eastAsia="微软雅黑" w:cs="微软雅黑"/>
          <w:kern w:val="2"/>
          <w:sz w:val="24"/>
          <w:szCs w:val="24"/>
          <w:lang w:val="en-US" w:eastAsia="zh-CN" w:bidi="ar-SA"/>
        </w:rPr>
        <w:t>据世界黄金协会发布的最新《黄金需求趋势》报告显示，2018年第三季度全球央行采购黄金148吨，较去年同期增长22%，创下近三年新高。</w:t>
      </w:r>
      <w:r>
        <w:rPr>
          <w:rFonts w:hint="default" w:ascii="微软雅黑" w:hAnsi="微软雅黑" w:eastAsia="微软雅黑" w:cs="微软雅黑"/>
          <w:kern w:val="2"/>
          <w:sz w:val="24"/>
          <w:szCs w:val="24"/>
          <w:lang w:val="en-US" w:eastAsia="zh-CN" w:bidi="ar-SA"/>
        </w:rPr>
        <w:t>世界黄金协会预计，明年会有更多央行加入购买行列。</w:t>
      </w:r>
    </w:p>
    <w:p>
      <w:pPr>
        <w:numPr>
          <w:numId w:val="0"/>
        </w:numPr>
        <w:ind w:firstLine="560" w:firstLineChars="200"/>
        <w:rPr>
          <w:rFonts w:hint="eastAsia" w:ascii="微软雅黑" w:hAnsi="微软雅黑" w:eastAsia="微软雅黑" w:cs="微软雅黑"/>
          <w:b/>
          <w:bCs/>
          <w:kern w:val="2"/>
          <w:sz w:val="28"/>
          <w:szCs w:val="28"/>
          <w:lang w:val="en-US" w:eastAsia="zh-CN" w:bidi="ar-SA"/>
        </w:rPr>
      </w:pPr>
      <w:r>
        <w:rPr>
          <w:rFonts w:hint="eastAsia" w:ascii="微软雅黑" w:hAnsi="微软雅黑" w:eastAsia="微软雅黑" w:cs="微软雅黑"/>
          <w:b/>
          <w:bCs/>
          <w:kern w:val="2"/>
          <w:sz w:val="28"/>
          <w:szCs w:val="28"/>
          <w:lang w:val="en-US" w:eastAsia="zh-CN" w:bidi="ar-SA"/>
        </w:rPr>
        <w:t>六、后市行情研判</w:t>
      </w:r>
    </w:p>
    <w:p>
      <w:pPr>
        <w:ind w:firstLine="480" w:firstLineChars="200"/>
      </w:pPr>
      <w:r>
        <w:rPr>
          <w:rFonts w:hint="eastAsia" w:ascii="微软雅黑" w:hAnsi="微软雅黑" w:eastAsia="微软雅黑" w:cs="微软雅黑"/>
          <w:kern w:val="2"/>
          <w:sz w:val="24"/>
          <w:szCs w:val="24"/>
          <w:lang w:val="en-US" w:eastAsia="zh-CN" w:bidi="ar-SA"/>
        </w:rPr>
        <w:t>美联储刚刚在12月议息会议下调今明两年通胀预期，低油价也将制约物价水平进一步上升，随着美联储放慢加息步伐，美元走弱的可能性越来越大，这对金价而言是一大利好。</w:t>
      </w:r>
      <w:r>
        <w:rPr>
          <w:rFonts w:hint="default" w:ascii="微软雅黑" w:hAnsi="微软雅黑" w:eastAsia="微软雅黑" w:cs="微软雅黑"/>
          <w:kern w:val="2"/>
          <w:sz w:val="24"/>
          <w:szCs w:val="24"/>
          <w:lang w:val="en-US" w:eastAsia="zh-CN" w:bidi="ar-SA"/>
        </w:rPr>
        <w:t>各国央行增持黄金分散风险</w:t>
      </w:r>
      <w:r>
        <w:rPr>
          <w:rFonts w:hint="eastAsia" w:ascii="微软雅黑" w:hAnsi="微软雅黑" w:eastAsia="微软雅黑" w:cs="微软雅黑"/>
          <w:kern w:val="2"/>
          <w:sz w:val="24"/>
          <w:szCs w:val="24"/>
          <w:lang w:val="en-US" w:eastAsia="zh-CN" w:bidi="ar-SA"/>
        </w:rPr>
        <w:t>，受</w:t>
      </w:r>
      <w:r>
        <w:rPr>
          <w:rFonts w:hint="default" w:ascii="微软雅黑" w:hAnsi="微软雅黑" w:eastAsia="微软雅黑" w:cs="微软雅黑"/>
          <w:kern w:val="2"/>
          <w:sz w:val="24"/>
          <w:szCs w:val="24"/>
          <w:lang w:val="en-US" w:eastAsia="zh-CN" w:bidi="ar-SA"/>
        </w:rPr>
        <w:t>贸易摩擦升级和外债高企等多因素共同影响，不少新兴国家市场因资本外流出现大幅波动</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多国央行纷纷选择增持黄金为了应对金融风险对于本国货币体系的冲击。</w:t>
      </w:r>
    </w:p>
    <w:p>
      <w:pPr>
        <w:jc w:val="left"/>
      </w:pPr>
      <w:r>
        <w:rPr>
          <w:sz w:val="21"/>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2500630</wp:posOffset>
                </wp:positionV>
                <wp:extent cx="3438525" cy="323850"/>
                <wp:effectExtent l="6350" t="6350" r="22225" b="12700"/>
                <wp:wrapNone/>
                <wp:docPr id="9" name="圆角矩形 9"/>
                <wp:cNvGraphicFramePr/>
                <a:graphic xmlns:a="http://schemas.openxmlformats.org/drawingml/2006/main">
                  <a:graphicData uri="http://schemas.microsoft.com/office/word/2010/wordprocessingShape">
                    <wps:wsp>
                      <wps:cNvSpPr/>
                      <wps:spPr>
                        <a:xfrm>
                          <a:off x="1870710" y="9939655"/>
                          <a:ext cx="34385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bCs/>
                                <w:lang w:val="en-US" w:eastAsia="zh-CN"/>
                              </w:rPr>
                            </w:pPr>
                            <w:r>
                              <w:rPr>
                                <w:rFonts w:hint="eastAsia" w:ascii="黑体" w:hAnsi="黑体" w:eastAsia="黑体" w:cs="黑体"/>
                                <w:b/>
                                <w:bCs/>
                                <w:lang w:val="en-US" w:eastAsia="zh-CN"/>
                              </w:rPr>
                              <w:t>2018年道琼斯指数走势图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3.05pt;margin-top:196.9pt;height:25.5pt;width:270.75pt;z-index:251659264;v-text-anchor:middle;mso-width-relative:page;mso-height-relative:page;" fillcolor="#5B9BD5 [3204]" filled="t" stroked="t" coordsize="21600,21600" arcsize="0.166666666666667" o:gfxdata="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yat9l1wAAAAsB&#10;AAAPAAAAAAAAAAEAIAAAACIAAABkcnMvZG93bnJldi54bWxQSwECFAAUAAAACACHTuJA9yvzfY4C&#10;AADpBAAADgAAAAAAAAABACAAAAAmAQAAZHJzL2Uyb0RvYy54bWxQSwUGAAAAAAYABgBZAQAAJgYA&#10;AAAA&#10;">
                <v:fill on="t" focussize="0,0"/>
                <v:stroke weight="1pt" color="#41719C [3204]" miterlimit="8" joinstyle="miter"/>
                <v:imagedata o:title=""/>
                <o:lock v:ext="edit" aspectratio="f"/>
                <v:textbox>
                  <w:txbxContent>
                    <w:p>
                      <w:pPr>
                        <w:jc w:val="center"/>
                        <w:rPr>
                          <w:rFonts w:hint="eastAsia" w:ascii="黑体" w:hAnsi="黑体" w:eastAsia="黑体" w:cs="黑体"/>
                          <w:b/>
                          <w:bCs/>
                          <w:lang w:val="en-US" w:eastAsia="zh-CN"/>
                        </w:rPr>
                      </w:pPr>
                      <w:r>
                        <w:rPr>
                          <w:rFonts w:hint="eastAsia" w:ascii="黑体" w:hAnsi="黑体" w:eastAsia="黑体" w:cs="黑体"/>
                          <w:b/>
                          <w:bCs/>
                          <w:lang w:val="en-US" w:eastAsia="zh-CN"/>
                        </w:rPr>
                        <w:t>2018年道琼斯指数走势图</w:t>
                      </w:r>
                    </w:p>
                  </w:txbxContent>
                </v:textbox>
              </v:roundrect>
            </w:pict>
          </mc:Fallback>
        </mc:AlternateContent>
      </w:r>
      <w:r>
        <w:drawing>
          <wp:inline distT="0" distB="0" distL="114300" distR="114300">
            <wp:extent cx="5434330" cy="2797810"/>
            <wp:effectExtent l="0" t="0" r="139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434330" cy="2797810"/>
                    </a:xfrm>
                    <a:prstGeom prst="rect">
                      <a:avLst/>
                    </a:prstGeom>
                    <a:noFill/>
                    <a:ln w="9525">
                      <a:noFill/>
                    </a:ln>
                  </pic:spPr>
                </pic:pic>
              </a:graphicData>
            </a:graphic>
          </wp:inline>
        </w:drawing>
      </w:r>
    </w:p>
    <w:p>
      <w:pPr>
        <w:ind w:firstLine="480" w:firstLineChars="200"/>
        <w:jc w:val="left"/>
        <w:rPr>
          <w:rFonts w:hint="eastAsia" w:ascii="微软雅黑" w:hAnsi="微软雅黑" w:eastAsia="宋体"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2018年年末美股大跌，并创出1年新低，欧亚多国股市也跟随下跌，并连续刷新近期新低，当前全球股市逐步进入技术性熊市，市场风险偏好的下降正使得部分资金开始涌入黄金市场，美国政府关门、美国政府高官相继离职、欧洲以及中东地缘政治风险等等，这一系列的不确定性给黄金带来了利好，会提升市场对黄金的避险需求。机构纷纷看好金价，德国商业银行预测2019年底黄金价格将上涨至1350美元/盎司，高盛认为2018年底的金价已经极具吸引力，黄金作为避险资产的需求将急剧上升，预计2019年金价目标为1325美元/盎司。</w:t>
      </w: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盘面看黄金在8月--10月低位盘整，国庆节后破位上涨，11月开始回调，沪金下探60单位线后得到支撑，又开始震荡上行，12月突破前期新高，可能是一波黄金牛市行情的到来，本次上涨走势形态较完整，有低位盘整、有回踩60线确认，再次突破上涨，COMEX金可能上探1350--1400区间，沪金可能上行到300--320间。</w:t>
      </w: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ind w:firstLine="480" w:firstLineChars="200"/>
        <w:jc w:val="left"/>
        <w:rPr>
          <w:rFonts w:hint="default" w:ascii="微软雅黑" w:hAnsi="微软雅黑" w:eastAsia="微软雅黑" w:cs="微软雅黑"/>
          <w:b w:val="0"/>
          <w:i w:val="0"/>
          <w:caps w:val="0"/>
          <w:color w:val="000000"/>
          <w:spacing w:val="0"/>
          <w:kern w:val="0"/>
          <w:sz w:val="24"/>
          <w:szCs w:val="24"/>
          <w:shd w:val="clear" w:fill="FFFFFF"/>
          <w:lang w:val="en-US" w:eastAsia="zh-CN" w:bidi="ar"/>
        </w:rPr>
      </w:pPr>
    </w:p>
    <w:p>
      <w:pPr>
        <w:jc w:val="left"/>
        <w:rPr>
          <w:rFonts w:hint="eastAsia"/>
          <w:lang w:eastAsia="zh-CN"/>
        </w:rPr>
      </w:pPr>
    </w:p>
    <w:p>
      <w:pPr>
        <w:ind w:firstLine="420" w:firstLineChars="200"/>
        <w:jc w:val="left"/>
        <w:rPr>
          <w:rFonts w:hint="eastAsia"/>
          <w:lang w:eastAsia="zh-CN"/>
        </w:rPr>
      </w:pPr>
    </w:p>
    <w:p>
      <w:pPr>
        <w:ind w:firstLine="420" w:firstLineChars="200"/>
        <w:jc w:val="left"/>
        <w:rPr>
          <w:rFonts w:hint="eastAsia"/>
          <w:lang w:eastAsia="zh-CN"/>
        </w:rPr>
      </w:pPr>
    </w:p>
    <w:p>
      <w:pPr>
        <w:jc w:val="left"/>
        <w:rPr>
          <w:rFonts w:hint="eastAsia"/>
          <w:lang w:eastAsia="zh-CN"/>
        </w:rPr>
      </w:pPr>
    </w:p>
    <w:p>
      <w:pPr>
        <w:tabs>
          <w:tab w:val="left" w:pos="651"/>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ind w:firstLine="411"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B7A9"/>
    <w:multiLevelType w:val="singleLevel"/>
    <w:tmpl w:val="350CB7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13788"/>
    <w:rsid w:val="031205E5"/>
    <w:rsid w:val="031E186B"/>
    <w:rsid w:val="055F52D6"/>
    <w:rsid w:val="06FC02E1"/>
    <w:rsid w:val="06FF3895"/>
    <w:rsid w:val="07BF4FB3"/>
    <w:rsid w:val="09503B9D"/>
    <w:rsid w:val="0A504884"/>
    <w:rsid w:val="0B203507"/>
    <w:rsid w:val="0BF763B1"/>
    <w:rsid w:val="0C1B6FD8"/>
    <w:rsid w:val="0C816B86"/>
    <w:rsid w:val="0CD32953"/>
    <w:rsid w:val="0D7F2C3E"/>
    <w:rsid w:val="0E5D45FA"/>
    <w:rsid w:val="0EB77403"/>
    <w:rsid w:val="0FE14B9C"/>
    <w:rsid w:val="102F3C83"/>
    <w:rsid w:val="10CB0AC4"/>
    <w:rsid w:val="11240885"/>
    <w:rsid w:val="12F25D99"/>
    <w:rsid w:val="138C27B2"/>
    <w:rsid w:val="13AC4A32"/>
    <w:rsid w:val="13D1283F"/>
    <w:rsid w:val="14EB1F12"/>
    <w:rsid w:val="1502492E"/>
    <w:rsid w:val="15495CB4"/>
    <w:rsid w:val="16092889"/>
    <w:rsid w:val="16B9513C"/>
    <w:rsid w:val="16DE7E06"/>
    <w:rsid w:val="18C349D6"/>
    <w:rsid w:val="193D1A41"/>
    <w:rsid w:val="1958286E"/>
    <w:rsid w:val="19B51347"/>
    <w:rsid w:val="1D7674D2"/>
    <w:rsid w:val="1FC10F2B"/>
    <w:rsid w:val="209B47C2"/>
    <w:rsid w:val="20E7026D"/>
    <w:rsid w:val="20F0144B"/>
    <w:rsid w:val="20FC1944"/>
    <w:rsid w:val="216452AF"/>
    <w:rsid w:val="219E5224"/>
    <w:rsid w:val="23162CF1"/>
    <w:rsid w:val="23613452"/>
    <w:rsid w:val="24825CFB"/>
    <w:rsid w:val="24A22183"/>
    <w:rsid w:val="24C56823"/>
    <w:rsid w:val="254E4733"/>
    <w:rsid w:val="25BC38B1"/>
    <w:rsid w:val="25F421E9"/>
    <w:rsid w:val="261B446E"/>
    <w:rsid w:val="271E3CCA"/>
    <w:rsid w:val="27F36C68"/>
    <w:rsid w:val="29DD1C3B"/>
    <w:rsid w:val="2AD840C1"/>
    <w:rsid w:val="2B492D64"/>
    <w:rsid w:val="2C2E56BB"/>
    <w:rsid w:val="2C5C78CE"/>
    <w:rsid w:val="2D072539"/>
    <w:rsid w:val="2EE43750"/>
    <w:rsid w:val="2FF1309E"/>
    <w:rsid w:val="315B460B"/>
    <w:rsid w:val="317908DF"/>
    <w:rsid w:val="31FE1048"/>
    <w:rsid w:val="325A4E2F"/>
    <w:rsid w:val="325C5AA1"/>
    <w:rsid w:val="32925739"/>
    <w:rsid w:val="333E63D9"/>
    <w:rsid w:val="34096F76"/>
    <w:rsid w:val="347743A4"/>
    <w:rsid w:val="348321FB"/>
    <w:rsid w:val="34EE6176"/>
    <w:rsid w:val="355C4E52"/>
    <w:rsid w:val="35EB484B"/>
    <w:rsid w:val="369307FE"/>
    <w:rsid w:val="37226360"/>
    <w:rsid w:val="38F05D01"/>
    <w:rsid w:val="39AC5B96"/>
    <w:rsid w:val="3A6A0A00"/>
    <w:rsid w:val="3A721E3A"/>
    <w:rsid w:val="3AC373D1"/>
    <w:rsid w:val="3B260D96"/>
    <w:rsid w:val="3CFD56E0"/>
    <w:rsid w:val="3DB57808"/>
    <w:rsid w:val="3ECF0F7F"/>
    <w:rsid w:val="3EE422C1"/>
    <w:rsid w:val="3F446A9D"/>
    <w:rsid w:val="407A648F"/>
    <w:rsid w:val="409C0F31"/>
    <w:rsid w:val="43C147BC"/>
    <w:rsid w:val="4495617A"/>
    <w:rsid w:val="465959FA"/>
    <w:rsid w:val="466E42B6"/>
    <w:rsid w:val="47283F90"/>
    <w:rsid w:val="480C04FB"/>
    <w:rsid w:val="48123059"/>
    <w:rsid w:val="505A33F4"/>
    <w:rsid w:val="50DA76C3"/>
    <w:rsid w:val="514F6B19"/>
    <w:rsid w:val="52032DBA"/>
    <w:rsid w:val="524E5BBF"/>
    <w:rsid w:val="5396443C"/>
    <w:rsid w:val="54FB02EE"/>
    <w:rsid w:val="56E80AC5"/>
    <w:rsid w:val="573A4A70"/>
    <w:rsid w:val="5B537A82"/>
    <w:rsid w:val="5B722640"/>
    <w:rsid w:val="5B987ED2"/>
    <w:rsid w:val="5C3E5C7C"/>
    <w:rsid w:val="5CB11A31"/>
    <w:rsid w:val="5CB94775"/>
    <w:rsid w:val="5CFD77DC"/>
    <w:rsid w:val="5DC62481"/>
    <w:rsid w:val="5EA401F1"/>
    <w:rsid w:val="5EF27171"/>
    <w:rsid w:val="5F940D3D"/>
    <w:rsid w:val="60344D79"/>
    <w:rsid w:val="617D4A8A"/>
    <w:rsid w:val="61AF5D84"/>
    <w:rsid w:val="61FB636F"/>
    <w:rsid w:val="61FC6000"/>
    <w:rsid w:val="642007B5"/>
    <w:rsid w:val="643C626A"/>
    <w:rsid w:val="648A7AE3"/>
    <w:rsid w:val="677C3C1E"/>
    <w:rsid w:val="67AB2268"/>
    <w:rsid w:val="681005B2"/>
    <w:rsid w:val="69117F79"/>
    <w:rsid w:val="69451A0A"/>
    <w:rsid w:val="69637BE8"/>
    <w:rsid w:val="6975048A"/>
    <w:rsid w:val="6A50610F"/>
    <w:rsid w:val="6B0D25ED"/>
    <w:rsid w:val="6B570681"/>
    <w:rsid w:val="6CEF05A4"/>
    <w:rsid w:val="6DE04EE2"/>
    <w:rsid w:val="6DE8351E"/>
    <w:rsid w:val="6E3D3445"/>
    <w:rsid w:val="6EBA7830"/>
    <w:rsid w:val="6EDD506A"/>
    <w:rsid w:val="711C49A4"/>
    <w:rsid w:val="71D50A28"/>
    <w:rsid w:val="7229779B"/>
    <w:rsid w:val="722F6391"/>
    <w:rsid w:val="74573CA0"/>
    <w:rsid w:val="758E3079"/>
    <w:rsid w:val="76E038B8"/>
    <w:rsid w:val="77703409"/>
    <w:rsid w:val="779C7CFD"/>
    <w:rsid w:val="784029F4"/>
    <w:rsid w:val="786C2D56"/>
    <w:rsid w:val="797967B2"/>
    <w:rsid w:val="79926DA4"/>
    <w:rsid w:val="7999429E"/>
    <w:rsid w:val="79BA72FD"/>
    <w:rsid w:val="7A1F1418"/>
    <w:rsid w:val="7A2B7418"/>
    <w:rsid w:val="7B09308F"/>
    <w:rsid w:val="7B2B3B4C"/>
    <w:rsid w:val="7D9C2884"/>
    <w:rsid w:val="7DAD6F6F"/>
    <w:rsid w:val="7DDC14A6"/>
    <w:rsid w:val="7EBD3DC4"/>
    <w:rsid w:val="7F57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7.%2012.15&#30041;&#20179;&#35266;&#28857;.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7.%2012.15&#30041;&#20179;&#35266;&#28857;.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7.%2012.15&#30041;&#20179;&#35266;&#2885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7.%2012.15&#30041;&#20179;&#35266;&#28857;.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7.%2012.15&#30041;&#20179;&#35266;&#2885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'[2017. 12.15留仓观点.xls]Sheet4'!$F$8</c:f>
              <c:strCache>
                <c:ptCount val="1"/>
                <c:pt idx="0">
                  <c:v>美国GDP增长率</c:v>
                </c:pt>
              </c:strCache>
            </c:strRef>
          </c:tx>
          <c:spPr>
            <a:ln w="28575" cap="rnd">
              <a:solidFill>
                <a:schemeClr val="accent1"/>
              </a:solidFill>
              <a:round/>
            </a:ln>
            <a:effectLst/>
          </c:spPr>
          <c:marker>
            <c:symbol val="none"/>
          </c:marker>
          <c:dLbls>
            <c:delete val="1"/>
          </c:dLbls>
          <c:cat>
            <c:numRef>
              <c:f>'[2017. 12.15留仓观点.xls]Sheet4'!$E$9:$E$23</c:f>
              <c:numCache>
                <c:formatCode>yyyy"年"m"月"</c:formatCode>
                <c:ptCount val="15"/>
                <c:pt idx="0" c:formatCode="yyyy&quot;年&quot;m&quot;月&quot;">
                  <c:v>42064</c:v>
                </c:pt>
                <c:pt idx="1" c:formatCode="yyyy&quot;年&quot;m&quot;月&quot;">
                  <c:v>42156</c:v>
                </c:pt>
                <c:pt idx="2" c:formatCode="yyyy&quot;年&quot;m&quot;月&quot;">
                  <c:v>42248</c:v>
                </c:pt>
                <c:pt idx="3" c:formatCode="yyyy&quot;年&quot;m&quot;月&quot;">
                  <c:v>42339</c:v>
                </c:pt>
                <c:pt idx="4" c:formatCode="yyyy&quot;年&quot;m&quot;月&quot;">
                  <c:v>42430</c:v>
                </c:pt>
                <c:pt idx="5" c:formatCode="yyyy&quot;年&quot;m&quot;月&quot;">
                  <c:v>42522</c:v>
                </c:pt>
                <c:pt idx="6" c:formatCode="yyyy&quot;年&quot;m&quot;月&quot;">
                  <c:v>42614</c:v>
                </c:pt>
                <c:pt idx="7" c:formatCode="yyyy&quot;年&quot;m&quot;月&quot;">
                  <c:v>42705</c:v>
                </c:pt>
                <c:pt idx="8" c:formatCode="yyyy&quot;年&quot;m&quot;月&quot;">
                  <c:v>42795</c:v>
                </c:pt>
                <c:pt idx="9" c:formatCode="yyyy&quot;年&quot;m&quot;月&quot;">
                  <c:v>42887</c:v>
                </c:pt>
                <c:pt idx="10" c:formatCode="yyyy&quot;年&quot;m&quot;月&quot;">
                  <c:v>42979</c:v>
                </c:pt>
                <c:pt idx="11" c:formatCode="yyyy&quot;年&quot;m&quot;月&quot;">
                  <c:v>43070</c:v>
                </c:pt>
                <c:pt idx="12" c:formatCode="yyyy&quot;年&quot;m&quot;月&quot;">
                  <c:v>43160</c:v>
                </c:pt>
                <c:pt idx="13" c:formatCode="yyyy&quot;年&quot;m&quot;月&quot;">
                  <c:v>43252</c:v>
                </c:pt>
                <c:pt idx="14" c:formatCode="yyyy&quot;年&quot;m&quot;月&quot;">
                  <c:v>43344</c:v>
                </c:pt>
              </c:numCache>
            </c:numRef>
          </c:cat>
          <c:val>
            <c:numRef>
              <c:f>'[2017. 12.15留仓观点.xls]Sheet4'!$F$9:$F$23</c:f>
              <c:numCache>
                <c:formatCode>0.00%</c:formatCode>
                <c:ptCount val="15"/>
                <c:pt idx="0">
                  <c:v>0.033</c:v>
                </c:pt>
                <c:pt idx="1">
                  <c:v>0.033</c:v>
                </c:pt>
                <c:pt idx="2">
                  <c:v>0.01</c:v>
                </c:pt>
                <c:pt idx="3">
                  <c:v>0.004</c:v>
                </c:pt>
                <c:pt idx="4">
                  <c:v>0.015</c:v>
                </c:pt>
                <c:pt idx="5">
                  <c:v>0.023</c:v>
                </c:pt>
                <c:pt idx="6">
                  <c:v>0.019</c:v>
                </c:pt>
                <c:pt idx="7">
                  <c:v>0.018</c:v>
                </c:pt>
                <c:pt idx="8">
                  <c:v>0.018</c:v>
                </c:pt>
                <c:pt idx="9">
                  <c:v>0.03</c:v>
                </c:pt>
                <c:pt idx="10">
                  <c:v>0.028</c:v>
                </c:pt>
                <c:pt idx="11">
                  <c:v>0.023</c:v>
                </c:pt>
                <c:pt idx="12">
                  <c:v>0.022</c:v>
                </c:pt>
                <c:pt idx="13">
                  <c:v>0.042</c:v>
                </c:pt>
                <c:pt idx="14">
                  <c:v>0.035</c:v>
                </c:pt>
              </c:numCache>
            </c:numRef>
          </c:val>
          <c:smooth val="0"/>
        </c:ser>
        <c:dLbls>
          <c:showLegendKey val="0"/>
          <c:showVal val="0"/>
          <c:showCatName val="0"/>
          <c:showSerName val="0"/>
          <c:showPercent val="0"/>
          <c:showBubbleSize val="0"/>
        </c:dLbls>
        <c:marker val="0"/>
        <c:smooth val="0"/>
        <c:axId val="461536731"/>
        <c:axId val="900690538"/>
      </c:lineChart>
      <c:dateAx>
        <c:axId val="46153673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690538"/>
        <c:crosses val="autoZero"/>
        <c:auto val="1"/>
        <c:lblOffset val="100"/>
        <c:baseTimeUnit val="months"/>
        <c:majorUnit val="3"/>
        <c:majorTimeUnit val="months"/>
      </c:dateAx>
      <c:valAx>
        <c:axId val="9006905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5367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非农就业人数    </a:t>
            </a:r>
            <a:r>
              <a:rPr sz="900" b="1"/>
              <a:t>单位：万</a:t>
            </a:r>
            <a:endParaRPr sz="900" b="1"/>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'[2017. 12.15留仓观点.xls]Sheet4'!$G$49</c:f>
              <c:strCache>
                <c:ptCount val="1"/>
                <c:pt idx="0">
                  <c:v>非农就业人数</c:v>
                </c:pt>
              </c:strCache>
            </c:strRef>
          </c:tx>
          <c:spPr>
            <a:solidFill>
              <a:schemeClr val="accent1"/>
            </a:solidFill>
            <a:ln>
              <a:noFill/>
            </a:ln>
            <a:effectLst/>
          </c:spPr>
          <c:invertIfNegative val="0"/>
          <c:dLbls>
            <c:delete val="1"/>
          </c:dLbls>
          <c:cat>
            <c:numRef>
              <c:f>'[2017. 12.15留仓观点.xls]Sheet4'!$F$50:$F$60</c:f>
              <c:numCache>
                <c:formatCode>yyyy"年"m"月"</c:formatCode>
                <c:ptCount val="11"/>
                <c:pt idx="0" c:formatCode="yyyy&quot;年&quot;m&quot;月&quot;">
                  <c:v>43405</c:v>
                </c:pt>
                <c:pt idx="1" c:formatCode="yyyy&quot;年&quot;m&quot;月&quot;">
                  <c:v>43374</c:v>
                </c:pt>
                <c:pt idx="2" c:formatCode="yyyy&quot;年&quot;m&quot;月&quot;">
                  <c:v>43344</c:v>
                </c:pt>
                <c:pt idx="3" c:formatCode="yyyy&quot;年&quot;m&quot;月&quot;">
                  <c:v>43313</c:v>
                </c:pt>
                <c:pt idx="4" c:formatCode="yyyy&quot;年&quot;m&quot;月&quot;">
                  <c:v>43282</c:v>
                </c:pt>
                <c:pt idx="5" c:formatCode="yyyy&quot;年&quot;m&quot;月&quot;">
                  <c:v>43252</c:v>
                </c:pt>
                <c:pt idx="6" c:formatCode="yyyy&quot;年&quot;m&quot;月&quot;">
                  <c:v>43221</c:v>
                </c:pt>
                <c:pt idx="7" c:formatCode="yyyy&quot;年&quot;m&quot;月&quot;">
                  <c:v>43191</c:v>
                </c:pt>
                <c:pt idx="8" c:formatCode="yyyy&quot;年&quot;m&quot;月&quot;">
                  <c:v>43160</c:v>
                </c:pt>
                <c:pt idx="9" c:formatCode="yyyy&quot;年&quot;m&quot;月&quot;">
                  <c:v>43132</c:v>
                </c:pt>
                <c:pt idx="10" c:formatCode="yyyy&quot;年&quot;m&quot;月&quot;">
                  <c:v>43101</c:v>
                </c:pt>
              </c:numCache>
            </c:numRef>
          </c:cat>
          <c:val>
            <c:numRef>
              <c:f>'[2017. 12.15留仓观点.xls]Sheet4'!$G$50:$G$60</c:f>
              <c:numCache>
                <c:formatCode>General</c:formatCode>
                <c:ptCount val="11"/>
                <c:pt idx="0">
                  <c:v>15.5</c:v>
                </c:pt>
                <c:pt idx="1">
                  <c:v>23.7</c:v>
                </c:pt>
                <c:pt idx="2">
                  <c:v>11.9</c:v>
                </c:pt>
                <c:pt idx="3">
                  <c:v>28.6</c:v>
                </c:pt>
                <c:pt idx="4">
                  <c:v>16.5</c:v>
                </c:pt>
                <c:pt idx="5">
                  <c:v>20.8</c:v>
                </c:pt>
                <c:pt idx="6">
                  <c:v>26.8</c:v>
                </c:pt>
                <c:pt idx="7">
                  <c:v>17.5</c:v>
                </c:pt>
                <c:pt idx="8">
                  <c:v>15.5</c:v>
                </c:pt>
                <c:pt idx="9">
                  <c:v>32.4</c:v>
                </c:pt>
                <c:pt idx="10">
                  <c:v>17.6</c:v>
                </c:pt>
              </c:numCache>
            </c:numRef>
          </c:val>
        </c:ser>
        <c:dLbls>
          <c:showLegendKey val="0"/>
          <c:showVal val="0"/>
          <c:showCatName val="0"/>
          <c:showSerName val="0"/>
          <c:showPercent val="0"/>
          <c:showBubbleSize val="0"/>
        </c:dLbls>
        <c:gapWidth val="219"/>
        <c:overlap val="-27"/>
        <c:axId val="350830202"/>
        <c:axId val="529126062"/>
      </c:barChart>
      <c:dateAx>
        <c:axId val="35083020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126062"/>
        <c:crosses val="autoZero"/>
        <c:auto val="1"/>
        <c:lblOffset val="100"/>
        <c:baseTimeUnit val="months"/>
      </c:dateAx>
      <c:valAx>
        <c:axId val="5291260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830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近几年失业率</a:t>
            </a:r>
          </a:p>
        </c:rich>
      </c:tx>
      <c:layout/>
      <c:overlay val="0"/>
      <c:spPr>
        <a:noFill/>
        <a:ln>
          <a:noFill/>
        </a:ln>
        <a:effectLst/>
      </c:spPr>
    </c:title>
    <c:autoTitleDeleted val="0"/>
    <c:plotArea>
      <c:layout/>
      <c:lineChart>
        <c:grouping val="standard"/>
        <c:varyColors val="0"/>
        <c:ser>
          <c:idx val="0"/>
          <c:order val="0"/>
          <c:tx>
            <c:strRef>
              <c:f>'[2017. 12.15留仓观点.xls]Sheet4'!$D$64</c:f>
              <c:strCache>
                <c:ptCount val="1"/>
                <c:pt idx="0">
                  <c:v>失业率</c:v>
                </c:pt>
              </c:strCache>
            </c:strRef>
          </c:tx>
          <c:spPr>
            <a:ln w="28575" cap="rnd">
              <a:solidFill>
                <a:schemeClr val="accent1"/>
              </a:solidFill>
              <a:round/>
            </a:ln>
            <a:effectLst/>
          </c:spPr>
          <c:marker>
            <c:symbol val="none"/>
          </c:marker>
          <c:dLbls>
            <c:delete val="1"/>
          </c:dLbls>
          <c:cat>
            <c:numRef>
              <c:f>'[2017. 12.15留仓观点.xls]Sheet4'!$C$65:$C$143</c:f>
              <c:numCache>
                <c:formatCode>yyyy"年"m"月"</c:formatCode>
                <c:ptCount val="79"/>
                <c:pt idx="0" c:formatCode="yyyy&quot;年&quot;m&quot;月&quot;">
                  <c:v>43405</c:v>
                </c:pt>
                <c:pt idx="1" c:formatCode="yyyy&quot;年&quot;m&quot;月&quot;">
                  <c:v>43374</c:v>
                </c:pt>
                <c:pt idx="2" c:formatCode="yyyy&quot;年&quot;m&quot;月&quot;">
                  <c:v>43344</c:v>
                </c:pt>
                <c:pt idx="3" c:formatCode="yyyy&quot;年&quot;m&quot;月&quot;">
                  <c:v>43313</c:v>
                </c:pt>
                <c:pt idx="4" c:formatCode="yyyy&quot;年&quot;m&quot;月&quot;">
                  <c:v>43282</c:v>
                </c:pt>
                <c:pt idx="5" c:formatCode="yyyy&quot;年&quot;m&quot;月&quot;">
                  <c:v>43252</c:v>
                </c:pt>
                <c:pt idx="6" c:formatCode="yyyy&quot;年&quot;m&quot;月&quot;">
                  <c:v>43221</c:v>
                </c:pt>
                <c:pt idx="7" c:formatCode="yyyy&quot;年&quot;m&quot;月&quot;">
                  <c:v>43191</c:v>
                </c:pt>
                <c:pt idx="8" c:formatCode="yyyy&quot;年&quot;m&quot;月&quot;">
                  <c:v>43160</c:v>
                </c:pt>
                <c:pt idx="9" c:formatCode="yyyy&quot;年&quot;m&quot;月&quot;">
                  <c:v>43132</c:v>
                </c:pt>
                <c:pt idx="10" c:formatCode="yyyy&quot;年&quot;m&quot;月&quot;">
                  <c:v>43101</c:v>
                </c:pt>
                <c:pt idx="11" c:formatCode="yyyy&quot;年&quot;m&quot;月&quot;">
                  <c:v>43070</c:v>
                </c:pt>
                <c:pt idx="12" c:formatCode="yyyy&quot;年&quot;m&quot;月&quot;">
                  <c:v>43040</c:v>
                </c:pt>
                <c:pt idx="13" c:formatCode="yyyy&quot;年&quot;m&quot;月&quot;">
                  <c:v>43009</c:v>
                </c:pt>
                <c:pt idx="14" c:formatCode="yyyy&quot;年&quot;m&quot;月&quot;">
                  <c:v>42979</c:v>
                </c:pt>
                <c:pt idx="15" c:formatCode="yyyy&quot;年&quot;m&quot;月&quot;">
                  <c:v>42948</c:v>
                </c:pt>
                <c:pt idx="16" c:formatCode="yyyy&quot;年&quot;m&quot;月&quot;">
                  <c:v>42917</c:v>
                </c:pt>
                <c:pt idx="17" c:formatCode="yyyy&quot;年&quot;m&quot;月&quot;">
                  <c:v>42887</c:v>
                </c:pt>
                <c:pt idx="18" c:formatCode="yyyy&quot;年&quot;m&quot;月&quot;">
                  <c:v>42856</c:v>
                </c:pt>
                <c:pt idx="19" c:formatCode="yyyy&quot;年&quot;m&quot;月&quot;">
                  <c:v>42826</c:v>
                </c:pt>
                <c:pt idx="20" c:formatCode="yyyy&quot;年&quot;m&quot;月&quot;">
                  <c:v>42795</c:v>
                </c:pt>
                <c:pt idx="21" c:formatCode="yyyy&quot;年&quot;m&quot;月&quot;">
                  <c:v>42767</c:v>
                </c:pt>
                <c:pt idx="22" c:formatCode="yyyy&quot;年&quot;m&quot;月&quot;">
                  <c:v>42736</c:v>
                </c:pt>
                <c:pt idx="23" c:formatCode="yyyy&quot;年&quot;m&quot;月&quot;">
                  <c:v>42705</c:v>
                </c:pt>
                <c:pt idx="24" c:formatCode="yyyy&quot;年&quot;m&quot;月&quot;">
                  <c:v>42675</c:v>
                </c:pt>
                <c:pt idx="25" c:formatCode="yyyy&quot;年&quot;m&quot;月&quot;">
                  <c:v>42644</c:v>
                </c:pt>
                <c:pt idx="26" c:formatCode="yyyy&quot;年&quot;m&quot;月&quot;">
                  <c:v>42614</c:v>
                </c:pt>
                <c:pt idx="27" c:formatCode="yyyy&quot;年&quot;m&quot;月&quot;">
                  <c:v>42583</c:v>
                </c:pt>
                <c:pt idx="28" c:formatCode="yyyy&quot;年&quot;m&quot;月&quot;">
                  <c:v>42552</c:v>
                </c:pt>
                <c:pt idx="29" c:formatCode="yyyy&quot;年&quot;m&quot;月&quot;">
                  <c:v>42522</c:v>
                </c:pt>
                <c:pt idx="30" c:formatCode="yyyy&quot;年&quot;m&quot;月&quot;">
                  <c:v>42491</c:v>
                </c:pt>
                <c:pt idx="31" c:formatCode="yyyy&quot;年&quot;m&quot;月&quot;">
                  <c:v>42461</c:v>
                </c:pt>
                <c:pt idx="32" c:formatCode="yyyy&quot;年&quot;m&quot;月&quot;">
                  <c:v>42430</c:v>
                </c:pt>
                <c:pt idx="33" c:formatCode="yyyy&quot;年&quot;m&quot;月&quot;">
                  <c:v>42401</c:v>
                </c:pt>
                <c:pt idx="34" c:formatCode="yyyy&quot;年&quot;m&quot;月&quot;">
                  <c:v>42370</c:v>
                </c:pt>
                <c:pt idx="35" c:formatCode="yyyy&quot;年&quot;m&quot;月&quot;">
                  <c:v>42339</c:v>
                </c:pt>
                <c:pt idx="36" c:formatCode="yyyy&quot;年&quot;m&quot;月&quot;">
                  <c:v>42309</c:v>
                </c:pt>
                <c:pt idx="37" c:formatCode="yyyy&quot;年&quot;m&quot;月&quot;">
                  <c:v>42278</c:v>
                </c:pt>
                <c:pt idx="38" c:formatCode="yyyy&quot;年&quot;m&quot;月&quot;">
                  <c:v>42248</c:v>
                </c:pt>
                <c:pt idx="39" c:formatCode="yyyy&quot;年&quot;m&quot;月&quot;">
                  <c:v>42217</c:v>
                </c:pt>
                <c:pt idx="40" c:formatCode="yyyy&quot;年&quot;m&quot;月&quot;">
                  <c:v>42186</c:v>
                </c:pt>
                <c:pt idx="41" c:formatCode="yyyy&quot;年&quot;m&quot;月&quot;">
                  <c:v>42156</c:v>
                </c:pt>
                <c:pt idx="42" c:formatCode="yyyy&quot;年&quot;m&quot;月&quot;">
                  <c:v>42125</c:v>
                </c:pt>
                <c:pt idx="43" c:formatCode="yyyy&quot;年&quot;m&quot;月&quot;">
                  <c:v>42095</c:v>
                </c:pt>
                <c:pt idx="44" c:formatCode="yyyy&quot;年&quot;m&quot;月&quot;">
                  <c:v>42064</c:v>
                </c:pt>
                <c:pt idx="45" c:formatCode="yyyy&quot;年&quot;m&quot;月&quot;">
                  <c:v>42036</c:v>
                </c:pt>
                <c:pt idx="46" c:formatCode="yyyy&quot;年&quot;m&quot;月&quot;">
                  <c:v>42005</c:v>
                </c:pt>
                <c:pt idx="47" c:formatCode="yyyy&quot;年&quot;m&quot;月&quot;">
                  <c:v>41974</c:v>
                </c:pt>
                <c:pt idx="48" c:formatCode="yyyy&quot;年&quot;m&quot;月&quot;">
                  <c:v>41944</c:v>
                </c:pt>
                <c:pt idx="49" c:formatCode="yyyy&quot;年&quot;m&quot;月&quot;">
                  <c:v>41913</c:v>
                </c:pt>
                <c:pt idx="50" c:formatCode="yyyy&quot;年&quot;m&quot;月&quot;">
                  <c:v>41883</c:v>
                </c:pt>
                <c:pt idx="51" c:formatCode="yyyy&quot;年&quot;m&quot;月&quot;">
                  <c:v>41852</c:v>
                </c:pt>
                <c:pt idx="52" c:formatCode="yyyy&quot;年&quot;m&quot;月&quot;">
                  <c:v>41821</c:v>
                </c:pt>
                <c:pt idx="53" c:formatCode="yyyy&quot;年&quot;m&quot;月&quot;">
                  <c:v>41791</c:v>
                </c:pt>
                <c:pt idx="54" c:formatCode="yyyy&quot;年&quot;m&quot;月&quot;">
                  <c:v>41760</c:v>
                </c:pt>
                <c:pt idx="55" c:formatCode="yyyy&quot;年&quot;m&quot;月&quot;">
                  <c:v>41730</c:v>
                </c:pt>
                <c:pt idx="56" c:formatCode="yyyy&quot;年&quot;m&quot;月&quot;">
                  <c:v>41699</c:v>
                </c:pt>
                <c:pt idx="57" c:formatCode="yyyy&quot;年&quot;m&quot;月&quot;">
                  <c:v>41671</c:v>
                </c:pt>
                <c:pt idx="58" c:formatCode="yyyy&quot;年&quot;m&quot;月&quot;">
                  <c:v>41640</c:v>
                </c:pt>
                <c:pt idx="59" c:formatCode="yyyy&quot;年&quot;m&quot;月&quot;">
                  <c:v>41609</c:v>
                </c:pt>
                <c:pt idx="60" c:formatCode="yyyy&quot;年&quot;m&quot;月&quot;">
                  <c:v>41579</c:v>
                </c:pt>
                <c:pt idx="61" c:formatCode="yyyy&quot;年&quot;m&quot;月&quot;">
                  <c:v>41548</c:v>
                </c:pt>
                <c:pt idx="62" c:formatCode="yyyy&quot;年&quot;m&quot;月&quot;">
                  <c:v>41518</c:v>
                </c:pt>
                <c:pt idx="63" c:formatCode="yyyy&quot;年&quot;m&quot;月&quot;">
                  <c:v>41487</c:v>
                </c:pt>
                <c:pt idx="64" c:formatCode="yyyy&quot;年&quot;m&quot;月&quot;">
                  <c:v>41456</c:v>
                </c:pt>
                <c:pt idx="65" c:formatCode="yyyy&quot;年&quot;m&quot;月&quot;">
                  <c:v>41426</c:v>
                </c:pt>
                <c:pt idx="66" c:formatCode="yyyy&quot;年&quot;m&quot;月&quot;">
                  <c:v>41395</c:v>
                </c:pt>
                <c:pt idx="67" c:formatCode="yyyy&quot;年&quot;m&quot;月&quot;">
                  <c:v>41365</c:v>
                </c:pt>
                <c:pt idx="68" c:formatCode="yyyy&quot;年&quot;m&quot;月&quot;">
                  <c:v>41334</c:v>
                </c:pt>
                <c:pt idx="69" c:formatCode="yyyy&quot;年&quot;m&quot;月&quot;">
                  <c:v>41306</c:v>
                </c:pt>
                <c:pt idx="70" c:formatCode="yyyy&quot;年&quot;m&quot;月&quot;">
                  <c:v>41275</c:v>
                </c:pt>
                <c:pt idx="71" c:formatCode="yyyy&quot;年&quot;m&quot;月&quot;">
                  <c:v>41244</c:v>
                </c:pt>
                <c:pt idx="72" c:formatCode="yyyy&quot;年&quot;m&quot;月&quot;">
                  <c:v>41214</c:v>
                </c:pt>
                <c:pt idx="73" c:formatCode="yyyy&quot;年&quot;m&quot;月&quot;">
                  <c:v>41183</c:v>
                </c:pt>
                <c:pt idx="74" c:formatCode="yyyy&quot;年&quot;m&quot;月&quot;">
                  <c:v>41153</c:v>
                </c:pt>
                <c:pt idx="75" c:formatCode="yyyy&quot;年&quot;m&quot;月&quot;">
                  <c:v>41122</c:v>
                </c:pt>
                <c:pt idx="76" c:formatCode="yyyy&quot;年&quot;m&quot;月&quot;">
                  <c:v>41091</c:v>
                </c:pt>
                <c:pt idx="77" c:formatCode="yyyy&quot;年&quot;m&quot;月&quot;">
                  <c:v>41061</c:v>
                </c:pt>
                <c:pt idx="78" c:formatCode="yyyy&quot;年&quot;m&quot;月&quot;">
                  <c:v>41030</c:v>
                </c:pt>
              </c:numCache>
            </c:numRef>
          </c:cat>
          <c:val>
            <c:numRef>
              <c:f>'[2017. 12.15留仓观点.xls]Sheet4'!$D$65:$D$143</c:f>
              <c:numCache>
                <c:formatCode>0.00%</c:formatCode>
                <c:ptCount val="79"/>
                <c:pt idx="0">
                  <c:v>0.037</c:v>
                </c:pt>
                <c:pt idx="1">
                  <c:v>0.037</c:v>
                </c:pt>
                <c:pt idx="2">
                  <c:v>0.037</c:v>
                </c:pt>
                <c:pt idx="3">
                  <c:v>0.039</c:v>
                </c:pt>
                <c:pt idx="4">
                  <c:v>0.039</c:v>
                </c:pt>
                <c:pt idx="5">
                  <c:v>0.04</c:v>
                </c:pt>
                <c:pt idx="6">
                  <c:v>0.038</c:v>
                </c:pt>
                <c:pt idx="7">
                  <c:v>0.039</c:v>
                </c:pt>
                <c:pt idx="8">
                  <c:v>0.041</c:v>
                </c:pt>
                <c:pt idx="9">
                  <c:v>0.041</c:v>
                </c:pt>
                <c:pt idx="10">
                  <c:v>0.041</c:v>
                </c:pt>
                <c:pt idx="11">
                  <c:v>0.041</c:v>
                </c:pt>
                <c:pt idx="12">
                  <c:v>0.041</c:v>
                </c:pt>
                <c:pt idx="13">
                  <c:v>0.041</c:v>
                </c:pt>
                <c:pt idx="14">
                  <c:v>0.042</c:v>
                </c:pt>
                <c:pt idx="15">
                  <c:v>0.044</c:v>
                </c:pt>
                <c:pt idx="16">
                  <c:v>0.043</c:v>
                </c:pt>
                <c:pt idx="17">
                  <c:v>0.044</c:v>
                </c:pt>
                <c:pt idx="18">
                  <c:v>0.043</c:v>
                </c:pt>
                <c:pt idx="19">
                  <c:v>0.044</c:v>
                </c:pt>
                <c:pt idx="20">
                  <c:v>0.045</c:v>
                </c:pt>
                <c:pt idx="21">
                  <c:v>0.047</c:v>
                </c:pt>
                <c:pt idx="22">
                  <c:v>0.048</c:v>
                </c:pt>
                <c:pt idx="23">
                  <c:v>0.047</c:v>
                </c:pt>
                <c:pt idx="24">
                  <c:v>0.046</c:v>
                </c:pt>
                <c:pt idx="25">
                  <c:v>0.048</c:v>
                </c:pt>
                <c:pt idx="26">
                  <c:v>0.05</c:v>
                </c:pt>
                <c:pt idx="27">
                  <c:v>0.049</c:v>
                </c:pt>
                <c:pt idx="28">
                  <c:v>0.049</c:v>
                </c:pt>
                <c:pt idx="29">
                  <c:v>0.049</c:v>
                </c:pt>
                <c:pt idx="30">
                  <c:v>0.047</c:v>
                </c:pt>
                <c:pt idx="31">
                  <c:v>0.05</c:v>
                </c:pt>
                <c:pt idx="32">
                  <c:v>0.05</c:v>
                </c:pt>
                <c:pt idx="33">
                  <c:v>0.049</c:v>
                </c:pt>
                <c:pt idx="34">
                  <c:v>0.049</c:v>
                </c:pt>
                <c:pt idx="35">
                  <c:v>0.05</c:v>
                </c:pt>
                <c:pt idx="36">
                  <c:v>0.05</c:v>
                </c:pt>
                <c:pt idx="37">
                  <c:v>0.05</c:v>
                </c:pt>
                <c:pt idx="38">
                  <c:v>0.051</c:v>
                </c:pt>
                <c:pt idx="39">
                  <c:v>0.051</c:v>
                </c:pt>
                <c:pt idx="40">
                  <c:v>0.053</c:v>
                </c:pt>
                <c:pt idx="41">
                  <c:v>0.053</c:v>
                </c:pt>
                <c:pt idx="42">
                  <c:v>0.055</c:v>
                </c:pt>
                <c:pt idx="43">
                  <c:v>0.054</c:v>
                </c:pt>
                <c:pt idx="44">
                  <c:v>0.055</c:v>
                </c:pt>
                <c:pt idx="45">
                  <c:v>0.055</c:v>
                </c:pt>
                <c:pt idx="46">
                  <c:v>0.057</c:v>
                </c:pt>
                <c:pt idx="47">
                  <c:v>0.056</c:v>
                </c:pt>
                <c:pt idx="48">
                  <c:v>0.058</c:v>
                </c:pt>
                <c:pt idx="49">
                  <c:v>0.057</c:v>
                </c:pt>
                <c:pt idx="50">
                  <c:v>0.059</c:v>
                </c:pt>
                <c:pt idx="51">
                  <c:v>0.061</c:v>
                </c:pt>
                <c:pt idx="52">
                  <c:v>0.062</c:v>
                </c:pt>
                <c:pt idx="53">
                  <c:v>0.061</c:v>
                </c:pt>
                <c:pt idx="54">
                  <c:v>0.063</c:v>
                </c:pt>
                <c:pt idx="55">
                  <c:v>0.062</c:v>
                </c:pt>
                <c:pt idx="56">
                  <c:v>0.066</c:v>
                </c:pt>
                <c:pt idx="57">
                  <c:v>0.067</c:v>
                </c:pt>
                <c:pt idx="58">
                  <c:v>0.066</c:v>
                </c:pt>
                <c:pt idx="59">
                  <c:v>0.067</c:v>
                </c:pt>
                <c:pt idx="60">
                  <c:v>0.07</c:v>
                </c:pt>
                <c:pt idx="61">
                  <c:v>0.072</c:v>
                </c:pt>
                <c:pt idx="62">
                  <c:v>0.072</c:v>
                </c:pt>
                <c:pt idx="63">
                  <c:v>0.072</c:v>
                </c:pt>
                <c:pt idx="64">
                  <c:v>0.073</c:v>
                </c:pt>
                <c:pt idx="65">
                  <c:v>0.075</c:v>
                </c:pt>
                <c:pt idx="66">
                  <c:v>0.075</c:v>
                </c:pt>
                <c:pt idx="67">
                  <c:v>0.076</c:v>
                </c:pt>
                <c:pt idx="68">
                  <c:v>0.075</c:v>
                </c:pt>
                <c:pt idx="69">
                  <c:v>0.077</c:v>
                </c:pt>
                <c:pt idx="70">
                  <c:v>0.08</c:v>
                </c:pt>
                <c:pt idx="71">
                  <c:v>0.079</c:v>
                </c:pt>
                <c:pt idx="72">
                  <c:v>0.077</c:v>
                </c:pt>
                <c:pt idx="73">
                  <c:v>0.078</c:v>
                </c:pt>
                <c:pt idx="74">
                  <c:v>0.078</c:v>
                </c:pt>
                <c:pt idx="75">
                  <c:v>0.08</c:v>
                </c:pt>
                <c:pt idx="76">
                  <c:v>0.082</c:v>
                </c:pt>
                <c:pt idx="77">
                  <c:v>0.082</c:v>
                </c:pt>
                <c:pt idx="78">
                  <c:v>0.082</c:v>
                </c:pt>
              </c:numCache>
            </c:numRef>
          </c:val>
          <c:smooth val="0"/>
        </c:ser>
        <c:dLbls>
          <c:showLegendKey val="0"/>
          <c:showVal val="0"/>
          <c:showCatName val="0"/>
          <c:showSerName val="0"/>
          <c:showPercent val="0"/>
          <c:showBubbleSize val="0"/>
        </c:dLbls>
        <c:marker val="0"/>
        <c:smooth val="0"/>
        <c:axId val="708655517"/>
        <c:axId val="257273612"/>
      </c:lineChart>
      <c:dateAx>
        <c:axId val="7086555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273612"/>
        <c:crosses val="autoZero"/>
        <c:auto val="1"/>
        <c:lblOffset val="100"/>
        <c:baseTimeUnit val="months"/>
      </c:dateAx>
      <c:valAx>
        <c:axId val="2572736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6555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'[2017. 12.15留仓观点.xls]Sheet4'!$N$92</c:f>
              <c:strCache>
                <c:ptCount val="1"/>
                <c:pt idx="0">
                  <c:v>欧元区GDP增长率</c:v>
                </c:pt>
              </c:strCache>
            </c:strRef>
          </c:tx>
          <c:spPr>
            <a:ln w="28575" cap="rnd" cmpd="sng" algn="ctr">
              <a:solidFill>
                <a:schemeClr val="accent1"/>
              </a:solidFill>
              <a:prstDash val="solid"/>
              <a:round/>
            </a:ln>
            <a:effectLst/>
          </c:spPr>
          <c:marker>
            <c:symbol val="none"/>
          </c:marker>
          <c:dLbls>
            <c:delete val="1"/>
          </c:dLbls>
          <c:cat>
            <c:numRef>
              <c:f>'[2017. 12.15留仓观点.xls]Sheet4'!$M$93:$M$111</c:f>
              <c:numCache>
                <c:formatCode>yyyy"年"m"月"</c:formatCode>
                <c:ptCount val="19"/>
                <c:pt idx="0" c:formatCode="yyyy&quot;年&quot;m&quot;月&quot;">
                  <c:v>43344</c:v>
                </c:pt>
                <c:pt idx="1" c:formatCode="yyyy&quot;年&quot;m&quot;月&quot;">
                  <c:v>43252</c:v>
                </c:pt>
                <c:pt idx="2" c:formatCode="yyyy&quot;年&quot;m&quot;月&quot;">
                  <c:v>43160</c:v>
                </c:pt>
                <c:pt idx="3" c:formatCode="yyyy&quot;年&quot;m&quot;月&quot;">
                  <c:v>43070</c:v>
                </c:pt>
                <c:pt idx="4" c:formatCode="yyyy&quot;年&quot;m&quot;月&quot;">
                  <c:v>42979</c:v>
                </c:pt>
                <c:pt idx="5" c:formatCode="yyyy&quot;年&quot;m&quot;月&quot;">
                  <c:v>42887</c:v>
                </c:pt>
                <c:pt idx="6" c:formatCode="yyyy&quot;年&quot;m&quot;月&quot;">
                  <c:v>42795</c:v>
                </c:pt>
                <c:pt idx="7" c:formatCode="yyyy&quot;年&quot;m&quot;月&quot;">
                  <c:v>42705</c:v>
                </c:pt>
                <c:pt idx="8" c:formatCode="yyyy&quot;年&quot;m&quot;月&quot;">
                  <c:v>42614</c:v>
                </c:pt>
                <c:pt idx="9" c:formatCode="yyyy&quot;年&quot;m&quot;月&quot;">
                  <c:v>42522</c:v>
                </c:pt>
                <c:pt idx="10" c:formatCode="yyyy&quot;年&quot;m&quot;月&quot;">
                  <c:v>42430</c:v>
                </c:pt>
                <c:pt idx="11" c:formatCode="yyyy&quot;年&quot;m&quot;月&quot;">
                  <c:v>42339</c:v>
                </c:pt>
                <c:pt idx="12" c:formatCode="yyyy&quot;年&quot;m&quot;月&quot;">
                  <c:v>42248</c:v>
                </c:pt>
                <c:pt idx="13" c:formatCode="yyyy&quot;年&quot;m&quot;月&quot;">
                  <c:v>42156</c:v>
                </c:pt>
                <c:pt idx="14" c:formatCode="yyyy&quot;年&quot;m&quot;月&quot;">
                  <c:v>42064</c:v>
                </c:pt>
                <c:pt idx="15" c:formatCode="yyyy&quot;年&quot;m&quot;月&quot;">
                  <c:v>41974</c:v>
                </c:pt>
                <c:pt idx="16" c:formatCode="yyyy&quot;年&quot;m&quot;月&quot;">
                  <c:v>41883</c:v>
                </c:pt>
                <c:pt idx="17" c:formatCode="yyyy&quot;年&quot;m&quot;月&quot;">
                  <c:v>41791</c:v>
                </c:pt>
                <c:pt idx="18" c:formatCode="yyyy&quot;年&quot;m&quot;月&quot;">
                  <c:v>41699</c:v>
                </c:pt>
              </c:numCache>
            </c:numRef>
          </c:cat>
          <c:val>
            <c:numRef>
              <c:f>'[2017. 12.15留仓观点.xls]Sheet4'!$N$93:$N$111</c:f>
              <c:numCache>
                <c:formatCode>0.00%</c:formatCode>
                <c:ptCount val="19"/>
                <c:pt idx="0">
                  <c:v>0.017</c:v>
                </c:pt>
                <c:pt idx="1">
                  <c:v>0.023</c:v>
                </c:pt>
                <c:pt idx="2">
                  <c:v>0.021</c:v>
                </c:pt>
                <c:pt idx="3">
                  <c:v>0.025</c:v>
                </c:pt>
                <c:pt idx="4">
                  <c:v>0.025</c:v>
                </c:pt>
                <c:pt idx="5">
                  <c:v>0.019</c:v>
                </c:pt>
                <c:pt idx="6">
                  <c:v>0.027</c:v>
                </c:pt>
                <c:pt idx="7">
                  <c:v>0.016</c:v>
                </c:pt>
                <c:pt idx="8">
                  <c:v>0.017</c:v>
                </c:pt>
                <c:pt idx="9">
                  <c:v>0.023</c:v>
                </c:pt>
                <c:pt idx="10">
                  <c:v>0.017</c:v>
                </c:pt>
                <c:pt idx="11">
                  <c:v>0.022</c:v>
                </c:pt>
                <c:pt idx="12">
                  <c:v>0.019</c:v>
                </c:pt>
                <c:pt idx="13">
                  <c:v>0.02</c:v>
                </c:pt>
                <c:pt idx="14">
                  <c:v>0.018</c:v>
                </c:pt>
                <c:pt idx="15">
                  <c:v>0.013</c:v>
                </c:pt>
                <c:pt idx="16">
                  <c:v>0.012</c:v>
                </c:pt>
                <c:pt idx="17">
                  <c:v>0.009</c:v>
                </c:pt>
                <c:pt idx="18">
                  <c:v>0.013</c:v>
                </c:pt>
              </c:numCache>
            </c:numRef>
          </c:val>
          <c:smooth val="0"/>
        </c:ser>
        <c:dLbls>
          <c:showLegendKey val="0"/>
          <c:showVal val="0"/>
          <c:showCatName val="0"/>
          <c:showSerName val="0"/>
          <c:showPercent val="0"/>
          <c:showBubbleSize val="0"/>
        </c:dLbls>
        <c:marker val="0"/>
        <c:smooth val="0"/>
        <c:axId val="78475166"/>
        <c:axId val="553701456"/>
      </c:lineChart>
      <c:dateAx>
        <c:axId val="78475166"/>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3701456"/>
        <c:crosses val="autoZero"/>
        <c:auto val="1"/>
        <c:lblOffset val="100"/>
        <c:baseTimeUnit val="months"/>
      </c:dateAx>
      <c:valAx>
        <c:axId val="553701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751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'[2017. 12.15留仓观点.xls]Sheet4'!$O$116</c:f>
              <c:strCache>
                <c:ptCount val="1"/>
                <c:pt idx="0">
                  <c:v>美国利率走势图</c:v>
                </c:pt>
              </c:strCache>
            </c:strRef>
          </c:tx>
          <c:spPr>
            <a:ln w="28575" cap="rnd">
              <a:solidFill>
                <a:schemeClr val="accent1"/>
              </a:solidFill>
              <a:round/>
            </a:ln>
            <a:effectLst/>
          </c:spPr>
          <c:marker>
            <c:symbol val="none"/>
          </c:marker>
          <c:dLbls>
            <c:delete val="1"/>
          </c:dLbls>
          <c:cat>
            <c:numRef>
              <c:f>'[2017. 12.15留仓观点.xls]Sheet4'!$N$117:$N$143</c:f>
              <c:numCache>
                <c:formatCode>yyyy"年"m"月"</c:formatCode>
                <c:ptCount val="27"/>
                <c:pt idx="0" c:formatCode="yyyy&quot;年&quot;m&quot;月&quot;">
                  <c:v>43405</c:v>
                </c:pt>
                <c:pt idx="1" c:formatCode="yyyy&quot;年&quot;m&quot;月&quot;">
                  <c:v>43374</c:v>
                </c:pt>
                <c:pt idx="2" c:formatCode="yyyy&quot;年&quot;m&quot;月&quot;">
                  <c:v>43344</c:v>
                </c:pt>
                <c:pt idx="3" c:formatCode="yyyy&quot;年&quot;m&quot;月&quot;">
                  <c:v>43313</c:v>
                </c:pt>
                <c:pt idx="4" c:formatCode="yyyy&quot;年&quot;m&quot;月&quot;">
                  <c:v>43252</c:v>
                </c:pt>
                <c:pt idx="5" c:formatCode="yyyy&quot;年&quot;m&quot;月&quot;">
                  <c:v>43191</c:v>
                </c:pt>
                <c:pt idx="6" c:formatCode="yyyy&quot;年&quot;m&quot;月&quot;">
                  <c:v>43160</c:v>
                </c:pt>
                <c:pt idx="7" c:formatCode="yyyy&quot;年&quot;m&quot;月&quot;">
                  <c:v>43132</c:v>
                </c:pt>
                <c:pt idx="8" c:formatCode="yyyy&quot;年&quot;m&quot;月&quot;">
                  <c:v>43070</c:v>
                </c:pt>
                <c:pt idx="9" c:formatCode="yyyy&quot;年&quot;m&quot;月&quot;">
                  <c:v>43040</c:v>
                </c:pt>
                <c:pt idx="10" c:formatCode="yyyy&quot;年&quot;m&quot;月&quot;">
                  <c:v>42979</c:v>
                </c:pt>
                <c:pt idx="11" c:formatCode="yyyy&quot;年&quot;m&quot;月&quot;">
                  <c:v>42917</c:v>
                </c:pt>
                <c:pt idx="12" c:formatCode="yyyy&quot;年&quot;m&quot;月&quot;">
                  <c:v>42887</c:v>
                </c:pt>
                <c:pt idx="13" c:formatCode="yyyy&quot;年&quot;m&quot;月&quot;">
                  <c:v>42856</c:v>
                </c:pt>
                <c:pt idx="14" c:formatCode="yyyy&quot;年&quot;m&quot;月&quot;">
                  <c:v>42795</c:v>
                </c:pt>
                <c:pt idx="15" c:formatCode="yyyy&quot;年&quot;m&quot;月&quot;">
                  <c:v>42767</c:v>
                </c:pt>
                <c:pt idx="16" c:formatCode="yyyy&quot;年&quot;m&quot;月&quot;">
                  <c:v>42705</c:v>
                </c:pt>
                <c:pt idx="17" c:formatCode="yyyy&quot;年&quot;m&quot;月&quot;">
                  <c:v>42644</c:v>
                </c:pt>
                <c:pt idx="18" c:formatCode="yyyy&quot;年&quot;m&quot;月&quot;">
                  <c:v>42614</c:v>
                </c:pt>
                <c:pt idx="19" c:formatCode="yyyy&quot;年&quot;m&quot;月&quot;">
                  <c:v>42552</c:v>
                </c:pt>
                <c:pt idx="20" c:formatCode="yyyy&quot;年&quot;m&quot;月&quot;">
                  <c:v>42522</c:v>
                </c:pt>
                <c:pt idx="21" c:formatCode="yyyy&quot;年&quot;m&quot;月&quot;">
                  <c:v>42461</c:v>
                </c:pt>
                <c:pt idx="22" c:formatCode="yyyy&quot;年&quot;m&quot;月&quot;">
                  <c:v>42430</c:v>
                </c:pt>
                <c:pt idx="23" c:formatCode="yyyy&quot;年&quot;m&quot;月&quot;">
                  <c:v>42370</c:v>
                </c:pt>
                <c:pt idx="24" c:formatCode="yyyy&quot;年&quot;m&quot;月&quot;">
                  <c:v>42339</c:v>
                </c:pt>
                <c:pt idx="25" c:formatCode="yyyy&quot;年&quot;m&quot;月&quot;">
                  <c:v>42278</c:v>
                </c:pt>
                <c:pt idx="26" c:formatCode="yyyy&quot;年&quot;m&quot;月&quot;">
                  <c:v>42248</c:v>
                </c:pt>
              </c:numCache>
            </c:numRef>
          </c:cat>
          <c:val>
            <c:numRef>
              <c:f>'[2017. 12.15留仓观点.xls]Sheet4'!$O$117:$O$143</c:f>
              <c:numCache>
                <c:formatCode>General</c:formatCode>
                <c:ptCount val="27"/>
                <c:pt idx="0">
                  <c:v>2.25</c:v>
                </c:pt>
                <c:pt idx="1">
                  <c:v>2.25</c:v>
                </c:pt>
                <c:pt idx="2">
                  <c:v>2.25</c:v>
                </c:pt>
                <c:pt idx="3">
                  <c:v>2</c:v>
                </c:pt>
                <c:pt idx="4">
                  <c:v>2</c:v>
                </c:pt>
                <c:pt idx="5">
                  <c:v>1.75</c:v>
                </c:pt>
                <c:pt idx="6">
                  <c:v>1.75</c:v>
                </c:pt>
                <c:pt idx="7">
                  <c:v>1.5</c:v>
                </c:pt>
                <c:pt idx="8">
                  <c:v>1.5</c:v>
                </c:pt>
                <c:pt idx="9">
                  <c:v>1.25</c:v>
                </c:pt>
                <c:pt idx="10">
                  <c:v>1.25</c:v>
                </c:pt>
                <c:pt idx="11">
                  <c:v>1.25</c:v>
                </c:pt>
                <c:pt idx="12">
                  <c:v>1.25</c:v>
                </c:pt>
                <c:pt idx="13">
                  <c:v>1</c:v>
                </c:pt>
                <c:pt idx="14">
                  <c:v>1</c:v>
                </c:pt>
                <c:pt idx="15">
                  <c:v>0.75</c:v>
                </c:pt>
                <c:pt idx="16">
                  <c:v>0.75</c:v>
                </c:pt>
                <c:pt idx="17">
                  <c:v>0.5</c:v>
                </c:pt>
                <c:pt idx="18">
                  <c:v>0.5</c:v>
                </c:pt>
                <c:pt idx="19">
                  <c:v>0.5</c:v>
                </c:pt>
                <c:pt idx="20">
                  <c:v>0.5</c:v>
                </c:pt>
                <c:pt idx="21">
                  <c:v>0.5</c:v>
                </c:pt>
                <c:pt idx="22">
                  <c:v>0.5</c:v>
                </c:pt>
                <c:pt idx="23">
                  <c:v>0.5</c:v>
                </c:pt>
                <c:pt idx="24">
                  <c:v>0.5</c:v>
                </c:pt>
                <c:pt idx="25">
                  <c:v>0.25</c:v>
                </c:pt>
                <c:pt idx="26">
                  <c:v>0.25</c:v>
                </c:pt>
              </c:numCache>
            </c:numRef>
          </c:val>
          <c:smooth val="0"/>
        </c:ser>
        <c:dLbls>
          <c:showLegendKey val="0"/>
          <c:showVal val="0"/>
          <c:showCatName val="0"/>
          <c:showSerName val="0"/>
          <c:showPercent val="0"/>
          <c:showBubbleSize val="0"/>
        </c:dLbls>
        <c:marker val="0"/>
        <c:smooth val="0"/>
        <c:axId val="443510006"/>
        <c:axId val="428982426"/>
      </c:lineChart>
      <c:dateAx>
        <c:axId val="44351000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982426"/>
        <c:crosses val="autoZero"/>
        <c:auto val="1"/>
        <c:lblOffset val="100"/>
        <c:baseTimeUnit val="months"/>
        <c:majorUnit val="3"/>
        <c:majorTimeUnit val="months"/>
      </c:dateAx>
      <c:valAx>
        <c:axId val="4289824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5100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2019-01-02T05:42:44Z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