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val="en-US" w:eastAsia="zh-CN"/>
        </w:rPr>
      </w:pPr>
      <w:r>
        <w:rPr>
          <w:rFonts w:hint="eastAsia"/>
          <w:b/>
          <w:bCs/>
          <w:sz w:val="30"/>
          <w:szCs w:val="30"/>
          <w:lang w:val="en-US" w:eastAsia="zh-CN"/>
        </w:rPr>
        <w:t>和合期货沪金周报（20190218--20190222）</w:t>
      </w:r>
    </w:p>
    <w:p>
      <w:pPr>
        <w:jc w:val="center"/>
        <w:rPr>
          <w:rFonts w:hint="eastAsia"/>
          <w:b/>
          <w:bCs/>
          <w:sz w:val="30"/>
          <w:szCs w:val="30"/>
          <w:lang w:val="en-US" w:eastAsia="zh-CN"/>
        </w:rPr>
      </w:pPr>
    </w:p>
    <w:p>
      <w:pPr>
        <w:spacing w:line="240" w:lineRule="auto"/>
        <w:ind w:firstLine="1050" w:firstLineChars="500"/>
        <w:jc w:val="left"/>
        <w:rPr>
          <w:rFonts w:hint="eastAsia" w:ascii="微软雅黑" w:hAnsi="微软雅黑" w:eastAsia="微软雅黑" w:cs="微软雅黑"/>
          <w:b w:val="0"/>
          <w:i w:val="0"/>
          <w:caps w:val="0"/>
          <w:color w:val="auto"/>
          <w:spacing w:val="0"/>
          <w:sz w:val="18"/>
          <w:szCs w:val="18"/>
          <w:shd w:val="clear" w:fill="FFFFFF"/>
        </w:rPr>
      </w:pPr>
      <w:r>
        <w:drawing>
          <wp:anchor distT="0" distB="0" distL="114300" distR="114300" simplePos="0" relativeHeight="251658240" behindDoc="0" locked="0" layoutInCell="1" allowOverlap="1">
            <wp:simplePos x="0" y="0"/>
            <wp:positionH relativeFrom="column">
              <wp:posOffset>305435</wp:posOffset>
            </wp:positionH>
            <wp:positionV relativeFrom="paragraph">
              <wp:posOffset>74930</wp:posOffset>
            </wp:positionV>
            <wp:extent cx="2040255" cy="1021715"/>
            <wp:effectExtent l="0" t="0" r="17145" b="698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2040255" cy="1021715"/>
                    </a:xfrm>
                    <a:prstGeom prst="rect">
                      <a:avLst/>
                    </a:prstGeom>
                    <a:noFill/>
                    <a:ln w="9525">
                      <a:noFill/>
                    </a:ln>
                  </pic:spPr>
                </pic:pic>
              </a:graphicData>
            </a:graphic>
          </wp:anchor>
        </w:drawing>
      </w:r>
      <w:r>
        <w:rPr>
          <w:rFonts w:hint="eastAsia" w:ascii="微软雅黑" w:hAnsi="微软雅黑" w:eastAsia="微软雅黑" w:cs="微软雅黑"/>
          <w:b w:val="0"/>
          <w:i w:val="0"/>
          <w:caps w:val="0"/>
          <w:color w:val="auto"/>
          <w:spacing w:val="0"/>
          <w:sz w:val="18"/>
          <w:szCs w:val="18"/>
          <w:shd w:val="clear" w:fill="FFFFFF"/>
          <w:lang w:val="en-US" w:eastAsia="zh-CN"/>
        </w:rPr>
        <w:t>翟璐</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从业资格证号：</w:t>
      </w:r>
      <w:r>
        <w:rPr>
          <w:rFonts w:hint="eastAsia" w:ascii="微软雅黑" w:hAnsi="微软雅黑" w:eastAsia="微软雅黑" w:cs="微软雅黑"/>
          <w:b w:val="0"/>
          <w:i w:val="0"/>
          <w:caps w:val="0"/>
          <w:color w:val="auto"/>
          <w:spacing w:val="0"/>
          <w:sz w:val="18"/>
          <w:szCs w:val="18"/>
          <w:shd w:val="clear" w:fill="FFFFFF"/>
          <w:lang w:val="en-US" w:eastAsia="zh-CN"/>
        </w:rPr>
        <w:t>F3020441</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投询资格证号：</w:t>
      </w:r>
      <w:r>
        <w:rPr>
          <w:rFonts w:hint="eastAsia" w:ascii="微软雅黑" w:hAnsi="微软雅黑" w:eastAsia="微软雅黑" w:cs="微软雅黑"/>
          <w:b w:val="0"/>
          <w:i w:val="0"/>
          <w:caps w:val="0"/>
          <w:color w:val="auto"/>
          <w:spacing w:val="0"/>
          <w:sz w:val="18"/>
          <w:szCs w:val="18"/>
          <w:shd w:val="clear" w:fill="FFFFFF"/>
          <w:lang w:val="en-US" w:eastAsia="zh-CN"/>
        </w:rPr>
        <w:t xml:space="preserve">Z0011873 </w:t>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rPr>
        <w:t>电话：0351-7342558</w:t>
      </w:r>
    </w:p>
    <w:p>
      <w:pPr>
        <w:spacing w:line="240" w:lineRule="auto"/>
        <w:ind w:firstLine="900" w:firstLineChars="500"/>
        <w:jc w:val="left"/>
        <w:rPr>
          <w:rFonts w:hint="eastAsia" w:ascii="宋体" w:hAnsi="宋体" w:eastAsia="宋体" w:cs="宋体"/>
          <w:sz w:val="18"/>
          <w:szCs w:val="18"/>
          <w:lang w:val="en-US" w:eastAsia="zh-CN"/>
        </w:rPr>
      </w:pPr>
      <w:r>
        <w:rPr>
          <w:rFonts w:hint="eastAsia" w:ascii="微软雅黑" w:hAnsi="微软雅黑" w:eastAsia="微软雅黑" w:cs="微软雅黑"/>
          <w:b w:val="0"/>
          <w:i w:val="0"/>
          <w:caps w:val="0"/>
          <w:color w:val="auto"/>
          <w:spacing w:val="0"/>
          <w:sz w:val="18"/>
          <w:szCs w:val="18"/>
          <w:shd w:val="clear" w:fill="FFFFFF"/>
        </w:rPr>
        <w:t>邮箱</w:t>
      </w:r>
      <w:r>
        <w:rPr>
          <w:rFonts w:ascii="微软雅黑" w:hAnsi="微软雅黑" w:eastAsia="微软雅黑" w:cs="微软雅黑"/>
          <w:b w:val="0"/>
          <w:i w:val="0"/>
          <w:caps w:val="0"/>
          <w:color w:val="auto"/>
          <w:spacing w:val="0"/>
          <w:sz w:val="18"/>
          <w:szCs w:val="18"/>
          <w:shd w:val="clear" w:fill="FFFFFF"/>
        </w:rPr>
        <w:t>：</w:t>
      </w:r>
      <w:r>
        <w:rPr>
          <w:rFonts w:hint="eastAsia" w:ascii="宋体" w:hAnsi="宋体" w:eastAsia="宋体" w:cs="宋体"/>
          <w:sz w:val="18"/>
          <w:szCs w:val="18"/>
          <w:lang w:val="en-US" w:eastAsia="zh-CN"/>
        </w:rPr>
        <w:fldChar w:fldCharType="begin"/>
      </w:r>
      <w:r>
        <w:rPr>
          <w:rFonts w:hint="eastAsia" w:ascii="宋体" w:hAnsi="宋体" w:eastAsia="宋体" w:cs="宋体"/>
          <w:sz w:val="18"/>
          <w:szCs w:val="18"/>
          <w:lang w:val="en-US" w:eastAsia="zh-CN"/>
        </w:rPr>
        <w:instrText xml:space="preserve"> HYPERLINK "mailto:yangxiaoxia@hhqh.com.cn" </w:instrText>
      </w:r>
      <w:r>
        <w:rPr>
          <w:rFonts w:hint="eastAsia" w:ascii="宋体" w:hAnsi="宋体" w:eastAsia="宋体" w:cs="宋体"/>
          <w:sz w:val="18"/>
          <w:szCs w:val="18"/>
          <w:lang w:val="en-US" w:eastAsia="zh-CN"/>
        </w:rPr>
        <w:fldChar w:fldCharType="separate"/>
      </w:r>
      <w:r>
        <w:rPr>
          <w:rStyle w:val="5"/>
          <w:rFonts w:hint="eastAsia" w:ascii="宋体" w:hAnsi="宋体" w:cs="宋体"/>
          <w:sz w:val="18"/>
          <w:szCs w:val="18"/>
          <w:lang w:val="en-US" w:eastAsia="zh-CN"/>
        </w:rPr>
        <w:t>zhailu</w:t>
      </w:r>
      <w:r>
        <w:rPr>
          <w:rStyle w:val="5"/>
          <w:rFonts w:hint="eastAsia" w:ascii="宋体" w:hAnsi="宋体" w:eastAsia="宋体" w:cs="宋体"/>
          <w:sz w:val="18"/>
          <w:szCs w:val="18"/>
          <w:lang w:val="en-US" w:eastAsia="zh-CN"/>
        </w:rPr>
        <w:t>@hhqh.com.cn</w:t>
      </w:r>
      <w:r>
        <w:rPr>
          <w:rFonts w:hint="eastAsia" w:ascii="宋体" w:hAnsi="宋体" w:eastAsia="宋体" w:cs="宋体"/>
          <w:sz w:val="18"/>
          <w:szCs w:val="18"/>
          <w:lang w:val="en-US" w:eastAsia="zh-CN"/>
        </w:rPr>
        <w:fldChar w:fldCharType="end"/>
      </w:r>
    </w:p>
    <w:p>
      <w:pPr>
        <w:spacing w:line="240" w:lineRule="auto"/>
        <w:jc w:val="left"/>
        <w:rPr>
          <w:rFonts w:hint="eastAsia" w:ascii="宋体" w:hAnsi="宋体" w:eastAsia="宋体" w:cs="宋体"/>
          <w:sz w:val="18"/>
          <w:szCs w:val="18"/>
          <w:lang w:val="en-US" w:eastAsia="zh-CN"/>
        </w:rPr>
      </w:pPr>
    </w:p>
    <w:p>
      <w:pPr>
        <w:numPr>
          <w:ilvl w:val="0"/>
          <w:numId w:val="1"/>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沪金期货合约本周走势及成交情况</w:t>
      </w:r>
    </w:p>
    <w:p>
      <w:pPr>
        <w:numPr>
          <w:ilvl w:val="0"/>
          <w:numId w:val="0"/>
        </w:numPr>
        <w:ind w:firstLine="420"/>
        <w:jc w:val="left"/>
      </w:pPr>
      <w:r>
        <w:rPr>
          <w:rFonts w:hint="eastAsia" w:ascii="微软雅黑" w:hAnsi="微软雅黑" w:eastAsia="微软雅黑" w:cs="微软雅黑"/>
          <w:b w:val="0"/>
          <w:i w:val="0"/>
          <w:caps w:val="0"/>
          <w:color w:val="4D4D4D"/>
          <w:spacing w:val="0"/>
          <w:sz w:val="21"/>
          <w:szCs w:val="21"/>
          <w:lang w:val="en-US" w:eastAsia="zh-CN"/>
        </w:rPr>
        <w:t>1，沪金主力本周冲高回落</w:t>
      </w:r>
    </w:p>
    <w:p>
      <w:pPr>
        <w:rPr>
          <w:rFonts w:hint="eastAsia" w:asciiTheme="minorHAnsi" w:hAnsiTheme="minorHAnsi" w:eastAsiaTheme="minorEastAsia" w:cstheme="minorBidi"/>
          <w:kern w:val="2"/>
          <w:sz w:val="21"/>
          <w:szCs w:val="24"/>
          <w:lang w:val="en-US" w:eastAsia="zh-CN" w:bidi="ar-SA"/>
        </w:rPr>
      </w:pPr>
      <w:r>
        <w:drawing>
          <wp:inline distT="0" distB="0" distL="114300" distR="114300">
            <wp:extent cx="5428615" cy="4029075"/>
            <wp:effectExtent l="0" t="0" r="63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428615" cy="4029075"/>
                    </a:xfrm>
                    <a:prstGeom prst="rect">
                      <a:avLst/>
                    </a:prstGeom>
                    <a:noFill/>
                    <a:ln w="9525">
                      <a:noFill/>
                    </a:ln>
                  </pic:spPr>
                </pic:pic>
              </a:graphicData>
            </a:graphic>
          </wp:inline>
        </w:drawing>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cstheme="minorBidi"/>
          <w:kern w:val="2"/>
          <w:sz w:val="21"/>
          <w:szCs w:val="24"/>
          <w:lang w:val="en-US" w:eastAsia="zh-CN" w:bidi="ar-SA"/>
        </w:rPr>
        <w:t>2</w:t>
      </w:r>
      <w:r>
        <w:rPr>
          <w:rFonts w:hint="eastAsia" w:ascii="微软雅黑" w:hAnsi="微软雅黑" w:eastAsia="微软雅黑" w:cs="微软雅黑"/>
          <w:b w:val="0"/>
          <w:i w:val="0"/>
          <w:caps w:val="0"/>
          <w:color w:val="4D4D4D"/>
          <w:spacing w:val="0"/>
          <w:sz w:val="21"/>
          <w:szCs w:val="21"/>
          <w:lang w:val="en-US" w:eastAsia="zh-CN"/>
        </w:rPr>
        <w:t>，沪金本周成交情况</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2月18日--2月22日，沪金指数总成交量107万手，较上周增加3万手，总持仓量48.6万手，较上周增仓4万手，沪金主力本周冲高回落，主力合约收盘价289.60，与上周收盘价持平</w:t>
      </w:r>
      <w:bookmarkStart w:id="0" w:name="_GoBack"/>
      <w:bookmarkEnd w:id="0"/>
      <w:r>
        <w:rPr>
          <w:rFonts w:hint="eastAsia" w:ascii="微软雅黑" w:hAnsi="微软雅黑" w:eastAsia="微软雅黑" w:cs="微软雅黑"/>
          <w:b w:val="0"/>
          <w:i w:val="0"/>
          <w:caps w:val="0"/>
          <w:color w:val="4D4D4D"/>
          <w:spacing w:val="0"/>
          <w:sz w:val="21"/>
          <w:szCs w:val="21"/>
          <w:lang w:val="en-US" w:eastAsia="zh-CN"/>
        </w:rPr>
        <w:t>%。</w:t>
      </w:r>
    </w:p>
    <w:p>
      <w:pPr>
        <w:numPr>
          <w:ilvl w:val="0"/>
          <w:numId w:val="0"/>
        </w:numPr>
        <w:jc w:val="left"/>
        <w:rPr>
          <w:rFonts w:hint="eastAsia" w:ascii="微软雅黑" w:hAnsi="微软雅黑" w:eastAsia="微软雅黑" w:cs="微软雅黑"/>
          <w:b w:val="0"/>
          <w:i w:val="0"/>
          <w:caps w:val="0"/>
          <w:color w:val="4D4D4D"/>
          <w:spacing w:val="0"/>
          <w:sz w:val="21"/>
          <w:szCs w:val="21"/>
          <w:lang w:val="en-US" w:eastAsia="zh-CN"/>
        </w:rPr>
      </w:pPr>
    </w:p>
    <w:p>
      <w:pPr>
        <w:numPr>
          <w:ilvl w:val="0"/>
          <w:numId w:val="1"/>
        </w:numPr>
        <w:jc w:val="left"/>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sz w:val="24"/>
          <w:szCs w:val="24"/>
          <w:lang w:val="en-US" w:eastAsia="zh-CN"/>
        </w:rPr>
        <w:t>影响因素分析</w:t>
      </w:r>
    </w:p>
    <w:p>
      <w:pPr>
        <w:keepNext w:val="0"/>
        <w:keepLines w:val="0"/>
        <w:pageBreakBefore w:val="0"/>
        <w:widowControl w:val="0"/>
        <w:numPr>
          <w:ilvl w:val="0"/>
          <w:numId w:val="2"/>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kern w:val="0"/>
          <w:sz w:val="21"/>
          <w:szCs w:val="21"/>
          <w:lang w:val="en-US" w:eastAsia="zh-CN" w:bidi="ar"/>
        </w:rPr>
        <w:t>宏观</w:t>
      </w:r>
      <w:r>
        <w:rPr>
          <w:rFonts w:hint="eastAsia" w:ascii="微软雅黑" w:hAnsi="微软雅黑" w:eastAsia="微软雅黑" w:cs="微软雅黑"/>
          <w:b/>
          <w:bCs/>
          <w:i w:val="0"/>
          <w:caps w:val="0"/>
          <w:color w:val="4D4D4D"/>
          <w:spacing w:val="0"/>
          <w:sz w:val="21"/>
          <w:szCs w:val="21"/>
          <w:lang w:val="en-US" w:eastAsia="zh-CN"/>
        </w:rPr>
        <w:t>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周四公布的耐用品订单数据、成屋销售数据以及PMI数据均不及预期，这使得黄金收复部分失地。但是失业金初请人数再次下降，暗示美国的就业市场依然十分的强劲，加剧了市场对于美联储货币政策走向的疑虑。因美联储多次表示美国经济仍总体强劲，就业市场依然处于数十年来最佳水平，同时部分市场机构认为美国就业市场持续向好以及薪资增速维持在较高的水平，最终将转化为通胀水平上升，推动美联储加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美联储在1月份的政策会议上选择不加息，并承诺对于未来举措将保持耐心，并关注经济形势的发展。美联储表示，对未来任何利率行动都将保持“耐心”，并暗示资产负债表的收缩路径具有灵活性。此前，美联储理事布雷纳德表示，她预期美联储将在今年晚些时候结束缩表。　她指出，资产负债表正常化可能应该在今年晚些时候结束。主动缩减美联储所持4万亿美元的债券和其他资产的进程“已经完成了它应该完成的工作”。　布雷纳德称，她赞同今年结束缩表，因为美联储的资产负债表规模大于金融危机以前。</w:t>
      </w:r>
    </w:p>
    <w:p>
      <w:pPr>
        <w:ind w:firstLine="420" w:firstLineChars="200"/>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消息面上看，正在华盛顿举行的中美贸易谈判进展良好，这激发了部分投资者和交易员在市场中的风险情绪。中美官员也就贸易战达成的最后协议拟出了框架，涉及六大方面。</w:t>
      </w:r>
    </w:p>
    <w:p>
      <w:pPr>
        <w:numPr>
          <w:ilvl w:val="0"/>
          <w:numId w:val="0"/>
        </w:numPr>
        <w:ind w:firstLine="420"/>
        <w:jc w:val="left"/>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2、供需端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据世界黄金协会（WGC）最新数据显示，全球黄金支持ETF持有量在2018年增长了3%，总持价值达1006亿美元，这是自2012年以来，黄金ETF持有价值首次超过1000亿美元大关。从全球最大的黄金上市交易基金（ETF）SPDR Gold Trust持仓变化来看，一方面表明黄金ETF持仓还可能有较大增长空间，同时又体现出对黄金增持的犹豫。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世界黄金协会（WGC）的数据显示，去年央行黄金购买量创下1967年以来最多，根据道明证券，自2009年以来，全球央行的黄金持有量增加约13%，或3900吨。中国在12月宣布2018年增持了近10吨黄金，为三年来的首次购买。去年买入黄金的还有俄罗斯、土耳其和哈萨克斯坦。道明证券大宗商品策略主管Bart Melek表示，许多新兴市场国家正在寻求增加黄金储备，规模相对较小。其他国家则在寻求减少对美元的依赖，像俄罗斯，近年来遭到美国多次制裁。Melek预计，未来两年全球央行黄金持有量将再增加800吨。</w:t>
      </w:r>
    </w:p>
    <w:p>
      <w:pPr>
        <w:keepNext w:val="0"/>
        <w:keepLines w:val="0"/>
        <w:pageBreakBefore w:val="0"/>
        <w:widowControl w:val="0"/>
        <w:numPr>
          <w:ilvl w:val="0"/>
          <w:numId w:val="3"/>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美元指数本周走势</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微软雅黑" w:hAnsi="微软雅黑" w:eastAsia="微软雅黑" w:cs="微软雅黑"/>
          <w:b/>
          <w:bCs/>
          <w:i w:val="0"/>
          <w:caps w:val="0"/>
          <w:color w:val="4D4D4D"/>
          <w:spacing w:val="0"/>
          <w:sz w:val="21"/>
          <w:szCs w:val="21"/>
          <w:lang w:val="en-US" w:eastAsia="zh-CN"/>
        </w:rPr>
      </w:pPr>
      <w:r>
        <w:drawing>
          <wp:inline distT="0" distB="0" distL="114300" distR="114300">
            <wp:extent cx="5271770" cy="3442970"/>
            <wp:effectExtent l="0" t="0" r="508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271770" cy="3442970"/>
                    </a:xfrm>
                    <a:prstGeom prst="rect">
                      <a:avLst/>
                    </a:prstGeom>
                    <a:noFill/>
                    <a:ln w="9525">
                      <a:noFill/>
                    </a:ln>
                  </pic:spPr>
                </pic:pic>
              </a:graphicData>
            </a:graphic>
          </wp:inline>
        </w:drawing>
      </w:r>
    </w:p>
    <w:p>
      <w:pPr>
        <w:ind w:firstLine="373" w:firstLineChars="0"/>
        <w:jc w:val="left"/>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sz w:val="21"/>
          <w:szCs w:val="21"/>
          <w:lang w:val="en-US" w:eastAsia="zh-CN"/>
        </w:rPr>
        <w:t>公布的失业金人数来看，尽管美国初请失业金人数为21.6万人，小于预期的23万人，但四周平均数升至逾1年新高，表明劳动力市场正在放缓，这在一定程度上制掣了美元的升势。短期而言，市场仍将密切关注美国就业市场的变化，如果美国就业市场仍维持强势，恐进一步打压金价。</w:t>
      </w:r>
    </w:p>
    <w:p>
      <w:pPr>
        <w:jc w:val="left"/>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Theme="minorHAnsi" w:hAnsiTheme="minorHAnsi" w:eastAsiaTheme="minorEastAsia" w:cstheme="minorBidi"/>
          <w:kern w:val="2"/>
          <w:sz w:val="21"/>
          <w:szCs w:val="24"/>
          <w:lang w:val="en-US" w:eastAsia="zh-CN" w:bidi="ar-SA"/>
        </w:rPr>
      </w:pPr>
    </w:p>
    <w:p>
      <w:pPr>
        <w:numPr>
          <w:ilvl w:val="0"/>
          <w:numId w:val="4"/>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后市行情研判</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美联储1月会议纪要：几乎所有官员希望今年宣布停止缩表计划，不确定今年是否可能加息，以及特朗普宣布美国进入国家紧急状态，导致美元指数近几天下跌。盘面看COMEX黄金上涨趋势通道完好，春节后内盘黄金上涨动能相对强劲，突破年前291.6的高位，但近期美元指数的下跌，助推人民币升值，一定程度上抑制内盘黄金上涨幅度，近两日外盘开始调整，内盘下跌幅度明显大于外盘，整体看多头趋势没有破坏，还在进行中。</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p>
    <w:p>
      <w:pPr>
        <w:numPr>
          <w:ilvl w:val="0"/>
          <w:numId w:val="4"/>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交易策略建议</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eastAsia="zh-CN"/>
        </w:rPr>
        <w:t>建议下周</w:t>
      </w:r>
      <w:r>
        <w:rPr>
          <w:rFonts w:hint="eastAsia" w:ascii="微软雅黑" w:hAnsi="微软雅黑" w:eastAsia="微软雅黑" w:cs="微软雅黑"/>
          <w:b w:val="0"/>
          <w:i w:val="0"/>
          <w:caps w:val="0"/>
          <w:color w:val="4D4D4D"/>
          <w:spacing w:val="0"/>
          <w:sz w:val="21"/>
          <w:szCs w:val="21"/>
          <w:lang w:val="en-US" w:eastAsia="zh-CN"/>
        </w:rPr>
        <w:t>多单继续持有</w:t>
      </w:r>
      <w:r>
        <w:rPr>
          <w:rFonts w:hint="eastAsia" w:ascii="微软雅黑" w:hAnsi="微软雅黑" w:eastAsia="微软雅黑" w:cs="微软雅黑"/>
          <w:b w:val="0"/>
          <w:i w:val="0"/>
          <w:caps w:val="0"/>
          <w:color w:val="4D4D4D"/>
          <w:spacing w:val="0"/>
          <w:sz w:val="21"/>
          <w:szCs w:val="21"/>
          <w:lang w:eastAsia="zh-CN"/>
        </w:rPr>
        <w:t>。</w:t>
      </w:r>
    </w:p>
    <w:p>
      <w:pPr>
        <w:rPr>
          <w:rFonts w:hint="eastAsia" w:ascii="微软雅黑" w:hAnsi="微软雅黑" w:eastAsia="微软雅黑" w:cs="微软雅黑"/>
          <w:b w:val="0"/>
          <w:i w:val="0"/>
          <w:caps w:val="0"/>
          <w:color w:val="4D4D4D"/>
          <w:spacing w:val="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4"/>
          <w:szCs w:val="24"/>
        </w:rPr>
      </w:pP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5"/>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lang w:val="en-US" w:eastAsia="zh-CN"/>
        </w:rPr>
      </w:pPr>
      <w:r>
        <w:rPr>
          <w:rFonts w:hint="eastAsia"/>
          <w:sz w:val="21"/>
          <w:szCs w:val="21"/>
        </w:rPr>
        <w:t xml:space="preserve">和合期货有限公司经营范围包括：商品期货经纪业务、金融期货经纪业务、期货投资咨询业务、公开募集证券投资基金销售业务。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F512EC"/>
    <w:multiLevelType w:val="singleLevel"/>
    <w:tmpl w:val="E0F512EC"/>
    <w:lvl w:ilvl="0" w:tentative="0">
      <w:start w:val="3"/>
      <w:numFmt w:val="decimal"/>
      <w:suff w:val="nothing"/>
      <w:lvlText w:val="%1、"/>
      <w:lvlJc w:val="left"/>
    </w:lvl>
  </w:abstractNum>
  <w:abstractNum w:abstractNumId="1">
    <w:nsid w:val="5A2F7C6E"/>
    <w:multiLevelType w:val="singleLevel"/>
    <w:tmpl w:val="5A2F7C6E"/>
    <w:lvl w:ilvl="0" w:tentative="0">
      <w:start w:val="1"/>
      <w:numFmt w:val="chineseCounting"/>
      <w:suff w:val="nothing"/>
      <w:lvlText w:val="%1、"/>
      <w:lvlJc w:val="left"/>
    </w:lvl>
  </w:abstractNum>
  <w:abstractNum w:abstractNumId="2">
    <w:nsid w:val="5A4F34D4"/>
    <w:multiLevelType w:val="singleLevel"/>
    <w:tmpl w:val="5A4F34D4"/>
    <w:lvl w:ilvl="0" w:tentative="0">
      <w:start w:val="3"/>
      <w:numFmt w:val="chineseCounting"/>
      <w:suff w:val="nothing"/>
      <w:lvlText w:val="%1，"/>
      <w:lvlJc w:val="left"/>
    </w:lvl>
  </w:abstractNum>
  <w:abstractNum w:abstractNumId="3">
    <w:nsid w:val="6448DF3F"/>
    <w:multiLevelType w:val="singleLevel"/>
    <w:tmpl w:val="6448DF3F"/>
    <w:lvl w:ilvl="0" w:tentative="0">
      <w:start w:val="1"/>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83D92"/>
    <w:rsid w:val="002E21AD"/>
    <w:rsid w:val="00521071"/>
    <w:rsid w:val="00B66139"/>
    <w:rsid w:val="010C42C7"/>
    <w:rsid w:val="01646F2C"/>
    <w:rsid w:val="01BB34FD"/>
    <w:rsid w:val="01D71DF5"/>
    <w:rsid w:val="026D1A34"/>
    <w:rsid w:val="029C69FE"/>
    <w:rsid w:val="02B85F59"/>
    <w:rsid w:val="02D23F71"/>
    <w:rsid w:val="02D505AD"/>
    <w:rsid w:val="03AA48C1"/>
    <w:rsid w:val="042727BB"/>
    <w:rsid w:val="044B6262"/>
    <w:rsid w:val="04925E8B"/>
    <w:rsid w:val="049919A9"/>
    <w:rsid w:val="04DB7491"/>
    <w:rsid w:val="04E8388C"/>
    <w:rsid w:val="05346D95"/>
    <w:rsid w:val="058E2349"/>
    <w:rsid w:val="059F0D22"/>
    <w:rsid w:val="05AD20AF"/>
    <w:rsid w:val="05D03FF7"/>
    <w:rsid w:val="06AD17D6"/>
    <w:rsid w:val="06B32EA3"/>
    <w:rsid w:val="08BD2AC1"/>
    <w:rsid w:val="08EB045B"/>
    <w:rsid w:val="09580960"/>
    <w:rsid w:val="09B71AC8"/>
    <w:rsid w:val="09F54BDE"/>
    <w:rsid w:val="09FF7BAA"/>
    <w:rsid w:val="0A577107"/>
    <w:rsid w:val="0B0F23B0"/>
    <w:rsid w:val="0B5D76C3"/>
    <w:rsid w:val="0B9C2D2D"/>
    <w:rsid w:val="0CA24803"/>
    <w:rsid w:val="0CB31C8E"/>
    <w:rsid w:val="0D760DA5"/>
    <w:rsid w:val="0DBD2C3A"/>
    <w:rsid w:val="0E3D0928"/>
    <w:rsid w:val="0E7574D5"/>
    <w:rsid w:val="0E785E97"/>
    <w:rsid w:val="0E98627A"/>
    <w:rsid w:val="0E9C3837"/>
    <w:rsid w:val="0F713DA7"/>
    <w:rsid w:val="0FE07546"/>
    <w:rsid w:val="10175806"/>
    <w:rsid w:val="109A3390"/>
    <w:rsid w:val="10C419B8"/>
    <w:rsid w:val="10DE43B6"/>
    <w:rsid w:val="10F94CEB"/>
    <w:rsid w:val="12622A1B"/>
    <w:rsid w:val="12683500"/>
    <w:rsid w:val="127653EF"/>
    <w:rsid w:val="130E0195"/>
    <w:rsid w:val="143911B5"/>
    <w:rsid w:val="143D5560"/>
    <w:rsid w:val="146760F6"/>
    <w:rsid w:val="149804D9"/>
    <w:rsid w:val="158D682B"/>
    <w:rsid w:val="159549F8"/>
    <w:rsid w:val="16315468"/>
    <w:rsid w:val="164863CF"/>
    <w:rsid w:val="16B90F0B"/>
    <w:rsid w:val="16BC7D70"/>
    <w:rsid w:val="16BF3C01"/>
    <w:rsid w:val="16E05358"/>
    <w:rsid w:val="17947A97"/>
    <w:rsid w:val="17DE05E5"/>
    <w:rsid w:val="17DF7C83"/>
    <w:rsid w:val="180A7E0A"/>
    <w:rsid w:val="184A6C7E"/>
    <w:rsid w:val="18F764C0"/>
    <w:rsid w:val="1900255E"/>
    <w:rsid w:val="193F006E"/>
    <w:rsid w:val="197E68F0"/>
    <w:rsid w:val="197F3BEB"/>
    <w:rsid w:val="19B243E1"/>
    <w:rsid w:val="19CB1947"/>
    <w:rsid w:val="1B105259"/>
    <w:rsid w:val="1BA776A5"/>
    <w:rsid w:val="1BAF70F7"/>
    <w:rsid w:val="1BDB0BB5"/>
    <w:rsid w:val="1BF74BA9"/>
    <w:rsid w:val="1C0923F0"/>
    <w:rsid w:val="1C98669B"/>
    <w:rsid w:val="1D82318A"/>
    <w:rsid w:val="1DB358B9"/>
    <w:rsid w:val="1F1108A2"/>
    <w:rsid w:val="1F513F92"/>
    <w:rsid w:val="1F78214C"/>
    <w:rsid w:val="1FA6272C"/>
    <w:rsid w:val="2045461A"/>
    <w:rsid w:val="20A73FA0"/>
    <w:rsid w:val="21381B57"/>
    <w:rsid w:val="217F4412"/>
    <w:rsid w:val="21DC5984"/>
    <w:rsid w:val="221E5B15"/>
    <w:rsid w:val="22370D57"/>
    <w:rsid w:val="22514DCC"/>
    <w:rsid w:val="2259690C"/>
    <w:rsid w:val="226C150F"/>
    <w:rsid w:val="22985BD3"/>
    <w:rsid w:val="22AE584D"/>
    <w:rsid w:val="22CA4D76"/>
    <w:rsid w:val="23104C50"/>
    <w:rsid w:val="232813DF"/>
    <w:rsid w:val="233C77FA"/>
    <w:rsid w:val="234D2400"/>
    <w:rsid w:val="23DB5C03"/>
    <w:rsid w:val="24533F2C"/>
    <w:rsid w:val="24770AA1"/>
    <w:rsid w:val="24EC6B9C"/>
    <w:rsid w:val="250801D0"/>
    <w:rsid w:val="257E7A9D"/>
    <w:rsid w:val="25A34410"/>
    <w:rsid w:val="25B36B59"/>
    <w:rsid w:val="25BA2A27"/>
    <w:rsid w:val="25D94CE2"/>
    <w:rsid w:val="262C35EC"/>
    <w:rsid w:val="26B36E11"/>
    <w:rsid w:val="26CA25D3"/>
    <w:rsid w:val="272C6D34"/>
    <w:rsid w:val="273A3462"/>
    <w:rsid w:val="27C468ED"/>
    <w:rsid w:val="27D23E36"/>
    <w:rsid w:val="28326B2F"/>
    <w:rsid w:val="287B299D"/>
    <w:rsid w:val="28B81774"/>
    <w:rsid w:val="28CB12ED"/>
    <w:rsid w:val="29023876"/>
    <w:rsid w:val="291B7FB4"/>
    <w:rsid w:val="29305382"/>
    <w:rsid w:val="294473FB"/>
    <w:rsid w:val="29770DF6"/>
    <w:rsid w:val="299B03F6"/>
    <w:rsid w:val="29E3172C"/>
    <w:rsid w:val="29E6660B"/>
    <w:rsid w:val="2A872DB5"/>
    <w:rsid w:val="2A965D69"/>
    <w:rsid w:val="2A9A3A80"/>
    <w:rsid w:val="2AC016D6"/>
    <w:rsid w:val="2AE503C8"/>
    <w:rsid w:val="2B074050"/>
    <w:rsid w:val="2B8C12AF"/>
    <w:rsid w:val="2C4D08C4"/>
    <w:rsid w:val="2C70600F"/>
    <w:rsid w:val="2CA32BFA"/>
    <w:rsid w:val="2CC84F24"/>
    <w:rsid w:val="2CD36583"/>
    <w:rsid w:val="2CD45691"/>
    <w:rsid w:val="2D3223DC"/>
    <w:rsid w:val="2D7327E9"/>
    <w:rsid w:val="2DC81517"/>
    <w:rsid w:val="2E1474B1"/>
    <w:rsid w:val="2E27387C"/>
    <w:rsid w:val="2E334D02"/>
    <w:rsid w:val="2E464A4A"/>
    <w:rsid w:val="2F0342EA"/>
    <w:rsid w:val="2F384A5A"/>
    <w:rsid w:val="2FDF6846"/>
    <w:rsid w:val="314321AB"/>
    <w:rsid w:val="317536A9"/>
    <w:rsid w:val="31A23DFF"/>
    <w:rsid w:val="323064F7"/>
    <w:rsid w:val="324C654A"/>
    <w:rsid w:val="32850A0A"/>
    <w:rsid w:val="33C6443A"/>
    <w:rsid w:val="34C81915"/>
    <w:rsid w:val="34DD0795"/>
    <w:rsid w:val="35585F86"/>
    <w:rsid w:val="356B3483"/>
    <w:rsid w:val="357D246A"/>
    <w:rsid w:val="35C555AD"/>
    <w:rsid w:val="35C8033D"/>
    <w:rsid w:val="36616030"/>
    <w:rsid w:val="36BE5B3F"/>
    <w:rsid w:val="36F937E5"/>
    <w:rsid w:val="37021AB4"/>
    <w:rsid w:val="377865DA"/>
    <w:rsid w:val="37793F03"/>
    <w:rsid w:val="37CA5B57"/>
    <w:rsid w:val="37CC05D4"/>
    <w:rsid w:val="3843495D"/>
    <w:rsid w:val="38671A7B"/>
    <w:rsid w:val="38AC7CCE"/>
    <w:rsid w:val="38E14D72"/>
    <w:rsid w:val="391B495D"/>
    <w:rsid w:val="39CB4AE8"/>
    <w:rsid w:val="39DD7517"/>
    <w:rsid w:val="39E02262"/>
    <w:rsid w:val="3A00426F"/>
    <w:rsid w:val="3A344BDE"/>
    <w:rsid w:val="3A3B0C5B"/>
    <w:rsid w:val="3A6A4F87"/>
    <w:rsid w:val="3ABD0F85"/>
    <w:rsid w:val="3AF73A70"/>
    <w:rsid w:val="3B654901"/>
    <w:rsid w:val="3C184D02"/>
    <w:rsid w:val="3C41283C"/>
    <w:rsid w:val="3CAD453B"/>
    <w:rsid w:val="3CB02EF0"/>
    <w:rsid w:val="3CC109CF"/>
    <w:rsid w:val="3CE800B0"/>
    <w:rsid w:val="3D6F4A6C"/>
    <w:rsid w:val="3DA54D61"/>
    <w:rsid w:val="3DF004B0"/>
    <w:rsid w:val="3EAC0DA8"/>
    <w:rsid w:val="3EFD7535"/>
    <w:rsid w:val="3F0354F5"/>
    <w:rsid w:val="3F5F08DD"/>
    <w:rsid w:val="3F701419"/>
    <w:rsid w:val="41821EF2"/>
    <w:rsid w:val="42153DA7"/>
    <w:rsid w:val="42F65A32"/>
    <w:rsid w:val="43362C42"/>
    <w:rsid w:val="43944AAA"/>
    <w:rsid w:val="43C00BFE"/>
    <w:rsid w:val="440A1991"/>
    <w:rsid w:val="442D1AA1"/>
    <w:rsid w:val="44AC35A8"/>
    <w:rsid w:val="44B64DFA"/>
    <w:rsid w:val="44B73C97"/>
    <w:rsid w:val="454F6971"/>
    <w:rsid w:val="45B81E14"/>
    <w:rsid w:val="4658160F"/>
    <w:rsid w:val="46AA112C"/>
    <w:rsid w:val="46EB161E"/>
    <w:rsid w:val="47113F99"/>
    <w:rsid w:val="47202075"/>
    <w:rsid w:val="478120A2"/>
    <w:rsid w:val="480A12AB"/>
    <w:rsid w:val="48212370"/>
    <w:rsid w:val="48262752"/>
    <w:rsid w:val="48374E13"/>
    <w:rsid w:val="48902F11"/>
    <w:rsid w:val="48CC34D6"/>
    <w:rsid w:val="49800A26"/>
    <w:rsid w:val="49D67D8F"/>
    <w:rsid w:val="4B593B0E"/>
    <w:rsid w:val="4B680E11"/>
    <w:rsid w:val="4B992EB3"/>
    <w:rsid w:val="4BAE6766"/>
    <w:rsid w:val="4BD65659"/>
    <w:rsid w:val="4C716A27"/>
    <w:rsid w:val="4CA92E45"/>
    <w:rsid w:val="4CE05D9B"/>
    <w:rsid w:val="4D2427F2"/>
    <w:rsid w:val="4D633607"/>
    <w:rsid w:val="4D8001CD"/>
    <w:rsid w:val="4E093563"/>
    <w:rsid w:val="4E480923"/>
    <w:rsid w:val="4E5F735F"/>
    <w:rsid w:val="4F2F769C"/>
    <w:rsid w:val="4F4E0134"/>
    <w:rsid w:val="4FEC0643"/>
    <w:rsid w:val="4FED251D"/>
    <w:rsid w:val="50883F38"/>
    <w:rsid w:val="509E0607"/>
    <w:rsid w:val="50F7031F"/>
    <w:rsid w:val="5146103E"/>
    <w:rsid w:val="51E509C5"/>
    <w:rsid w:val="52120B08"/>
    <w:rsid w:val="526F326C"/>
    <w:rsid w:val="529B4691"/>
    <w:rsid w:val="52B63898"/>
    <w:rsid w:val="52CA0037"/>
    <w:rsid w:val="52FF18C8"/>
    <w:rsid w:val="53115174"/>
    <w:rsid w:val="5331008D"/>
    <w:rsid w:val="53BC13D0"/>
    <w:rsid w:val="53D05B73"/>
    <w:rsid w:val="53E540B3"/>
    <w:rsid w:val="54523C02"/>
    <w:rsid w:val="548F0B33"/>
    <w:rsid w:val="54A856C3"/>
    <w:rsid w:val="54E6473B"/>
    <w:rsid w:val="550F4487"/>
    <w:rsid w:val="55234DA3"/>
    <w:rsid w:val="556325BD"/>
    <w:rsid w:val="55675B3D"/>
    <w:rsid w:val="55F50A72"/>
    <w:rsid w:val="561138AC"/>
    <w:rsid w:val="56A93874"/>
    <w:rsid w:val="57394328"/>
    <w:rsid w:val="57534272"/>
    <w:rsid w:val="57991FA4"/>
    <w:rsid w:val="57E57181"/>
    <w:rsid w:val="58117104"/>
    <w:rsid w:val="585E02FE"/>
    <w:rsid w:val="58B968E3"/>
    <w:rsid w:val="58ED08D6"/>
    <w:rsid w:val="590204B6"/>
    <w:rsid w:val="59165D64"/>
    <w:rsid w:val="593A3F96"/>
    <w:rsid w:val="594128E9"/>
    <w:rsid w:val="59C205B0"/>
    <w:rsid w:val="5A506D99"/>
    <w:rsid w:val="5AA02E3B"/>
    <w:rsid w:val="5ACF1D2D"/>
    <w:rsid w:val="5B691527"/>
    <w:rsid w:val="5B6F3C5A"/>
    <w:rsid w:val="5C1A0FE5"/>
    <w:rsid w:val="5C3D7F7B"/>
    <w:rsid w:val="5CEB32A0"/>
    <w:rsid w:val="5CF94866"/>
    <w:rsid w:val="5D2A1C2F"/>
    <w:rsid w:val="5D461671"/>
    <w:rsid w:val="5D8C1883"/>
    <w:rsid w:val="5DB95EBF"/>
    <w:rsid w:val="5DD83019"/>
    <w:rsid w:val="5DE366FE"/>
    <w:rsid w:val="5DE45F08"/>
    <w:rsid w:val="5E0B5EE7"/>
    <w:rsid w:val="5EC83DAF"/>
    <w:rsid w:val="5F5104AA"/>
    <w:rsid w:val="5F8838C9"/>
    <w:rsid w:val="5FA12E02"/>
    <w:rsid w:val="5FFB27F0"/>
    <w:rsid w:val="60111022"/>
    <w:rsid w:val="60B05454"/>
    <w:rsid w:val="60C97A99"/>
    <w:rsid w:val="60DF0FD8"/>
    <w:rsid w:val="60F95FC0"/>
    <w:rsid w:val="61383115"/>
    <w:rsid w:val="61427F38"/>
    <w:rsid w:val="614F29D5"/>
    <w:rsid w:val="61581B6F"/>
    <w:rsid w:val="61A14A4A"/>
    <w:rsid w:val="61DD0913"/>
    <w:rsid w:val="6204790F"/>
    <w:rsid w:val="622C584E"/>
    <w:rsid w:val="62323E8F"/>
    <w:rsid w:val="63BF5CFF"/>
    <w:rsid w:val="63D61992"/>
    <w:rsid w:val="649F1D8C"/>
    <w:rsid w:val="64CC5C9D"/>
    <w:rsid w:val="64D83CC3"/>
    <w:rsid w:val="651B76B8"/>
    <w:rsid w:val="65300A13"/>
    <w:rsid w:val="6548029F"/>
    <w:rsid w:val="66867DDA"/>
    <w:rsid w:val="671B1B0C"/>
    <w:rsid w:val="67337E5D"/>
    <w:rsid w:val="67F37EDB"/>
    <w:rsid w:val="680B1397"/>
    <w:rsid w:val="68167808"/>
    <w:rsid w:val="68AD3B3A"/>
    <w:rsid w:val="68DA7AF4"/>
    <w:rsid w:val="68FD4B97"/>
    <w:rsid w:val="695E1D64"/>
    <w:rsid w:val="69627890"/>
    <w:rsid w:val="698974AD"/>
    <w:rsid w:val="69D266F8"/>
    <w:rsid w:val="69DB69F6"/>
    <w:rsid w:val="6A2F5528"/>
    <w:rsid w:val="6A2F6D7C"/>
    <w:rsid w:val="6A4D7241"/>
    <w:rsid w:val="6AD34A4C"/>
    <w:rsid w:val="6B1040FE"/>
    <w:rsid w:val="6B1159CD"/>
    <w:rsid w:val="6B466A65"/>
    <w:rsid w:val="6B4D52CB"/>
    <w:rsid w:val="6B682BB7"/>
    <w:rsid w:val="6B6B00C0"/>
    <w:rsid w:val="6B6F7A13"/>
    <w:rsid w:val="6BA51484"/>
    <w:rsid w:val="6BBC65B5"/>
    <w:rsid w:val="6BDB046F"/>
    <w:rsid w:val="6BE440C5"/>
    <w:rsid w:val="6C362D8F"/>
    <w:rsid w:val="6C572E33"/>
    <w:rsid w:val="6CDA0C21"/>
    <w:rsid w:val="6CF3796B"/>
    <w:rsid w:val="6D9623B3"/>
    <w:rsid w:val="6DB42220"/>
    <w:rsid w:val="6E1E1F3B"/>
    <w:rsid w:val="6E264EC0"/>
    <w:rsid w:val="6E8231C5"/>
    <w:rsid w:val="6EA16D50"/>
    <w:rsid w:val="6EFF7323"/>
    <w:rsid w:val="70115922"/>
    <w:rsid w:val="70420AEF"/>
    <w:rsid w:val="705B4CF7"/>
    <w:rsid w:val="70711724"/>
    <w:rsid w:val="70AF1800"/>
    <w:rsid w:val="70BF48E4"/>
    <w:rsid w:val="710D5594"/>
    <w:rsid w:val="71155ED6"/>
    <w:rsid w:val="71220303"/>
    <w:rsid w:val="713A2A4A"/>
    <w:rsid w:val="71741AF0"/>
    <w:rsid w:val="718835F1"/>
    <w:rsid w:val="72212E4E"/>
    <w:rsid w:val="727F5E73"/>
    <w:rsid w:val="72A86AC0"/>
    <w:rsid w:val="72C74F40"/>
    <w:rsid w:val="731400E7"/>
    <w:rsid w:val="732C3F5E"/>
    <w:rsid w:val="73330C6D"/>
    <w:rsid w:val="7337228B"/>
    <w:rsid w:val="73772C6A"/>
    <w:rsid w:val="74454085"/>
    <w:rsid w:val="74C46E32"/>
    <w:rsid w:val="74CD1C04"/>
    <w:rsid w:val="74E62298"/>
    <w:rsid w:val="74FD04FA"/>
    <w:rsid w:val="7505209A"/>
    <w:rsid w:val="753C60D4"/>
    <w:rsid w:val="755545C9"/>
    <w:rsid w:val="76096671"/>
    <w:rsid w:val="76BC0EF4"/>
    <w:rsid w:val="76C609CD"/>
    <w:rsid w:val="77067C25"/>
    <w:rsid w:val="772261EC"/>
    <w:rsid w:val="777058BE"/>
    <w:rsid w:val="77A83D92"/>
    <w:rsid w:val="77DB1282"/>
    <w:rsid w:val="784A3707"/>
    <w:rsid w:val="79247BD9"/>
    <w:rsid w:val="7968355A"/>
    <w:rsid w:val="79934DA3"/>
    <w:rsid w:val="79DB45EE"/>
    <w:rsid w:val="7A1940EF"/>
    <w:rsid w:val="7A272796"/>
    <w:rsid w:val="7A3C34AA"/>
    <w:rsid w:val="7A4A3E1E"/>
    <w:rsid w:val="7A525091"/>
    <w:rsid w:val="7A697BB4"/>
    <w:rsid w:val="7A7B5D31"/>
    <w:rsid w:val="7A9B40EA"/>
    <w:rsid w:val="7AE91501"/>
    <w:rsid w:val="7B515D85"/>
    <w:rsid w:val="7B9F42D5"/>
    <w:rsid w:val="7BA42D41"/>
    <w:rsid w:val="7BD83419"/>
    <w:rsid w:val="7BE93BF1"/>
    <w:rsid w:val="7BEC59CF"/>
    <w:rsid w:val="7C246CC4"/>
    <w:rsid w:val="7C296053"/>
    <w:rsid w:val="7C793AF7"/>
    <w:rsid w:val="7D20564A"/>
    <w:rsid w:val="7D7E59F1"/>
    <w:rsid w:val="7D9C6D51"/>
    <w:rsid w:val="7DF30130"/>
    <w:rsid w:val="7E402ECD"/>
    <w:rsid w:val="7E655543"/>
    <w:rsid w:val="7E701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2018-08-03T07:36:00Z</dcterms:created>
  <dc:creator>Administrator</dc:creator>
  <cp:lastModifiedBy>Administrator</cp:lastModifiedBy>
  <dcterms:modified xsi:type="dcterms:W3CDTF">2019-02-22T08:37:34Z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