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鸡蛋月报（2019年1月）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消息，周四全国行情稳中上涨；主销区北京上涨上海广东平稳为主；产区中部市场走货稍快大部分地区稳中上涨，北京市周边市场跟随北京整体上涨，东北市场纸箱走货虽然一般但北京上涨导致部分地区被动跟涨，散框市场同样有惜售上涨出现，各地后市反弹动力一般南方市场走势依旧不畅；淘汰鸡昨晚开价大部分地区稳中反弹，各地淘汰情况一般。周四鸡蛋现货价格报2880元/500千克，+55元/500千克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</w:t>
      </w:r>
      <w:r>
        <w:rPr>
          <w:rFonts w:hint="eastAsia" w:asciiTheme="minorEastAsia" w:hAnsiTheme="minorEastAsia" w:cstheme="minorEastAsia"/>
          <w:lang w:val="en-US" w:eastAsia="zh-CN"/>
        </w:rPr>
        <w:t>2月4日-3月1日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大连盘鸡蛋期货下午收盘主力190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合约上涨，开盘价格为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3320</w:t>
      </w:r>
      <w:r>
        <w:rPr>
          <w:rFonts w:ascii="宋体" w:hAnsi="宋体" w:eastAsia="宋体" w:cs="宋体"/>
          <w:sz w:val="24"/>
          <w:szCs w:val="24"/>
        </w:rPr>
        <w:t>/500千克，最高价为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3339</w:t>
      </w:r>
      <w:r>
        <w:rPr>
          <w:rFonts w:ascii="宋体" w:hAnsi="宋体" w:eastAsia="宋体" w:cs="宋体"/>
          <w:sz w:val="24"/>
          <w:szCs w:val="24"/>
        </w:rPr>
        <w:t>元/500千克，最低价为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3311</w:t>
      </w:r>
      <w:r>
        <w:rPr>
          <w:rFonts w:ascii="宋体" w:hAnsi="宋体" w:eastAsia="宋体" w:cs="宋体"/>
          <w:sz w:val="24"/>
          <w:szCs w:val="24"/>
        </w:rPr>
        <w:t>元/500千克，收盘价为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3332</w:t>
      </w:r>
      <w:r>
        <w:rPr>
          <w:rFonts w:ascii="宋体" w:hAnsi="宋体" w:eastAsia="宋体" w:cs="宋体"/>
          <w:sz w:val="24"/>
          <w:szCs w:val="24"/>
        </w:rPr>
        <w:t>元/500千克，涨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元/500千克，成交量为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92332</w:t>
      </w:r>
      <w:r>
        <w:rPr>
          <w:rFonts w:ascii="宋体" w:hAnsi="宋体" w:eastAsia="宋体" w:cs="宋体"/>
          <w:sz w:val="24"/>
          <w:szCs w:val="24"/>
        </w:rPr>
        <w:t>手，持仓量为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16.9万</w:t>
      </w:r>
      <w:r>
        <w:rPr>
          <w:rFonts w:ascii="宋体" w:hAnsi="宋体" w:eastAsia="宋体" w:cs="宋体"/>
          <w:sz w:val="24"/>
          <w:szCs w:val="24"/>
        </w:rPr>
        <w:t>手，日减仓1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0234</w:t>
      </w:r>
      <w:r>
        <w:rPr>
          <w:rFonts w:ascii="宋体" w:hAnsi="宋体" w:eastAsia="宋体" w:cs="宋体"/>
          <w:sz w:val="24"/>
          <w:szCs w:val="24"/>
        </w:rPr>
        <w:t>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040" cy="2939415"/>
            <wp:effectExtent l="0" t="0" r="0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据芝华数据最新统计，2019年1月份在产蛋鸡存栏10.32亿只，环比减少1.36%。根据芝华数据，在产蛋鸡数量持续减少、产能恢复缓慢；在养殖利润的刺激下，育雏鸡补栏数量实现连续四个月增长，其中1月补栏量环比增加22.62%，但较去年同期减少4.47%。继广西和云南之后，河北和内蒙古再报非洲猪瘟疫情，根据博亚和讯消息，仔猪价格明显上涨显示养殖户和企业看好未来生猪需求；考虑到春节过后消费转弱同时非洲猪瘟打压需求，而春节出栏高峰后猪源相对紧俏支撑猪价，预计短期猪价仍将震荡偏弱但跌幅有限。2月22日农村农业部发布消息，云南省丽江市华坪县发生一起家禽H5N6亚型高致病性禽流感疫情。尽管云南丽江禽流感疫情处理迅速得当，但短期市场或仍有波动，考虑到禽流感传播的特殊性、后续防疫工作至关重要，需要持续跟进动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1905合约轻仓短多。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2019-03-01T08:31:26Z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