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28"/>
          <w:szCs w:val="28"/>
        </w:rPr>
        <w:t>股指期货月报（20190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01-0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）</w:t>
      </w:r>
    </w:p>
    <w:p/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6350</wp:posOffset>
            </wp:positionV>
            <wp:extent cx="2040255" cy="1021715"/>
            <wp:effectExtent l="0" t="0" r="1714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 xml:space="preserve">郭冬岩     </w:t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 xml:space="preserve">从业资格证号：F3024504    </w:t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 xml:space="preserve">投询资格证号：Z0013837    </w:t>
      </w:r>
    </w:p>
    <w:p>
      <w:pPr>
        <w:wordWrap w:val="0"/>
        <w:spacing w:line="240" w:lineRule="atLeast"/>
        <w:ind w:firstLine="540" w:firstLineChars="300"/>
        <w:rPr>
          <w:rFonts w:ascii="微软雅黑" w:hAnsi="微软雅黑" w:eastAsia="微软雅黑" w:cs="微软雅黑"/>
          <w:sz w:val="18"/>
          <w:szCs w:val="1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电话： 0351-7342558</w:t>
      </w:r>
    </w:p>
    <w:p>
      <w:pPr>
        <w:ind w:firstLine="540" w:firstLineChars="300"/>
        <w:rPr>
          <w:rStyle w:val="7"/>
          <w:rFonts w:ascii="宋体" w:hAnsi="宋体" w:cs="宋体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sz w:val="18"/>
          <w:szCs w:val="18"/>
          <w:shd w:val="clear" w:color="auto" w:fill="FFFFFF"/>
        </w:rPr>
        <w:t>邮箱</w:t>
      </w:r>
      <w:r>
        <w:rPr>
          <w:rFonts w:ascii="微软雅黑" w:hAnsi="微软雅黑" w:eastAsia="微软雅黑" w:cs="微软雅黑"/>
          <w:sz w:val="18"/>
          <w:szCs w:val="18"/>
          <w:shd w:val="clear" w:color="auto" w:fill="FFFFFF"/>
        </w:rPr>
        <w:t>：</w:t>
      </w:r>
      <w:r>
        <w:fldChar w:fldCharType="begin"/>
      </w:r>
      <w:r>
        <w:instrText xml:space="preserve"> HYPERLINK "mailto:guodongyan@hhqh.com" </w:instrText>
      </w:r>
      <w:r>
        <w:fldChar w:fldCharType="separate"/>
      </w:r>
      <w:r>
        <w:rPr>
          <w:rStyle w:val="7"/>
          <w:rFonts w:hint="eastAsia" w:ascii="宋体" w:hAnsi="宋体" w:eastAsia="宋体" w:cs="宋体"/>
          <w:sz w:val="18"/>
          <w:szCs w:val="18"/>
        </w:rPr>
        <w:t>guodongyan@hhqh.com</w:t>
      </w:r>
      <w:r>
        <w:rPr>
          <w:rStyle w:val="7"/>
          <w:rFonts w:hint="eastAsia" w:ascii="宋体" w:hAnsi="宋体" w:eastAsia="宋体" w:cs="宋体"/>
          <w:sz w:val="18"/>
          <w:szCs w:val="18"/>
        </w:rPr>
        <w:fldChar w:fldCharType="end"/>
      </w:r>
      <w:r>
        <w:rPr>
          <w:rStyle w:val="7"/>
          <w:rFonts w:hint="eastAsia" w:ascii="宋体" w:hAnsi="宋体" w:cs="宋体"/>
          <w:sz w:val="18"/>
          <w:szCs w:val="18"/>
        </w:rPr>
        <w:t>.cn</w:t>
      </w:r>
      <w:r>
        <w:rPr>
          <w:rStyle w:val="7"/>
          <w:rFonts w:hint="eastAsia" w:ascii="宋体" w:hAnsi="宋体" w:cs="宋体"/>
          <w:sz w:val="18"/>
          <w:szCs w:val="18"/>
          <w:u w:val="none"/>
        </w:rPr>
        <w:t xml:space="preserve"> </w:t>
      </w:r>
    </w:p>
    <w:p>
      <w:pPr>
        <w:rPr>
          <w:rStyle w:val="7"/>
          <w:rFonts w:ascii="宋体" w:hAnsi="宋体" w:cs="宋体"/>
          <w:sz w:val="18"/>
          <w:szCs w:val="18"/>
          <w:u w:val="none"/>
        </w:rPr>
      </w:pPr>
    </w:p>
    <w:p>
      <w:pPr>
        <w:jc w:val="left"/>
        <w:rPr>
          <w:rStyle w:val="7"/>
          <w:rFonts w:hint="eastAsia" w:ascii="微软雅黑" w:hAnsi="微软雅黑" w:eastAsia="微软雅黑" w:cs="微软雅黑"/>
          <w:b/>
          <w:color w:val="4D4D4D"/>
          <w:sz w:val="24"/>
          <w:u w:val="none"/>
        </w:rPr>
      </w:pPr>
      <w:r>
        <w:rPr>
          <w:rFonts w:hint="eastAsia" w:ascii="微软雅黑" w:hAnsi="微软雅黑" w:eastAsia="微软雅黑" w:cs="微软雅黑"/>
          <w:b/>
          <w:color w:val="4D4D4D"/>
          <w:sz w:val="24"/>
        </w:rPr>
        <w:t>一、月末交易日期货主力合约成交情况</w:t>
      </w:r>
    </w:p>
    <w:p>
      <w:pPr>
        <w:ind w:firstLine="420" w:firstLineChars="200"/>
        <w:jc w:val="left"/>
        <w:rPr>
          <w:rStyle w:val="7"/>
          <w:rFonts w:ascii="微软雅黑" w:hAnsi="微软雅黑" w:eastAsia="微软雅黑" w:cs="微软雅黑"/>
          <w:b/>
          <w:color w:val="4D4D4D"/>
          <w:szCs w:val="21"/>
          <w:u w:val="none"/>
        </w:rPr>
      </w:pP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月3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日收盘，沪深300股指主力（IF190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）合约收盘价3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594.8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点、微跌0.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8%,成交量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11.30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万手，持仓量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9.2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6万手；上证50（IH190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）合约收盘价2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707.0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点，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下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跌0.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57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%，成交量3.96万手，持仓量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4.13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万手；中证500（IC190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）合约收盘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4808.8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点，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下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跌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0.53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%，成交量8.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32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万手，持仓量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8.23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万手。</w:t>
      </w:r>
    </w:p>
    <w:p>
      <w:pPr>
        <w:jc w:val="left"/>
        <w:rPr>
          <w:rFonts w:ascii="微软雅黑" w:hAnsi="微软雅黑" w:eastAsia="微软雅黑" w:cs="微软雅黑"/>
          <w:b/>
          <w:color w:val="4D4D4D"/>
          <w:sz w:val="24"/>
        </w:rPr>
      </w:pPr>
      <w:r>
        <w:rPr>
          <w:rFonts w:hint="eastAsia" w:ascii="微软雅黑" w:hAnsi="微软雅黑" w:eastAsia="微软雅黑" w:cs="微软雅黑"/>
          <w:b/>
          <w:color w:val="4D4D4D"/>
          <w:sz w:val="24"/>
        </w:rPr>
        <w:t>二、本月股指及期货主力合约成交情况</w:t>
      </w:r>
    </w:p>
    <w:p>
      <w:pPr>
        <w:ind w:left="420"/>
        <w:jc w:val="left"/>
        <w:rPr>
          <w:rFonts w:ascii="微软雅黑" w:hAnsi="微软雅黑" w:eastAsia="微软雅黑" w:cs="微软雅黑"/>
          <w:b/>
          <w:color w:val="4D4D4D"/>
          <w:szCs w:val="21"/>
        </w:rPr>
      </w:pPr>
      <w:r>
        <w:rPr>
          <w:rFonts w:hint="eastAsia" w:ascii="微软雅黑" w:hAnsi="微软雅黑" w:eastAsia="微软雅黑" w:cs="微软雅黑"/>
          <w:b/>
          <w:color w:val="4D4D4D"/>
          <w:szCs w:val="21"/>
        </w:rPr>
        <w:t>IF本月表现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月收盘价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月涨跌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月涨跌幅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沪深300指数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629.79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- 283.42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7.24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IF190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594.8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- 308.6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7.91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IF加权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584.2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- 322.4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8.25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</w:tbl>
    <w:p>
      <w:pPr>
        <w:ind w:firstLine="420" w:firstLineChars="200"/>
        <w:jc w:val="left"/>
        <w:rPr>
          <w:rFonts w:ascii="微软雅黑" w:hAnsi="微软雅黑" w:eastAsia="微软雅黑" w:cs="微软雅黑"/>
          <w:b/>
          <w:color w:val="4D4D4D"/>
          <w:szCs w:val="21"/>
        </w:rPr>
      </w:pPr>
      <w:r>
        <w:rPr>
          <w:rFonts w:hint="eastAsia" w:ascii="微软雅黑" w:hAnsi="微软雅黑" w:eastAsia="微软雅黑" w:cs="微软雅黑"/>
          <w:b/>
          <w:color w:val="4D4D4D"/>
          <w:szCs w:val="21"/>
        </w:rPr>
        <w:t>IH本月表现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月收盘价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月涨跌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月涨跌幅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上证50指数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2728.95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- 216.29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7.34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IH190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2707.0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- 231.6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7.88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IH加权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702.2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- 243.0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8.25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</w:tbl>
    <w:p>
      <w:pPr>
        <w:ind w:firstLine="420" w:firstLineChars="200"/>
        <w:jc w:val="left"/>
        <w:rPr>
          <w:rFonts w:ascii="微软雅黑" w:hAnsi="微软雅黑" w:eastAsia="微软雅黑" w:cs="微软雅黑"/>
          <w:b/>
          <w:color w:val="4D4D4D"/>
          <w:szCs w:val="21"/>
        </w:rPr>
      </w:pPr>
      <w:r>
        <w:rPr>
          <w:rFonts w:hint="eastAsia" w:ascii="微软雅黑" w:hAnsi="微软雅黑" w:eastAsia="微软雅黑" w:cs="微软雅黑"/>
          <w:b/>
          <w:color w:val="4D4D4D"/>
          <w:szCs w:val="21"/>
        </w:rPr>
        <w:t>IC本月表现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月收盘价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月涨跌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月涨跌幅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中证500指数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4912.0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 xml:space="preserve"> 395.56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7.45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IC190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4808.8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 xml:space="preserve"> 419.8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8.02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IC加权</w:t>
            </w:r>
          </w:p>
        </w:tc>
        <w:tc>
          <w:tcPr>
            <w:tcW w:w="2130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4755.0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点</w:t>
            </w:r>
          </w:p>
        </w:tc>
        <w:tc>
          <w:tcPr>
            <w:tcW w:w="2131" w:type="dxa"/>
          </w:tcPr>
          <w:p>
            <w:pPr>
              <w:jc w:val="left"/>
              <w:rPr>
                <w:rFonts w:hint="default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 xml:space="preserve"> 486.2</w:t>
            </w:r>
          </w:p>
        </w:tc>
        <w:tc>
          <w:tcPr>
            <w:tcW w:w="2131" w:type="dxa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4D4D4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  <w:lang w:val="en-US" w:eastAsia="zh-CN"/>
              </w:rPr>
              <w:t>9.28</w:t>
            </w:r>
            <w:r>
              <w:rPr>
                <w:rFonts w:hint="eastAsia" w:ascii="微软雅黑" w:hAnsi="微软雅黑" w:eastAsia="微软雅黑" w:cs="微软雅黑"/>
                <w:b/>
                <w:color w:val="4D4D4D"/>
                <w:szCs w:val="21"/>
              </w:rPr>
              <w:t>%</w:t>
            </w:r>
          </w:p>
        </w:tc>
      </w:tr>
    </w:tbl>
    <w:p>
      <w:pPr>
        <w:ind w:firstLine="420" w:firstLineChars="200"/>
        <w:jc w:val="left"/>
        <w:rPr>
          <w:rFonts w:ascii="微软雅黑" w:hAnsi="微软雅黑" w:eastAsia="微软雅黑" w:cs="微软雅黑"/>
          <w:b/>
          <w:color w:val="4D4D4D"/>
          <w:szCs w:val="21"/>
        </w:rPr>
      </w:pPr>
      <w:r>
        <w:rPr>
          <w:rFonts w:hint="eastAsia" w:ascii="微软雅黑" w:hAnsi="微软雅黑" w:eastAsia="微软雅黑" w:cs="微软雅黑"/>
          <w:b/>
          <w:color w:val="4D4D4D"/>
          <w:szCs w:val="21"/>
        </w:rPr>
        <w:t>从本月三大期指相对强弱表现来看，中证 500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沪深 300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上证 50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三大现货指数表现均较差，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上证50（IH）沪深300(IF)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IC期指表现也较差，在4、5月份宏观经济数据较弱，及中美贸易争端、市场成交量较低迷的背景下，指数在5月的表现比较惨淡。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b/>
          <w:color w:val="4D4D4D"/>
          <w:sz w:val="24"/>
        </w:rPr>
      </w:pPr>
      <w:r>
        <w:rPr>
          <w:rFonts w:ascii="微软雅黑" w:hAnsi="微软雅黑" w:eastAsia="微软雅黑" w:cs="微软雅黑"/>
          <w:b w:val="0"/>
          <w:bCs/>
          <w:color w:val="4D4D4D"/>
          <w:sz w:val="28"/>
          <w:szCs w:val="28"/>
        </w:rPr>
        <w:t>宏观经济面</w:t>
      </w:r>
    </w:p>
    <w:p>
      <w:pPr>
        <w:numPr>
          <w:ilvl w:val="0"/>
          <w:numId w:val="0"/>
        </w:numPr>
        <w:jc w:val="left"/>
        <w:rPr>
          <w:rFonts w:ascii="微软雅黑" w:hAnsi="微软雅黑" w:eastAsia="微软雅黑" w:cs="微软雅黑"/>
          <w:b w:val="0"/>
          <w:bCs/>
          <w:color w:val="4D4D4D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5月官方制造业PMI为49.4% 低于荣枯线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2019年5月份，中国制造业采购经理指数(PMI)为49.4%，比上月回落0.7个百分点。从企业规模看，大型企业PMI为50.3%，比上月回落0.5个百分点，仍高于临界点；中、小型企业PMI为48.8%和47.8%，分别比上月下降0.3和2.0个百分点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从分类指数看，在构成制造业PMI的5个分类指数中，生产指数和供应商配送时间指数高于临界点，新订单指数、原材料库存指数和从业人员指数低于临界点。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生产指数为51.7%，比上月回落0.4个百分点，仍位于临界点之上，表明制造业生产继续保持扩张态势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新订单指数为49.8%，比上月下降1.6个百分点，位于临界点之下，表明制造业市场需求有所回落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原材料库存指数为47.4%，比上月回升0.2个百分点，位于临界点之下，表明制造业主要原材料库存量降幅有所收窄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从业人员指数为47.0%，比上月下降0.2个百分点，位于临界点之下，表明制造业企业用工量回落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  <w:t>；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</w:rPr>
        <w:t>供应商配送时间指数为50.9%，比上月上升1.0个百分点，位于临界点之上，表明制造业原材料供应商交货时间有所加快。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4"/>
          <w:lang w:val="en-US" w:eastAsia="zh-CN"/>
        </w:rPr>
        <w:t>综合来看，PMI指数虽然有所回落，但经济运行保持稳定仍有较好基础。大型企业的基础作用仍较为良好，生产增速加快，接单也保持增加；小微企业的供需增速下降较为明显，但原材料采购和累库意愿增强。虽然近期外需不确定性上升，导致工业生产活动进一步承压、但在对冲关税加征对国内制造业企业的盈利冲击方面，财政宽松仍大有空间，实施好减税降费政策，有望推动经济增长由外需向内需的转换）</w:t>
      </w:r>
    </w:p>
    <w:p>
      <w:pPr>
        <w:ind w:firstLine="420" w:firstLineChars="200"/>
        <w:jc w:val="left"/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</w:pPr>
      <w:r>
        <w:rPr>
          <w:rStyle w:val="6"/>
          <w:rFonts w:hint="eastAsia" w:ascii="微软雅黑" w:hAnsi="微软雅黑" w:eastAsia="微软雅黑"/>
          <w:color w:val="000000"/>
          <w:szCs w:val="21"/>
          <w:shd w:val="clear" w:color="auto" w:fill="FFFFFF"/>
        </w:rPr>
        <w:t>（</w:t>
      </w:r>
      <w:r>
        <w:rPr>
          <w:rStyle w:val="6"/>
          <w:rFonts w:hint="eastAsia" w:ascii="微软雅黑" w:hAnsi="微软雅黑" w:eastAsia="微软雅黑"/>
          <w:color w:val="000000"/>
          <w:szCs w:val="21"/>
          <w:shd w:val="clear" w:color="auto" w:fill="FFFFFF"/>
          <w:lang w:val="en-US" w:eastAsia="zh-CN"/>
        </w:rPr>
        <w:t>二</w:t>
      </w:r>
      <w:r>
        <w:rPr>
          <w:rStyle w:val="6"/>
          <w:rFonts w:hint="eastAsia" w:ascii="微软雅黑" w:hAnsi="微软雅黑" w:eastAsia="微软雅黑"/>
          <w:color w:val="000000"/>
          <w:szCs w:val="21"/>
          <w:shd w:val="clear" w:color="auto" w:fill="FFFFFF"/>
        </w:rPr>
        <w:t>）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市场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流动性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平稳</w:t>
      </w:r>
    </w:p>
    <w:p>
      <w:pPr>
        <w:ind w:firstLine="420" w:firstLineChars="200"/>
        <w:jc w:val="left"/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5月30日，央行在开展中央国库现金管理商业银行定期存款操作800亿元的基础上，以利率招标方式开展了300亿元逆回购操作。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自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5月27日以来，央行连续第4日开展逆回购操作，由于当日没有央行逆回购到期，全部实现净投放。从全口径考虑，当日央行净投放了1100亿元。此前三日，央行通过逆回购操作分别净投放了800亿元、700亿元和2500亿元。过去四日，央行通过公开市场操作渠道累计净投放超过5000亿元。央行短期资金投放力度不小，再加上月末财政支出力度较大，也形成流动性供给，银行体系流动性总量在短期内出现较明显上升。目前看来，央行及时有力的操作，有效提升了流动性总量，稳定了金融机构的预期，市场情绪正趋于平稳。但由于下周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  <w:t>（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6月初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  <w:t>）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将有5300亿元央行逆回购到期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及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多达4630亿元的MLF到期，两项合计将造成近万亿元基础货币回笼。月初通常是流动性较为充裕和平稳的时段，但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6月初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大量央行流动性工具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的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到期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还是给市场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带来了不确定性。</w:t>
      </w:r>
    </w:p>
    <w:p>
      <w:pPr>
        <w:ind w:firstLine="420" w:firstLineChars="200"/>
        <w:jc w:val="left"/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</w:pP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  <w:t>（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综合来看，6月市场流动性方面对市场不构成制约，且市场已在5月主动调整，因此6月份大概率震荡缓升为主。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  <w:t>）</w:t>
      </w:r>
    </w:p>
    <w:p>
      <w:pPr>
        <w:jc w:val="left"/>
        <w:rPr>
          <w:rFonts w:ascii="微软雅黑" w:hAnsi="微软雅黑" w:eastAsia="微软雅黑" w:cs="微软雅黑"/>
          <w:b/>
          <w:color w:val="4D4D4D"/>
          <w:sz w:val="24"/>
        </w:rPr>
      </w:pPr>
      <w:r>
        <w:rPr>
          <w:rFonts w:hint="eastAsia" w:ascii="微软雅黑" w:hAnsi="微软雅黑" w:eastAsia="微软雅黑" w:cs="微软雅黑"/>
          <w:b/>
          <w:color w:val="4D4D4D"/>
          <w:sz w:val="24"/>
        </w:rPr>
        <w:t>四、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8"/>
          <w:szCs w:val="28"/>
        </w:rPr>
        <w:t>市场消息面</w:t>
      </w:r>
    </w:p>
    <w:p>
      <w:pPr>
        <w:ind w:firstLine="420" w:firstLineChars="200"/>
        <w:jc w:val="left"/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5月25日，富时罗素宣布自6月起开启第一批A股纳入富时全球股票指数，首批1097只A股入选，预计合计流入100亿美元被动资金。5月28日收盘后，MSCI将现有A股的纳入因子从5%提高至10%。资本市场开放持续推进。</w:t>
      </w:r>
    </w:p>
    <w:p>
      <w:pPr>
        <w:ind w:firstLine="420" w:firstLineChars="200"/>
        <w:jc w:val="left"/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近半年来，瑞银证券成首家外资控股券商；安联(中国)保险成首家外资保险控股公司；环球同业银行金融电讯协会(SWIFT)在北京设立外商独资企业；美国标普全球公司在北京设立全资子公司获得央行营管部备案，并可以进入银行间债券市场开展债券评级业务的注册等。</w:t>
      </w:r>
    </w:p>
    <w:p>
      <w:pPr>
        <w:ind w:firstLine="210" w:firstLineChars="100"/>
        <w:jc w:val="left"/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</w:pP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</w:rPr>
        <w:t>　中国人民银行行长易纲表示，在金融对外开放措施基本落实到位外，人民银行先后推出开放征信、评级、支付等领域的准入条件，给予外资国民待遇，外资机构进入中国的市场取得了实质性、突破性进展。债券市场的双向开放稳步推进，国际资本持续流入中国。</w:t>
      </w:r>
    </w:p>
    <w:p>
      <w:pPr>
        <w:ind w:firstLine="210" w:firstLineChars="100"/>
        <w:jc w:val="left"/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</w:pP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  <w:t>（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val="en-US" w:eastAsia="zh-CN"/>
        </w:rPr>
        <w:t>长期来看，随着中国市场的不断开放及外资的持续流入，我们仍然看好中长期A股市场的表现</w:t>
      </w:r>
      <w:r>
        <w:rPr>
          <w:rStyle w:val="6"/>
          <w:rFonts w:hint="eastAsia" w:ascii="微软雅黑" w:hAnsi="微软雅黑" w:eastAsia="微软雅黑"/>
          <w:b w:val="0"/>
          <w:bCs w:val="0"/>
          <w:color w:val="000000"/>
          <w:szCs w:val="21"/>
          <w:shd w:val="clear" w:color="auto" w:fill="FFFFFF"/>
          <w:lang w:eastAsia="zh-CN"/>
        </w:rPr>
        <w:t>）</w:t>
      </w:r>
    </w:p>
    <w:p>
      <w:pPr>
        <w:jc w:val="left"/>
        <w:rPr>
          <w:rFonts w:hint="eastAsia" w:ascii="微软雅黑" w:hAnsi="微软雅黑" w:eastAsia="微软雅黑" w:cs="微软雅黑"/>
          <w:b w:val="0"/>
          <w:bCs/>
          <w:color w:val="4D4D4D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4D4D4D"/>
          <w:sz w:val="24"/>
        </w:rPr>
        <w:t>五、</w:t>
      </w:r>
      <w:r>
        <w:rPr>
          <w:rFonts w:hint="eastAsia" w:ascii="微软雅黑" w:hAnsi="微软雅黑" w:eastAsia="微软雅黑" w:cs="微软雅黑"/>
          <w:b w:val="0"/>
          <w:bCs/>
          <w:color w:val="4D4D4D"/>
          <w:sz w:val="28"/>
          <w:szCs w:val="28"/>
        </w:rPr>
        <w:t>技术面看市</w:t>
      </w:r>
    </w:p>
    <w:p>
      <w:pPr>
        <w:jc w:val="left"/>
      </w:pPr>
      <w:r>
        <w:rPr>
          <w:rFonts w:hint="eastAsia" w:ascii="微软雅黑" w:hAnsi="微软雅黑" w:eastAsia="微软雅黑" w:cs="微软雅黑"/>
          <w:b/>
          <w:color w:val="4D4D4D"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月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上证指数震荡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筑底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为主，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最低下探2833点，最高月中上攻2956点，整体上呈现箱体震荡格局，展望未来，沪指估值已然从高位回调，现阶段具备一定的估值吸引，短期虽然在4-5月宏观经济数据较弱的背景下震荡趋弱，但中长期来看，随着企业盈利可能在3季度的回升，及外资的持续流入，我们仍然谨慎乐观看好中国的权益市场。</w:t>
      </w:r>
      <w:r>
        <w:drawing>
          <wp:inline distT="0" distB="0" distL="114300" distR="114300">
            <wp:extent cx="5238750" cy="39814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短期指数可逢箱体顶部或者前期跳空缺口处，逢高减仓（平仓）。（黄线位于2969点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jc w:val="left"/>
        <w:rPr>
          <w:rFonts w:hint="eastAsia" w:ascii="微软雅黑" w:hAnsi="微软雅黑" w:eastAsia="微软雅黑" w:cs="微软雅黑"/>
          <w:b/>
          <w:color w:val="4D4D4D"/>
          <w:szCs w:val="21"/>
        </w:rPr>
      </w:pPr>
      <w:r>
        <w:rPr>
          <w:rFonts w:hint="eastAsia" w:ascii="微软雅黑" w:hAnsi="微软雅黑" w:eastAsia="微软雅黑" w:cs="微软雅黑"/>
          <w:b/>
          <w:color w:val="4D4D4D"/>
          <w:sz w:val="24"/>
        </w:rPr>
        <w:t>六、交易策略建议</w:t>
      </w:r>
    </w:p>
    <w:p>
      <w:pPr>
        <w:ind w:firstLine="420" w:firstLineChars="200"/>
        <w:jc w:val="left"/>
        <w:rPr>
          <w:rFonts w:ascii="微软雅黑" w:hAnsi="微软雅黑" w:eastAsia="微软雅黑" w:cs="微软雅黑"/>
          <w:b/>
          <w:color w:val="4D4D4D"/>
          <w:szCs w:val="21"/>
        </w:rPr>
      </w:pPr>
      <w:r>
        <w:rPr>
          <w:rFonts w:hint="eastAsia" w:ascii="微软雅黑" w:hAnsi="微软雅黑" w:eastAsia="微软雅黑" w:cs="微软雅黑"/>
          <w:b/>
          <w:color w:val="4D4D4D"/>
          <w:szCs w:val="21"/>
        </w:rPr>
        <w:t>基于以上看法保持</w:t>
      </w:r>
      <w:r>
        <w:rPr>
          <w:rFonts w:hint="eastAsia" w:ascii="微软雅黑" w:hAnsi="微软雅黑" w:eastAsia="微软雅黑" w:cs="微软雅黑"/>
          <w:b/>
          <w:color w:val="4D4D4D"/>
          <w:szCs w:val="21"/>
          <w:lang w:val="en-US" w:eastAsia="zh-CN"/>
        </w:rPr>
        <w:t>短期</w:t>
      </w:r>
      <w:r>
        <w:rPr>
          <w:rFonts w:hint="eastAsia" w:ascii="微软雅黑" w:hAnsi="微软雅黑" w:eastAsia="微软雅黑" w:cs="微软雅黑"/>
          <w:b/>
          <w:color w:val="4D4D4D"/>
          <w:szCs w:val="21"/>
        </w:rPr>
        <w:t>小仓位多单继续持有。</w:t>
      </w:r>
    </w:p>
    <w:p/>
    <w:p/>
    <w:p>
      <w:pPr>
        <w:spacing w:line="44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风险揭示</w:t>
      </w:r>
      <w:r>
        <w:rPr>
          <w:rFonts w:hint="eastAsia"/>
          <w:sz w:val="24"/>
        </w:rPr>
        <w:t>：</w:t>
      </w:r>
      <w:r>
        <w:rPr>
          <w:rFonts w:hint="eastAsia"/>
          <w:szCs w:val="21"/>
        </w:rPr>
        <w:t xml:space="preserve"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spacing w:line="440" w:lineRule="exact"/>
        <w:ind w:firstLine="482" w:firstLineChars="200"/>
        <w:rPr>
          <w:szCs w:val="21"/>
        </w:rPr>
      </w:pPr>
      <w:r>
        <w:rPr>
          <w:rFonts w:hint="eastAsia"/>
          <w:b/>
          <w:bCs/>
          <w:sz w:val="24"/>
        </w:rPr>
        <w:t>免责声明</w:t>
      </w:r>
      <w:r>
        <w:rPr>
          <w:rFonts w:hint="eastAsia"/>
          <w:sz w:val="24"/>
        </w:rPr>
        <w:t>：</w:t>
      </w:r>
      <w:r>
        <w:rPr>
          <w:rFonts w:hint="eastAsia"/>
          <w:szCs w:val="21"/>
        </w:rPr>
        <w:t xml:space="preserve">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spacing w:line="440" w:lineRule="exact"/>
        <w:ind w:firstLine="420" w:firstLineChars="200"/>
        <w:rPr>
          <w:sz w:val="24"/>
        </w:rPr>
      </w:pPr>
      <w:r>
        <w:rPr>
          <w:rFonts w:hint="eastAsia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sz w:val="24"/>
        </w:rPr>
      </w:pP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和合期货投询部 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联系电话：0351-7342558 </w:t>
      </w:r>
    </w:p>
    <w:p>
      <w:pPr>
        <w:spacing w:line="440" w:lineRule="exact"/>
        <w:ind w:firstLine="420" w:firstLineChars="200"/>
        <w:rPr>
          <w:sz w:val="24"/>
        </w:rPr>
      </w:pPr>
      <w:r>
        <w:rPr>
          <w:rFonts w:hint="eastAsia"/>
          <w:szCs w:val="21"/>
        </w:rPr>
        <w:t>公司网址</w:t>
      </w:r>
      <w:r>
        <w:rPr>
          <w:rFonts w:hint="eastAsia"/>
          <w:sz w:val="24"/>
        </w:rPr>
        <w:t>：</w:t>
      </w:r>
      <w:r>
        <w:fldChar w:fldCharType="begin"/>
      </w:r>
      <w:r>
        <w:instrText xml:space="preserve"> HYPERLINK "http://www.hhqh.com.cn" </w:instrText>
      </w:r>
      <w:r>
        <w:fldChar w:fldCharType="separate"/>
      </w:r>
      <w:r>
        <w:rPr>
          <w:rStyle w:val="7"/>
          <w:rFonts w:hint="eastAsia"/>
          <w:sz w:val="24"/>
        </w:rPr>
        <w:t>http://www.hhqh.com.cn</w:t>
      </w:r>
      <w:r>
        <w:rPr>
          <w:rStyle w:val="7"/>
          <w:rFonts w:hint="eastAsia"/>
          <w:sz w:val="24"/>
        </w:rPr>
        <w:fldChar w:fldCharType="end"/>
      </w:r>
    </w:p>
    <w:p>
      <w:pPr>
        <w:spacing w:line="440" w:lineRule="exact"/>
        <w:ind w:firstLine="480" w:firstLineChars="200"/>
        <w:rPr>
          <w:sz w:val="24"/>
        </w:rPr>
      </w:pPr>
    </w:p>
    <w:p>
      <w:pPr>
        <w:jc w:val="left"/>
      </w:pPr>
      <w:r>
        <w:rPr>
          <w:rFonts w:hint="eastAsia"/>
          <w:szCs w:val="21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52F918"/>
    <w:multiLevelType w:val="singleLevel"/>
    <w:tmpl w:val="8C52F91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14839"/>
    <w:rsid w:val="00091592"/>
    <w:rsid w:val="00121EC6"/>
    <w:rsid w:val="001500C8"/>
    <w:rsid w:val="00152D45"/>
    <w:rsid w:val="001B48ED"/>
    <w:rsid w:val="001F61EF"/>
    <w:rsid w:val="00202D39"/>
    <w:rsid w:val="00223A09"/>
    <w:rsid w:val="00300F6C"/>
    <w:rsid w:val="004A2738"/>
    <w:rsid w:val="004C6E9F"/>
    <w:rsid w:val="004D230E"/>
    <w:rsid w:val="005D425A"/>
    <w:rsid w:val="00624DC0"/>
    <w:rsid w:val="00630903"/>
    <w:rsid w:val="00672BF5"/>
    <w:rsid w:val="006939BA"/>
    <w:rsid w:val="006A645B"/>
    <w:rsid w:val="006B097A"/>
    <w:rsid w:val="00707C04"/>
    <w:rsid w:val="00727182"/>
    <w:rsid w:val="0076192B"/>
    <w:rsid w:val="00767117"/>
    <w:rsid w:val="0079113F"/>
    <w:rsid w:val="00852147"/>
    <w:rsid w:val="00897C5D"/>
    <w:rsid w:val="008D37BE"/>
    <w:rsid w:val="009172AF"/>
    <w:rsid w:val="00982BBE"/>
    <w:rsid w:val="009C2BEE"/>
    <w:rsid w:val="00AD0CE2"/>
    <w:rsid w:val="00B62602"/>
    <w:rsid w:val="00C23A5B"/>
    <w:rsid w:val="00C452D2"/>
    <w:rsid w:val="00CE2C1A"/>
    <w:rsid w:val="00CE451A"/>
    <w:rsid w:val="00DA5F6B"/>
    <w:rsid w:val="00DF0122"/>
    <w:rsid w:val="00E43761"/>
    <w:rsid w:val="00EC2EF8"/>
    <w:rsid w:val="00ED2CDC"/>
    <w:rsid w:val="00EE5366"/>
    <w:rsid w:val="00F92AF5"/>
    <w:rsid w:val="00FC14A9"/>
    <w:rsid w:val="00FE152C"/>
    <w:rsid w:val="0B514839"/>
    <w:rsid w:val="0BC64009"/>
    <w:rsid w:val="170B26C9"/>
    <w:rsid w:val="60226589"/>
    <w:rsid w:val="795B0DE3"/>
    <w:rsid w:val="7C5B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2068</Characters>
  <Lines>17</Lines>
  <Paragraphs>4</Paragraphs>
  <TotalTime>9</TotalTime>
  <ScaleCrop>false</ScaleCrop>
  <LinksUpToDate>false</LinksUpToDate>
  <CharactersWithSpaces>2426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2019-04-08T08:31:00Z</dcterms:created>
  <dc:creator>Administrator</dc:creator>
  <cp:lastModifiedBy>圆</cp:lastModifiedBy>
  <dcterms:modified xsi:type="dcterms:W3CDTF">2019-05-31T08:52:06Z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