
<file path=[Content_Types].xml><?xml version="1.0" encoding="utf-8"?>
<Types xmlns="http://schemas.openxmlformats.org/package/2006/content-types">
  <Default ContentType="image/jp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shapes+xml" PartName="/word/drawings/drawing1.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gbicc="http://www.gbicc.net" mc:Ignorable="w14 wp14">
  <w:body>
    <w:p w14:paraId="01C3CE70" w14:textId="77777777" w:rsidR="005D6F21" w:rsidRDefault="00043615">
      <w:pPr>
        <w:autoSpaceDE w:val="0"/>
        <w:autoSpaceDN w:val="0"/>
        <w:adjustRightInd w:val="0"/>
        <w:jc w:val="center"/>
        <w:rPr>
          <w:rFonts w:ascii="方正仿宋简体" w:eastAsia="方正仿宋简体" w:hAnsiTheme="minorEastAsia" w:cs="仿宋_GB2312"/>
          <w:kern w:val="0"/>
          <w:sz w:val="36"/>
          <w:szCs w:val="36"/>
        </w:rPr>
      </w:pPr>
      <w:r>
        <w:rPr>
          <w:rFonts w:ascii="方正仿宋简体" w:eastAsia="方正仿宋简体" w:hAnsiTheme="minorEastAsia" w:cs="仿宋_GB2312" w:hint="eastAsia"/>
          <w:kern w:val="0"/>
          <w:sz w:val="36"/>
          <w:szCs w:val="36"/>
        </w:rPr>
        <w:t>博时内需增长灵活配置混合型证券投资基金基金产品资料概要更新</w:t>
      </w:r>
    </w:p>
    <w:p w14:paraId="4FD34709" w14:textId="77777777" w:rsidR="005D6F21" w:rsidRDefault="00043615">
      <w:pPr>
        <w:autoSpaceDE w:val="0"/>
        <w:autoSpaceDN w:val="0"/>
        <w:adjustRightInd w:val="0"/>
        <w:jc w:val="right"/>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编制日期：</w:t>
      </w:r>
      <w:r>
        <w:rPr>
          <w:rFonts w:ascii="方正仿宋简体" w:eastAsia="方正仿宋简体" w:hAnsi="方正仿宋简体" w:cs="方正仿宋简体" w:hint="eastAsia"/>
          <w:iCs/>
          <w:sz w:val="24"/>
          <w:szCs w:val="24"/>
        </w:rPr>
        <w:t>2020年10月14日</w:t>
      </w:r>
    </w:p>
    <w:p w14:paraId="77590A22" w14:textId="77777777" w:rsidR="005D6F21" w:rsidRDefault="00043615">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送出日期：</w:t>
      </w:r>
      <w:r>
        <w:rPr>
          <w:rFonts w:ascii="方正仿宋简体" w:eastAsia="方正仿宋简体" w:hAnsi="方正仿宋简体" w:cs="方正仿宋简体" w:hint="eastAsia"/>
          <w:iCs/>
          <w:sz w:val="24"/>
          <w:szCs w:val="24"/>
        </w:rPr>
        <w:t>2020年10月19日</w:t>
      </w:r>
    </w:p>
    <w:p w14:paraId="2DE6BC0E" w14:textId="77777777" w:rsidR="005D6F21" w:rsidRDefault="00043615">
      <w:pPr>
        <w:autoSpaceDE w:val="0"/>
        <w:autoSpaceDN w:val="0"/>
        <w:adjustRightInd w:val="0"/>
        <w:spacing w:line="440" w:lineRule="exact"/>
        <w:jc w:val="center"/>
        <w:rPr>
          <w:rFonts w:ascii="方正黑体简体" w:eastAsia="方正黑体简体" w:cs="黑体"/>
          <w:kern w:val="0"/>
          <w:sz w:val="28"/>
          <w:szCs w:val="28"/>
        </w:rPr>
      </w:pPr>
      <w:r>
        <w:rPr>
          <w:rFonts w:ascii="方正黑体简体" w:eastAsia="方正黑体简体" w:cs="黑体" w:hint="eastAsia"/>
          <w:kern w:val="0"/>
          <w:sz w:val="28"/>
          <w:szCs w:val="28"/>
        </w:rPr>
        <w:t>本概要提供本基金的重要信息，是招募说明书的一部分。</w:t>
      </w:r>
    </w:p>
    <w:p w14:paraId="07C928C0" w14:textId="77777777" w:rsidR="005D6F21" w:rsidRDefault="00043615">
      <w:pPr>
        <w:autoSpaceDE w:val="0"/>
        <w:autoSpaceDN w:val="0"/>
        <w:adjustRightInd w:val="0"/>
        <w:spacing w:line="440" w:lineRule="exact"/>
        <w:jc w:val="center"/>
        <w:rPr>
          <w:rFonts w:ascii="方正黑体简体" w:eastAsia="方正黑体简体" w:cs="黑体"/>
          <w:kern w:val="0"/>
          <w:sz w:val="28"/>
          <w:szCs w:val="28"/>
        </w:rPr>
      </w:pPr>
      <w:proofErr w:type="gramStart"/>
      <w:r>
        <w:rPr>
          <w:rFonts w:ascii="方正黑体简体" w:eastAsia="方正黑体简体" w:cs="黑体" w:hint="eastAsia"/>
          <w:kern w:val="0"/>
          <w:sz w:val="28"/>
          <w:szCs w:val="28"/>
        </w:rPr>
        <w:t>作出</w:t>
      </w:r>
      <w:proofErr w:type="gramEnd"/>
      <w:r>
        <w:rPr>
          <w:rFonts w:ascii="方正黑体简体" w:eastAsia="方正黑体简体" w:cs="黑体" w:hint="eastAsia"/>
          <w:kern w:val="0"/>
          <w:sz w:val="28"/>
          <w:szCs w:val="28"/>
        </w:rPr>
        <w:t>投资决定前，请阅读完整的招募说明书等销售文件。</w:t>
      </w:r>
    </w:p>
    <w:p w14:paraId="4B2D020D" w14:textId="77777777" w:rsidR="005D6F21" w:rsidRDefault="00043615">
      <w:pPr gbicc:listString="一、" gbicc:numText="%1、" gbicc:numFmt="C" gbicc:numVal="1"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产品概况</w:t>
      </w:r>
    </w:p>
    <w:tbl init-cell-address="true">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2446"/>
        <w:gridCol w:w="3019"/>
        <w:gridCol w:w="2134"/>
        <w:gridCol w:w="3083"/>
      </w:tblGrid>
      <w:tr w:rsidR="005D6F21" w14:paraId="2EBD8FAC" w14:textId="77777777" w:rsidTr="00584DC5">
        <w:trPr>
          <w:trHeight w:val="454"/>
        </w:trPr>
        <w:tc>
          <w:tcPr>
            <w:tcW w:w="1145" w:type="pct"/>
            <w:vMerge w:val="restart"/>
            <w:vAlign w:val="center"/>
          </w:tcPr>
          <w:p w14:paraId="18B47E53"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基金简称</w:t>
            </w:r>
          </w:p>
        </w:tc>
        <w:tc>
          <w:tcPr>
            <w:tcW w:w="1413" w:type="pct"/>
            <w:vMerge w:val="restart"/>
            <w:vAlign w:val="center"/>
          </w:tcPr>
          <w:p w14:paraId="5F5EE235"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博时内需增长混合</w:t>
            </w:r>
          </w:p>
        </w:tc>
        <w:tc>
          <w:tcPr>
            <w:tcW w:w="999" w:type="pct"/>
            <w:vMerge w:val="restart"/>
            <w:vAlign w:val="center"/>
          </w:tcPr>
          <w:p w14:paraId="561903F6"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基金代码</w:t>
            </w:r>
          </w:p>
        </w:tc>
        <w:tc>
          <w:tcPr>
            <w:tcW w:w="1443" w:type="pct"/>
            <w:tcBorders>
              <w:bottom w:val="dashSmallGap" w:sz="4" w:space="0" w:color="A6A6A6" w:themeColor="background1" w:themeShade="A6"/>
            </w:tcBorders>
            <w:vAlign w:val="center"/>
          </w:tcPr>
          <w:p w14:paraId="18B9E61C"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000264</w:t>
            </w:r>
          </w:p>
        </w:tc>
      </w:tr>
      <w:tr w:rsidR="005D6F21" w14:paraId="2E767565" w14:textId="77777777" w:rsidTr="005F360D">
        <w:trPr>
          <w:trHeight w:val="454"/>
        </w:trPr>
        <w:tc>
          <w:tcPr>
            <w:tcW w:w="1145" w:type="pct"/>
            <w:vAlign w:val="center"/>
          </w:tcPr>
          <w:p w14:paraId="2E1E6AC0"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基金管理人</w:t>
            </w:r>
          </w:p>
        </w:tc>
        <w:tc>
          <w:tcPr>
            <w:tcW w:w="1413" w:type="pct"/>
            <w:tcBorders>
              <w:top w:val="dashSmallGap" w:sz="4" w:space="0" w:color="A6A6A6" w:themeColor="background1" w:themeShade="A6"/>
            </w:tcBorders>
            <w:vAlign w:val="center"/>
          </w:tcPr>
          <w:p w14:paraId="5FF207AA"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博时基金管理有限公司</w:t>
            </w:r>
          </w:p>
        </w:tc>
        <w:tc>
          <w:tcPr>
            <w:tcW w:w="999" w:type="pct"/>
            <w:vAlign w:val="center"/>
          </w:tcPr>
          <w:p w14:paraId="631CDC46"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基金托管人</w:t>
            </w:r>
          </w:p>
        </w:tc>
        <w:tc>
          <w:tcPr>
            <w:tcW w:w="1443" w:type="pct"/>
            <w:tcBorders>
              <w:top w:val="dashSmallGap" w:sz="4" w:space="0" w:color="A6A6A6" w:themeColor="background1" w:themeShade="A6"/>
            </w:tcBorders>
            <w:vAlign w:val="center"/>
          </w:tcPr>
          <w:p w14:paraId="653B4943"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中国农业银行股份有限公司</w:t>
            </w:r>
            <w:r>
              <w:rPr>
                <w:rFonts w:ascii="方正仿宋简体" w:eastAsia="方正仿宋简体" w:hAnsiTheme="minorEastAsia" w:cs="方正仿宋简体" w:hint="eastAsia"/>
                <w:iCs/>
              </w:rPr>
              <w:t xml:space="preserve"> </w:t>
            </w:r>
          </w:p>
        </w:tc>
      </w:tr>
      <w:tr w:rsidR="005D6F21" w14:paraId="1172A804" w14:textId="77777777" w:rsidTr="005F360D">
        <w:trPr>
          <w:trHeight w:val="454"/>
        </w:trPr>
        <w:tc>
          <w:tcPr>
            <w:tcW w:w="1145" w:type="pct"/>
            <w:vMerge w:val="restart"/>
            <w:vAlign w:val="center"/>
          </w:tcPr>
          <w:p w14:paraId="23AC754B"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基金合同生效日</w:t>
            </w:r>
          </w:p>
        </w:tc>
        <w:tc>
          <w:tcPr>
            <w:tcW w:w="1413" w:type="pct"/>
            <w:vMerge w:val="restart"/>
            <w:vAlign w:val="center"/>
          </w:tcPr>
          <w:p w14:paraId="2A1C81E8"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2013-07-15</w:t>
            </w:r>
          </w:p>
        </w:tc>
        <w:tc>
          <w:tcPr>
            <w:tcW w:w="999" w:type="pct"/>
            <w:vMerge w:val="restart"/>
            <w:vAlign w:val="center"/>
          </w:tcPr>
          <w:p w14:paraId="22B07BF2"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
            </w:r>
          </w:p>
        </w:tc>
        <w:tc>
          <w:tcPr>
            <w:tcW w:w="1443" w:type="pct"/>
            <w:tcBorders>
              <w:top w:val="dashSmallGap" w:sz="4" w:space="0" w:color="A6A6A6" w:themeColor="background1" w:themeShade="A6"/>
              <w:bottom w:val="nil"/>
            </w:tcBorders>
            <w:vAlign w:val="center"/>
          </w:tcPr>
          <w:p w14:paraId="678FC482" w14:textId="77777777" w:rsidR="005D6F21" w:rsidRDefault="00043615">
            <w:pPr>
              <w:spacing w:line="320" w:lineRule="exact"/>
              <w:rPr>
                <w:rFonts w:ascii="方正仿宋简体" w:eastAsia="方正仿宋简体" w:hAnsiTheme="minorEastAsia" w:cs="方正仿宋简体"/>
                <w:iCs/>
              </w:rPr>
            </w:pPr>
            <w:r>
              <w:rPr>
                <w:rFonts w:hint="eastAsia"/>
                <w:color w:val="333399"/>
              </w:rPr>
              <w:t/>
            </w:r>
            <w:r>
              <w:rPr>
                <w:rFonts w:ascii="方正仿宋简体" w:eastAsia="方正仿宋简体" w:hAnsiTheme="minorEastAsia" w:cs="方正仿宋简体" w:hint="eastAsia"/>
                <w:iCs/>
              </w:rPr>
              <w:t xml:space="preserve"> </w:t>
            </w:r>
            <w:r>
              <w:rPr>
                <w:rFonts w:hint="eastAsia"/>
                <w:color w:val="333399"/>
              </w:rPr>
              <w:t/>
            </w:r>
          </w:p>
        </w:tc>
      </w:tr>
      <w:tr w:rsidR="005D6F21" w14:paraId="27B7B039" w14:textId="77777777" w:rsidTr="005F360D">
        <w:trPr>
          <w:trHeight w:val="454"/>
        </w:trPr>
        <w:tc>
          <w:tcPr>
            <w:tcW w:w="1145" w:type="pct"/>
            <w:vAlign w:val="center"/>
          </w:tcPr>
          <w:p w14:paraId="27979F2C"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基金类型</w:t>
            </w:r>
          </w:p>
        </w:tc>
        <w:tc>
          <w:tcPr>
            <w:tcW w:w="1413" w:type="pct"/>
            <w:vAlign w:val="center"/>
          </w:tcPr>
          <w:p w14:paraId="7EC21307"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混合型</w:t>
            </w:r>
          </w:p>
        </w:tc>
        <w:tc>
          <w:tcPr>
            <w:tcW w:w="999" w:type="pct"/>
            <w:vAlign w:val="center"/>
          </w:tcPr>
          <w:p w14:paraId="7660EEA6"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交易币种</w:t>
            </w:r>
          </w:p>
        </w:tc>
        <w:tc>
          <w:tcPr>
            <w:tcW w:w="1443" w:type="pct"/>
            <w:tcBorders>
              <w:top w:val="dashSmallGap" w:sz="4" w:space="0" w:color="A6A6A6" w:themeColor="background1" w:themeShade="A6"/>
            </w:tcBorders>
            <w:vAlign w:val="center"/>
          </w:tcPr>
          <w:p w14:paraId="7FB040ED"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人民币</w:t>
            </w:r>
            <w:r>
              <w:rPr>
                <w:rFonts w:hint="eastAsia"/>
                <w:color w:val="333399"/>
              </w:rPr>
              <w:t/>
            </w:r>
            <w:r>
              <w:rPr>
                <w:rFonts w:hint="eastAsia"/>
                <w:color w:val="333399"/>
              </w:rPr>
              <w:t/>
            </w:r>
            <w:r>
              <w:rPr>
                <w:rFonts w:hint="eastAsia"/>
                <w:color w:val="333399"/>
              </w:rPr>
              <w:t/>
            </w:r>
            <w:r>
              <w:rPr>
                <w:rFonts w:hint="eastAsia"/>
                <w:color w:val="333399"/>
              </w:rPr>
              <w:t/>
            </w:r>
          </w:p>
        </w:tc>
      </w:tr>
      <w:tr w:rsidR="005D6F21" w14:paraId="4B8E08BB" w14:textId="77777777" w:rsidTr="005F360D">
        <w:trPr>
          <w:trHeight w:val="454"/>
        </w:trPr>
        <w:tc>
          <w:tcPr>
            <w:tcW w:w="1145" w:type="pct"/>
            <w:vAlign w:val="center"/>
          </w:tcPr>
          <w:p w14:paraId="4CF03261"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运作方式</w:t>
            </w:r>
          </w:p>
        </w:tc>
        <w:tc>
          <w:tcPr>
            <w:tcW w:w="1413" w:type="pct"/>
            <w:vAlign w:val="center"/>
          </w:tcPr>
          <w:p w14:paraId="35C98B81"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普通开放式</w:t>
            </w:r>
          </w:p>
        </w:tc>
        <w:tc>
          <w:tcPr>
            <w:tcW w:w="999" w:type="pct"/>
            <w:vAlign w:val="center"/>
          </w:tcPr>
          <w:p w14:paraId="0FF9ACA8"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开放频率</w:t>
            </w:r>
          </w:p>
        </w:tc>
        <w:tc>
          <w:tcPr>
            <w:tcW w:w="1443" w:type="pct"/>
            <w:vAlign w:val="center"/>
          </w:tcPr>
          <w:p w14:paraId="786165DF"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每个开放日开放申购、赎回</w:t>
            </w:r>
          </w:p>
        </w:tc>
      </w:tr>
      <w:tr w:rsidR="005D6F21" w14:paraId="4FCB5B9E" w14:textId="77777777" w:rsidTr="005F360D">
        <w:trPr>
          <w:trHeight w:val="454"/>
        </w:trPr>
        <w:tc>
          <w:tcPr>
            <w:tcW w:w="1145" w:type="pct"/>
            <w:vMerge w:val="restart"/>
            <w:vAlign w:val="center"/>
          </w:tcPr>
          <w:p w14:paraId="22F1DD5B"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14:paraId="33C5A35B"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刘阳</w:t>
            </w:r>
          </w:p>
        </w:tc>
        <w:tc>
          <w:tcPr>
            <w:tcW w:w="999" w:type="pct"/>
            <w:vAlign w:val="center"/>
          </w:tcPr>
          <w:p w14:paraId="4018B5D9"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14:paraId="0F050CDE"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2015-07-07</w:t>
            </w:r>
          </w:p>
        </w:tc>
      </w:tr>
      <w:tr w:rsidR="005D6F21" w14:paraId="24127947" w14:textId="77777777" w:rsidTr="005F360D">
        <w:trPr>
          <w:trHeight w:val="454"/>
        </w:trPr>
        <w:tc>
          <w:tcPr>
            <w:tcW w:w="1145" w:type="pct"/>
            <w:vMerge/>
            <w:vAlign w:val="center"/>
          </w:tcPr>
          <w:p w14:paraId="4786945D" w14:textId="77777777" w:rsidR="005D6F21" w:rsidRDefault="005D6F21">
            <w:pPr>
              <w:spacing w:line="320" w:lineRule="exact"/>
              <w:rPr>
                <w:rFonts w:ascii="方正仿宋简体" w:eastAsia="方正仿宋简体" w:hAnsiTheme="minorEastAsia" w:cs="方正仿宋简体"/>
                <w:b/>
                <w:iCs/>
              </w:rPr>
            </w:pPr>
          </w:p>
        </w:tc>
        <w:tc>
          <w:tcPr>
            <w:tcW w:w="1413" w:type="pct"/>
            <w:vMerge/>
            <w:vAlign w:val="center"/>
          </w:tcPr>
          <w:p w14:paraId="10F69711" w14:textId="77777777" w:rsidR="005D6F21" w:rsidRDefault="005D6F21">
            <w:pPr>
              <w:spacing w:line="320" w:lineRule="exact"/>
              <w:rPr>
                <w:rFonts w:ascii="方正仿宋简体" w:eastAsia="方正仿宋简体" w:hAnsiTheme="minorEastAsia" w:cs="方正仿宋简体"/>
                <w:b/>
                <w:iCs/>
              </w:rPr>
            </w:pPr>
          </w:p>
        </w:tc>
        <w:tc>
          <w:tcPr>
            <w:tcW w:w="999" w:type="pct"/>
            <w:vAlign w:val="center"/>
          </w:tcPr>
          <w:p w14:paraId="5F0E3480"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14:paraId="3F00FDB9"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2008-07-16</w:t>
            </w:r>
          </w:p>
        </w:tc>
      </w:tr>
      <w:tr w:rsidR="005D6F21" w14:paraId="4FCB5B9E" w14:textId="77777777" w:rsidTr="005F360D">
        <w:trPr>
          <w:trHeight w:val="454"/>
        </w:trPr>
        <w:tc>
          <w:tcPr>
            <w:tcW w:w="1145" w:type="pct"/>
            <w:vMerge/>
            <w:vAlign w:val="center"/>
          </w:tcPr>
          <w:p w14:paraId="22F1DD5B"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14:paraId="33C5A35B"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陈雷</w:t>
            </w:r>
          </w:p>
        </w:tc>
        <w:tc>
          <w:tcPr>
            <w:tcW w:w="999" w:type="pct"/>
            <w:vAlign w:val="center"/>
          </w:tcPr>
          <w:p w14:paraId="4018B5D9"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14:paraId="0F050CDE"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2017-03-10</w:t>
            </w:r>
          </w:p>
        </w:tc>
      </w:tr>
      <w:tr w:rsidR="005D6F21" w14:paraId="24127947" w14:textId="77777777" w:rsidTr="005F360D">
        <w:trPr>
          <w:trHeight w:val="454"/>
        </w:trPr>
        <w:tc>
          <w:tcPr>
            <w:tcW w:w="1145" w:type="pct"/>
            <w:vMerge/>
            <w:vAlign w:val="center"/>
          </w:tcPr>
          <w:p w14:paraId="4786945D" w14:textId="77777777" w:rsidR="005D6F21" w:rsidRDefault="005D6F21">
            <w:pPr>
              <w:spacing w:line="320" w:lineRule="exact"/>
              <w:rPr>
                <w:rFonts w:ascii="方正仿宋简体" w:eastAsia="方正仿宋简体" w:hAnsiTheme="minorEastAsia" w:cs="方正仿宋简体"/>
                <w:b/>
                <w:iCs/>
              </w:rPr>
            </w:pPr>
          </w:p>
        </w:tc>
        <w:tc>
          <w:tcPr>
            <w:tcW w:w="1413" w:type="pct"/>
            <w:vMerge/>
            <w:vAlign w:val="center"/>
          </w:tcPr>
          <w:p w14:paraId="10F69711" w14:textId="77777777" w:rsidR="005D6F21" w:rsidRDefault="005D6F21">
            <w:pPr>
              <w:spacing w:line="320" w:lineRule="exact"/>
              <w:rPr>
                <w:rFonts w:ascii="方正仿宋简体" w:eastAsia="方正仿宋简体" w:hAnsiTheme="minorEastAsia" w:cs="方正仿宋简体"/>
                <w:b/>
                <w:iCs/>
              </w:rPr>
            </w:pPr>
          </w:p>
        </w:tc>
        <w:tc>
          <w:tcPr>
            <w:tcW w:w="999" w:type="pct"/>
            <w:vAlign w:val="center"/>
          </w:tcPr>
          <w:p w14:paraId="5F0E3480"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14:paraId="3F00FDB9"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2008-07-01</w:t>
            </w:r>
          </w:p>
        </w:tc>
      </w:tr>
    </w:tbl>
    <w:p w14:paraId="3AF1F094" w14:textId="77777777" w:rsidR="005D6F21" w:rsidRDefault="005D6F21">
      <w:pPr>
        <w:spacing w:line="280" w:lineRule="exact"/>
        <w:rPr>
          <w:rFonts w:ascii="方正仿宋简体" w:eastAsia="方正仿宋简体" w:hAnsiTheme="minorEastAsia" w:cs="仿宋_GB2312"/>
          <w:b/>
          <w:kern w:val="0"/>
          <w:szCs w:val="24"/>
        </w:rPr>
      </w:pPr>
    </w:p>
    <w:p w14:paraId="6EA71FB3" w14:textId="77777777" w:rsidR="005D6F21" w:rsidRDefault="00043615" gbicc:emptyAbove="1">
      <w:pPr gbicc:listString="二、" gbicc:numText="%1、" gbicc:numFmt="C" gbicc:numVal="2"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lastRenderedPageBreak/>
        <w:t>基金投资与净值表现</w:t>
      </w:r>
    </w:p>
    <w:p w14:paraId="1C78103D" w14:textId="77777777" w:rsidR="005D6F21" w:rsidRDefault="00043615">
      <w:pPr gbicc:listString="(一)" gbicc:numText="(%1)" gbicc:numFmt="C" gbicc:numVal="1" gbicc:numId="15">
        <w:pStyle w:val="a8"/>
        <w:numPr>
          <w:ilvl w:val="0"/>
          <w:numId w:val="15"/>
        </w:numPr>
        <w:spacing w:line="320" w:lineRule="exact"/>
        <w:ind w:firstLineChars="0"/>
        <w:outlineLvl w:val="1"/>
        <w:rPr>
          <w:rFonts w:ascii="方正仿宋简体" w:eastAsia="方正仿宋简体" w:hAnsiTheme="minorEastAsia" w:cs="方正仿宋简体"/>
          <w:b/>
          <w:iCs/>
          <w:sz w:val="24"/>
          <w:szCs w:val="24"/>
        </w:rPr>
      </w:pPr>
      <w:r>
        <w:rPr>
          <w:rFonts w:ascii="方正仿宋简体" w:eastAsia="方正仿宋简体" w:hAnsi="方正仿宋简体" w:cs="方正仿宋简体" w:hint="eastAsia"/>
          <w:b/>
          <w:iCs/>
          <w:sz w:val="24"/>
          <w:szCs w:val="24"/>
        </w:rPr>
        <w:t>投资目标与投资策略</w:t>
      </w:r>
    </w:p>
    <w:p w14:paraId="4513B187" w14:textId="77777777" w:rsidR="005D6F21" w:rsidRDefault="00043615">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敬请投资者阅读更新的《招募说明书》第十章了解详细情况。</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623"/>
        <w:gridCol w:w="8059"/>
      </w:tblGrid>
      <w:tr w:rsidR="005D6F21" w14:paraId="0D39348D" w14:textId="77777777" w:rsidTr="0074096A">
        <w:trPr>
          <w:trHeight w:val="454"/>
        </w:trPr>
        <w:tc>
          <w:tcPr>
            <w:tcW w:w="1228" w:type="pct"/>
            <w:vAlign w:val="center"/>
          </w:tcPr>
          <w:p w14:paraId="1F8E58D1" w14:textId="77777777" w:rsidR="005D6F21" w:rsidRDefault="00043615">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投资目标</w:t>
            </w:r>
          </w:p>
        </w:tc>
        <w:tc>
          <w:tcPr>
            <w:tcW w:w="3772" w:type="pct"/>
            <w:vAlign w:val="center"/>
          </w:tcPr>
          <w:p w14:paraId="32F21C6C"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本基金的投资目标在于分享中国经济快速发展过程中那些受益于内需增长的行业及公司所带来的持续投资收益，在严格控制投资风险的基础上，力争为基金持有人获取长期持续稳定的投资回报。</w:t>
            </w:r>
          </w:p>
        </w:tc>
      </w:tr>
      <w:tr w:rsidR="005D6F21" w14:paraId="5554EB8D" w14:textId="77777777" w:rsidTr="0074096A">
        <w:trPr>
          <w:trHeight w:val="454"/>
        </w:trPr>
        <w:tc>
          <w:tcPr>
            <w:tcW w:w="1228" w:type="pct"/>
            <w:vAlign w:val="center"/>
          </w:tcPr>
          <w:p w14:paraId="66A1CC7A" w14:textId="77777777" w:rsidR="005D6F21" w:rsidRDefault="00043615">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投资范围</w:t>
            </w:r>
          </w:p>
        </w:tc>
        <w:tc>
          <w:tcPr>
            <w:tcW w:w="3772" w:type="pct"/>
            <w:vAlign w:val="center"/>
          </w:tcPr>
          <w:p w14:paraId="682E5A8E"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的投资范围为具有良好流动性的金融工具，包括国内依法发行上市的股票（包括中小板、创业板及其他经中国证监会核准上市的股票、存托凭证）、债券（含中小企业私募债）、中期票据、债券回购、货币市场工具、权证、资产支持证券、股指期货以及法律法规或中国证监会允许基金投资的其他金融工具（但须符合中国证监会的相关规定）。</w:t>
            </w:r>
          </w:p>
          <w:p w14:paraId="682E5A8E"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如法律法规或监管机构以后允许基金投资其他品种，基金管理人在履行适当程序后，可以将其纳入投资范围。</w:t>
            </w:r>
          </w:p>
          <w:p w14:paraId="682E5A8E"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投资组合中股票等权益类资产（含存托凭证）投资比例为基金资产的30%—80%，其中权证投资比例不得超过基金资产净值的3%，债券等固定收益类资产（包括货币市场金融工具）的投资比例为基金资产的20%-70%，其中本基金持有单只中小企业私募债券，其市值不得超过本基金资产净值的10%；本基金每个交易日日终在扣除股指期货合约需缴纳的交易保证金后，保持现金或者到期日在一年以内的政府债券投资比例合计不低于基金资产净值的5%，其中，现金不包括结算备付金、存出保证金、应收申购款等。本基金将不低于80％的股票资产投资于受益于内需增长的行业及公司。</w:t>
            </w:r>
          </w:p>
        </w:tc>
      </w:tr>
      <w:tr w:rsidR="005D6F21" w14:paraId="4AD66605" w14:textId="77777777" w:rsidTr="0074096A">
        <w:trPr>
          <w:trHeight w:val="454"/>
        </w:trPr>
        <w:tc>
          <w:tcPr>
            <w:tcW w:w="1228" w:type="pct"/>
            <w:vAlign w:val="center"/>
          </w:tcPr>
          <w:p w14:paraId="35DD64A1" w14:textId="77777777" w:rsidR="005D6F21" w:rsidRDefault="00043615">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主要投资策略</w:t>
            </w:r>
          </w:p>
        </w:tc>
        <w:tc>
          <w:tcPr>
            <w:tcW w:w="3772" w:type="pct"/>
            <w:vAlign w:val="center"/>
          </w:tcPr>
          <w:p w14:paraId="096A3741"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投资策略主要包括：资产配置策略、股票投资策略、债券投资策略、权证投资策略、股指期货投资策略。其中资产配置策略将按照风险收益配比原则，实行动态的资产配置。本基金投资组合中股票等权益类证券（含存托凭证）投资比例为基金资产的30%—80%，债券等固定收益类证券（包括货币市场金融工具）的投资比例为基金资产的20%-70%。本基金将通过跟踪考量通常的宏观经济变量（包括GDP增长率、CPI走势、M2的绝对水平和增长率、利率水平与走势等）以及国家财政、税收、货币、汇率各项政策，来判断经济周期目前的位置以及未来将发展的方向。除此之外，本基金还将主要通过监测重要行业的产能利用率来辅助判断。通常，产能利用率是由劳动力、资本存量、自然资源、技术以及经济中的实际需求所决定。监测部分重要行业的产能利用率可以有效地对经济状况作出监控和预判。本基金的股票投资策略包括自上而下的行业趋势判断和自下而上的个股选择。核心思路在于评判企业的商业模式、治理结构、竞争要素是否优于行业的平均表现，企业所提供的产品和服务是否契合未来内需消费增长的大趋势，以及对企业基本面和长期竞争能力进行严格的评判。</w:t>
            </w:r>
          </w:p>
        </w:tc>
      </w:tr>
      <w:tr w:rsidR="005D6F21" w14:paraId="709EEF9F" w14:textId="77777777" w:rsidTr="0074096A">
        <w:trPr>
          <w:trHeight w:val="454"/>
        </w:trPr>
        <w:tc>
          <w:tcPr>
            <w:tcW w:w="1228" w:type="pct"/>
            <w:vAlign w:val="center"/>
          </w:tcPr>
          <w:p w14:paraId="1E14AA81" w14:textId="77777777" w:rsidR="005D6F21" w:rsidRDefault="00043615">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业绩比较基准</w:t>
            </w:r>
          </w:p>
        </w:tc>
        <w:tc>
          <w:tcPr>
            <w:tcW w:w="3772" w:type="pct"/>
            <w:vAlign w:val="center"/>
          </w:tcPr>
          <w:p w14:paraId="19DDE4CB"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沪深300指数收益率×60%+中证全债指数收益率×40%</w:t>
            </w:r>
          </w:p>
        </w:tc>
      </w:tr>
      <w:tr w:rsidR="005D6F21" w14:paraId="3CFE39B9" w14:textId="77777777" w:rsidTr="0074096A">
        <w:trPr>
          <w:trHeight w:val="454"/>
        </w:trPr>
        <w:tc>
          <w:tcPr>
            <w:tcW w:w="1228" w:type="pct"/>
            <w:vAlign w:val="center"/>
          </w:tcPr>
          <w:p w14:paraId="1C5BA997" w14:textId="77777777" w:rsidR="005D6F21" w:rsidRDefault="00043615">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风险收益特征</w:t>
            </w:r>
          </w:p>
        </w:tc>
        <w:tc>
          <w:tcPr>
            <w:tcW w:w="3772" w:type="pct"/>
            <w:vAlign w:val="center"/>
          </w:tcPr>
          <w:p w14:paraId="0385BF08"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本基金为混合型基金，其预期收益及预期风险水平低于股票型基金，高于债券型基金及货币市场基金，属于中高收益/风险特征的基金。</w:t>
            </w:r>
          </w:p>
        </w:tc>
      </w:tr>
    </w:tbl>
    <w:p w14:paraId="184B11AC" w14:textId="77777777" w:rsidR="005D6F21" w:rsidRDefault="00043615">
      <w:pPr>
        <w:spacing w:line="320" w:lineRule="exact"/>
        <w:rPr>
          <w:rFonts w:ascii="方正仿宋简体" w:eastAsia="方正仿宋简体" w:hAnsiTheme="minorEastAsia" w:cs="仿宋_GB2312"/>
          <w:kern w:val="0"/>
          <w:szCs w:val="24"/>
        </w:rPr>
      </w:pPr>
    </w:p>
    <w:p w14:paraId="12F1C024" w14:textId="77777777" w:rsidR="005D6F21" w:rsidRDefault="00043615" gbicc:emptyAbove="1">
      <w:pPr gbicc:listString="(二)" gbicc:numText="(%1)" gbicc:numFmt="C" gbicc:numVal="2" gbicc:numId="15">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r>
        <w:rPr>
          <w:rFonts w:ascii="方正仿宋简体" w:eastAsia="方正仿宋简体" w:hAnsi="方正仿宋简体" w:cs="方正仿宋简体" w:hint="eastAsia"/>
          <w:b/>
          <w:iCs/>
          <w:sz w:val="24"/>
          <w:szCs w:val="24"/>
        </w:rPr>
        <w:t>/</w:t>
      </w:r>
      <w:r>
        <w:rPr>
          <w:rFonts w:ascii="方正仿宋简体" w:eastAsia="方正仿宋简体" w:hAnsi="方正仿宋简体" w:cs="方正仿宋简体" w:hint="eastAsia"/>
          <w:b/>
          <w:iCs/>
          <w:sz w:val="24"/>
          <w:szCs w:val="24"/>
        </w:rPr>
        <w:t>区域配置图表</w:t>
      </w:r>
    </w:p>
    <w:p w14:paraId="5F64D195" w14:textId="77777777" w:rsidR="005D6F21" w:rsidRDefault="00043615">
      <w:pPr>
        <w:spacing w:line="320" w:lineRule="exact"/>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p>
    <w:p w14:paraId="39C93D49" w14:textId="77777777" w:rsidR="005D6F21" w:rsidRDefault="00043615">
      <w:pPr>
        <w:jc w:val="center"/>
        <w:rPr>
          <w:rFonts w:ascii="方正仿宋简体" w:eastAsia="方正仿宋简体" w:hAnsi="方正仿宋简体" w:cs="方正仿宋简体"/>
          <w:b/>
          <w:iCs/>
          <w:sz w:val="24"/>
          <w:szCs w:val="24"/>
        </w:rPr>
      </w:pPr>
      <w:r>
        <w:rPr>
          <w:rFonts w:ascii="方正仿宋简体" w:eastAsia="方正仿宋简体" w:hAnsi="方正仿宋简体" w:cs="方正仿宋简体"/>
          <w:b/>
          <w:iCs/>
          <w:sz w:val="24"/>
          <w:szCs w:val="24"/>
        </w:rPr>
        <w:drawing>
          <wp:inline distT="0" distB="0" distL="0" distR="0" wp14:anchorId="32E2EF0E" wp14:editId="46F9C121">
            <wp:extent cx="3960000" cy="2310380"/>
            <wp:effectExtent l="0" t="0" r="2540" b="254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CN_50050000_000264_FA010080_20200002_1jpg">
                      <a:extLst>
                        <a:ext uri="{28A0092B-C50C-407E-A947-70E740481C1C}">
                          <a14:useLocalDpi xmlns:a14="http://schemas.microsoft.com/office/drawing/2010/main" val="0"/>
                        </a:ext>
                      </a:extLst>
                    </a:blip>
                    <a:srcRect/>
                    <a:stretch>
                      <a:fillRect/>
                    </a:stretch>
                  </pic:blipFill>
                  <pic:spPr bwMode="auto">
                    <a:xfrm>
                      <a:off x="0" y="0"/>
                      <a:ext cx="3960000" cy="2310380"/>
                    </a:xfrm>
                    <a:prstGeom prst="rect">
                      <a:avLst/>
                    </a:prstGeom>
                    <a:noFill/>
                    <a:ln>
                      <a:noFill/>
                    </a:ln>
                  </pic:spPr>
                </pic:pic>
              </a:graphicData>
            </a:graphic>
          </wp:inline>
        </w:drawing>
      </w:r>
    </w:p>
    <w:p w14:paraId="7DEAAB4C" w14:textId="77777777" w:rsidR="005D6F21" w:rsidRDefault="00043615">
      <w:pPr gbicc:listString="(三)" gbicc:numText="(%1)" gbicc:numFmt="C" gbicc:numVal="3" gbicc:numId="15">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自基金合同生效以来基金每年的净值增长率及与同期业绩比较基准的比较图</w:t>
      </w:r>
    </w:p>
    <w:p w14:paraId="27FA6C73" w14:textId="77777777" w:rsidR="005D6F21" w:rsidRDefault="00043615">
      <w:pPr>
        <w:jc w:val="center"/>
        <w:rPr>
          <w:rFonts w:ascii="方正仿宋简体" w:eastAsia="方正仿宋简体" w:hAnsiTheme="minorEastAsia"/>
          <w:sz w:val="24"/>
        </w:rPr>
      </w:pPr>
      <w:r>
        <w:rPr>
          <w:rFonts w:ascii="方正仿宋简体" w:eastAsia="方正仿宋简体" w:hAnsiTheme="minorEastAsia" w:hint="eastAsia"/>
          <w:sz w:val="24"/>
        </w:rPr>
        <w:drawing>
          <wp:inline distT="0" distB="0" distL="0" distR="0" wp14:anchorId="6EB72923" wp14:editId="03B20666">
            <wp:extent cx="3960000" cy="2315709"/>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CN_50050000_000264_FA010080_20200002_3jpg">
                      <a:extLst>
                        <a:ext uri="{28A0092B-C50C-407E-A947-70E740481C1C}">
                          <a14:useLocalDpi xmlns:a14="http://schemas.microsoft.com/office/drawing/2010/main" val="0"/>
                        </a:ext>
                      </a:extLst>
                    </a:blip>
                    <a:srcRect/>
                    <a:stretch>
                      <a:fillRect/>
                    </a:stretch>
                  </pic:blipFill>
                  <pic:spPr bwMode="auto">
                    <a:xfrm>
                      <a:off x="0" y="0"/>
                      <a:ext cx="3960000" cy="2315709"/>
                    </a:xfrm>
                    <a:prstGeom prst="rect">
                      <a:avLst/>
                    </a:prstGeom>
                    <a:noFill/>
                    <a:ln>
                      <a:noFill/>
                    </a:ln>
                  </pic:spPr>
                </pic:pic>
              </a:graphicData>
            </a:graphic>
          </wp:inline>
        </w:drawing>
      </w:r>
    </w:p>
    <w:p w14:paraId="4063876E" w14:textId="77777777" w:rsidR="005D6F21" w:rsidRDefault="00043615" gbicc:emptyAbove="2">
      <w:pPr>
        <w:autoSpaceDE w:val="0"/>
        <w:autoSpaceDN w:val="0"/>
        <w:adjustRightInd w:val="0"/>
        <w:spacing w:line="280" w:lineRule="exact"/>
        <w:jc w:val="left"/>
        <w:rPr>
          <w:rFonts w:ascii="方正仿宋简体" w:eastAsia="方正仿宋简体" w:hAnsiTheme="minorEastAsia"/>
          <w:color w:val="000000" w:themeColor="text1"/>
        </w:rPr>
      </w:pPr>
      <w:r>
        <w:rPr>
          <w:rFonts w:ascii="方正仿宋简体" w:eastAsia="方正仿宋简体" w:hAnsiTheme="minorEastAsia" w:hint="eastAsia"/>
          <w:color w:val="000000" w:themeColor="text1"/>
        </w:rPr>
        <w:t xml:space="preserve">注：基金的过往业绩不代表未来表现。</w:t>
      </w:r>
    </w:p>
    <w:p w14:paraId="4063876E" w14:textId="77777777" w:rsidR="005D6F21" w:rsidRDefault="00043615" gbicc:emptyAbove="2">
      <w:pPr>
        <w:autoSpaceDE w:val="0"/>
        <w:autoSpaceDN w:val="0"/>
        <w:adjustRightInd w:val="0"/>
        <w:spacing w:line="280" w:lineRule="exact"/>
        <w:jc w:val="left"/>
        <w:rPr>
          <w:rFonts w:ascii="方正仿宋简体" w:eastAsia="方正仿宋简体" w:hAnsiTheme="minorEastAsia"/>
          <w:color w:val="000000" w:themeColor="text1"/>
        </w:rPr>
      </w:pPr>
      <w:r>
        <w:rPr>
          <w:rFonts w:ascii="方正仿宋简体" w:eastAsia="方正仿宋简体" w:hAnsiTheme="minorEastAsia" w:hint="eastAsia"/>
          <w:color w:val="000000" w:themeColor="text1"/>
        </w:rPr>
        <w:t xml:space="preserve">本基金的基金合同于2013年7月15日生效，合同生效当年按实际存续期计算，不按整个自然年度进行折算。</w:t>
      </w:r>
    </w:p>
    <w:p w14:paraId="20E0D045" w14:textId="77777777" w:rsidR="005D6F21" w:rsidRDefault="005D6F21">
      <w:pPr>
        <w:spacing w:line="280" w:lineRule="exact"/>
        <w:ind w:firstLine="420"/>
        <w:rPr>
          <w:rFonts w:ascii="方正仿宋简体" w:eastAsia="方正仿宋简体" w:hAnsi="方正仿宋简体" w:cs="方正仿宋简体"/>
          <w:iCs/>
        </w:rPr>
      </w:pPr>
    </w:p>
    <w:p w14:paraId="6BA2B643" w14:textId="77777777" w:rsidR="005D6F21" w:rsidRDefault="00043615" gbicc:emptyAbove="1">
      <w:pPr gbicc:listString="三、" gbicc:numText="%1、" gbicc:numFmt="C" gbicc:numVal="3"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投资本基金涉及的费用</w:t>
      </w:r>
    </w:p>
    <w:p w14:paraId="5C372851" w14:textId="77777777" w:rsidR="005D6F21" w:rsidRDefault="00043615">
      <w:pPr gbicc:listString="（一）" gbicc:numText="（%1）" gbicc:numFmt="J" gbicc:numVal="1" gbicc:numId="25">
        <w:pStyle w:val="a8"/>
        <w:numPr>
          <w:ilvl w:val="0"/>
          <w:numId w:val="2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基金销售相关费用</w:t>
      </w:r>
    </w:p>
    <w:p w14:paraId="4B128E8E" w14:textId="77777777" w:rsidR="005D6F21" w:rsidRDefault="00043615">
      <w:pPr>
        <w:spacing w:line="32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以下费用在认购</w:t>
      </w:r>
      <w:r>
        <w:rPr>
          <w:rFonts w:ascii="方正仿宋简体" w:eastAsia="方正仿宋简体" w:hAnsi="方正仿宋简体" w:cs="方正仿宋简体" w:hint="eastAsia"/>
          <w:iCs/>
        </w:rPr>
        <w:t>/</w:t>
      </w:r>
      <w:r>
        <w:rPr>
          <w:rFonts w:ascii="方正仿宋简体" w:eastAsia="方正仿宋简体" w:hAnsi="方正仿宋简体" w:cs="方正仿宋简体" w:hint="eastAsia"/>
          <w:iCs/>
        </w:rPr>
        <w:t>申购</w:t>
      </w:r>
      <w:r>
        <w:rPr>
          <w:rFonts w:ascii="方正仿宋简体" w:eastAsia="方正仿宋简体" w:hAnsi="方正仿宋简体" w:cs="方正仿宋简体" w:hint="eastAsia"/>
          <w:iCs/>
        </w:rPr>
        <w:t>/</w:t>
      </w:r>
      <w:r>
        <w:rPr>
          <w:rFonts w:ascii="方正仿宋简体" w:eastAsia="方正仿宋简体" w:hAnsi="方正仿宋简体" w:cs="方正仿宋简体" w:hint="eastAsia"/>
          <w:iCs/>
        </w:rPr>
        <w:t>赎回基金过程中收取：</w:t>
      </w:r>
    </w:p>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928"/>
        <w:gridCol w:w="4192"/>
        <w:gridCol w:w="2487"/>
        <w:gridCol w:w="1075"/>
      </w:tblGrid>
      <w:tr w:rsidR="005D6F21" w14:paraId="174A5F0B" w14:textId="77777777" w:rsidTr="0074096A">
        <w:trPr>
          <w:trHeight w:val="454"/>
        </w:trPr>
        <w:tc>
          <w:tcPr>
            <w:tcW w:w="1371" w:type="pct"/>
            <w:vAlign w:val="center"/>
          </w:tcPr>
          <w:p w14:paraId="21F3C357"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费用类型</w:t>
            </w:r>
          </w:p>
        </w:tc>
        <w:tc>
          <w:tcPr>
            <w:tcW w:w="1962" w:type="pct"/>
            <w:vAlign w:val="center"/>
          </w:tcPr>
          <w:p w14:paraId="1F99ADB6"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份额（</w:t>
            </w:r>
            <w:r>
              <w:rPr>
                <w:rFonts w:ascii="方正仿宋简体" w:eastAsia="方正仿宋简体" w:hAnsi="方正仿宋简体" w:cs="方正仿宋简体" w:hint="eastAsia"/>
                <w:b/>
                <w:bCs/>
                <w:iCs/>
              </w:rPr>
              <w:t>S</w:t>
            </w:r>
            <w:r>
              <w:rPr>
                <w:rFonts w:ascii="方正仿宋简体" w:eastAsia="方正仿宋简体" w:hAnsi="方正仿宋简体" w:cs="方正仿宋简体" w:hint="eastAsia"/>
                <w:b/>
                <w:bCs/>
                <w:iCs/>
              </w:rPr>
              <w:t>）或金额（</w:t>
            </w:r>
            <w:r>
              <w:rPr>
                <w:rFonts w:ascii="方正仿宋简体" w:eastAsia="方正仿宋简体" w:hAnsi="方正仿宋简体" w:cs="方正仿宋简体" w:hint="eastAsia"/>
                <w:b/>
                <w:bCs/>
                <w:iCs/>
              </w:rPr>
              <w:t>M</w:t>
            </w:r>
            <w:r>
              <w:rPr>
                <w:rFonts w:ascii="方正仿宋简体" w:eastAsia="方正仿宋简体" w:hAnsi="方正仿宋简体" w:cs="方正仿宋简体" w:hint="eastAsia"/>
                <w:b/>
                <w:bCs/>
                <w:iCs/>
              </w:rPr>
              <w:t>）</w:t>
            </w:r>
          </w:p>
          <w:p w14:paraId="65A9CF12"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持有期限（</w:t>
            </w:r>
            <w:r>
              <w:rPr>
                <w:rFonts w:ascii="方正仿宋简体" w:eastAsia="方正仿宋简体" w:hAnsi="方正仿宋简体" w:cs="方正仿宋简体" w:hint="eastAsia"/>
                <w:b/>
                <w:bCs/>
                <w:iCs/>
              </w:rPr>
              <w:t>N</w:t>
            </w:r>
            <w:r>
              <w:rPr>
                <w:rFonts w:ascii="方正仿宋简体" w:eastAsia="方正仿宋简体" w:hAnsi="方正仿宋简体" w:cs="方正仿宋简体" w:hint="eastAsia"/>
                <w:b/>
                <w:bCs/>
                <w:iCs/>
              </w:rPr>
              <w:t>）</w:t>
            </w:r>
          </w:p>
        </w:tc>
        <w:tc>
          <w:tcPr>
            <w:tcW w:w="1164" w:type="pct"/>
            <w:vAlign w:val="center"/>
          </w:tcPr>
          <w:p w14:paraId="3E79C8F8"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w:t>
            </w: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费率</w:t>
            </w:r>
          </w:p>
        </w:tc>
        <w:tc>
          <w:tcPr>
            <w:tcW w:w="503" w:type="pct"/>
            <w:vAlign w:val="center"/>
          </w:tcPr>
          <w:p w14:paraId="611FAD5B"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备注</w:t>
            </w:r>
          </w:p>
        </w:tc>
      </w:tr>
      <w:tr w:rsidR="005D6F21" w14:paraId="5FBE9F6F" w14:textId="77777777" w:rsidTr="0074096A">
        <w:trPr>
          <w:trHeight w:val="454"/>
        </w:trPr>
        <w:tc>
          <w:tcPr>
            <w:tcW w:w="1371" w:type="pct"/>
            <w:vAlign w:val="center"/>
            <w:vMerge w:val="restart"/>
          </w:tcPr>
          <w:p w14:paraId="5BBE304C"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62" w:type="pct"/>
            <w:vAlign w:val="center"/>
          </w:tcPr>
          <w:p w14:paraId="2A4FC846"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int="eastAsia"/>
                <w:color w:val="333399"/>
              </w:rPr>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M</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100万元</w:t>
            </w:r>
          </w:p>
        </w:tc>
        <w:tc>
          <w:tcPr>
            <w:tcW w:w="1164" w:type="pct"/>
            <w:vAlign w:val="center"/>
          </w:tcPr>
          <w:p w14:paraId="51C2F826"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1.50%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w:r>
          </w:p>
        </w:tc>
        <w:tc>
          <w:tcPr>
            <w:tcW w:w="503" w:type="pct"/>
            <w:vAlign w:val="center"/>
          </w:tcPr>
          <w:p w14:paraId="3FB6B806" w14:textId="77777777" w:rsidR="005D6F21" w:rsidRDefault="00043615">
            <w:pPr>
              <w:spacing w:line="320" w:lineRule="exact"/>
              <w:jc w:val="center"/>
              <w:rPr>
                <w:rFonts w:ascii="方正仿宋简体" w:eastAsia="方正仿宋简体" w:hAnsi="宋体"/>
                <w:color w:val="0000FF"/>
                <w:kern w:val="0"/>
              </w:rPr>
            </w:pPr>
            <w:r>
              <w:rPr>
                <w:rFonts w:ascii="方正仿宋简体" w:eastAsia="方正仿宋简体" w:hint="eastAsia"/>
                <w:color w:val="333399"/>
              </w:rPr>
              <w:t/>
            </w:r>
          </w:p>
        </w:tc>
      </w:tr>
      <w:tr w:rsidR="005D6F21" w14:paraId="5FBE9F6F" w14:textId="77777777" w:rsidTr="0074096A">
        <w:trPr>
          <w:trHeight w:val="454"/>
        </w:trPr>
        <w:tc>
          <w:tcPr>
            <w:tcW w:w="1371" w:type="pct"/>
            <w:vAlign w:val="center"/>
            <w:vMerge/>
          </w:tcPr>
          <w:p w14:paraId="5BBE304C"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62" w:type="pct"/>
            <w:vAlign w:val="center"/>
          </w:tcPr>
          <w:p w14:paraId="2A4FC846"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100万元</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M</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500万元</w:t>
            </w:r>
          </w:p>
        </w:tc>
        <w:tc>
          <w:tcPr>
            <w:tcW w:w="1164" w:type="pct"/>
            <w:vAlign w:val="center"/>
          </w:tcPr>
          <w:p w14:paraId="51C2F826"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1.00%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FB6B806" w14:textId="77777777" w:rsidR="005D6F21" w:rsidRDefault="00043615">
            <w:pPr>
              <w:spacing w:line="320" w:lineRule="exact"/>
              <w:jc w:val="center"/>
              <w:rPr>
                <w:rFonts w:ascii="方正仿宋简体" w:eastAsia="方正仿宋简体" w:hAnsi="宋体"/>
                <w:color w:val="0000FF"/>
                <w:kern w:val="0"/>
              </w:rPr>
            </w:pPr>
            <w:r>
              <w:rPr>
                <w:rFonts w:ascii="方正仿宋简体" w:eastAsia="方正仿宋简体" w:hint="eastAsia"/>
                <w:color w:val="333399"/>
              </w:rPr>
              <w:t xml:space="preserve"/>
            </w:r>
          </w:p>
        </w:tc>
      </w:tr>
      <w:tr w:rsidR="005D6F21" w14:paraId="5FBE9F6F" w14:textId="77777777" w:rsidTr="0074096A">
        <w:trPr>
          <w:trHeight w:val="454"/>
        </w:trPr>
        <w:tc>
          <w:tcPr>
            <w:tcW w:w="1371" w:type="pct"/>
            <w:vAlign w:val="center"/>
            <w:vMerge/>
          </w:tcPr>
          <w:p w14:paraId="5BBE304C"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62" w:type="pct"/>
            <w:vAlign w:val="center"/>
          </w:tcPr>
          <w:p w14:paraId="2A4FC846"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500万元</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M</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1,000万元</w:t>
            </w:r>
          </w:p>
        </w:tc>
        <w:tc>
          <w:tcPr>
            <w:tcW w:w="1164" w:type="pct"/>
            <w:vAlign w:val="center"/>
          </w:tcPr>
          <w:p w14:paraId="51C2F826"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0.60%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FB6B806" w14:textId="77777777" w:rsidR="005D6F21" w:rsidRDefault="00043615">
            <w:pPr>
              <w:spacing w:line="320" w:lineRule="exact"/>
              <w:jc w:val="center"/>
              <w:rPr>
                <w:rFonts w:ascii="方正仿宋简体" w:eastAsia="方正仿宋简体" w:hAnsi="宋体"/>
                <w:color w:val="0000FF"/>
                <w:kern w:val="0"/>
              </w:rPr>
            </w:pPr>
            <w:r>
              <w:rPr>
                <w:rFonts w:ascii="方正仿宋简体" w:eastAsia="方正仿宋简体" w:hint="eastAsia"/>
                <w:color w:val="333399"/>
              </w:rPr>
              <w:t xml:space="preserve"/>
            </w:r>
          </w:p>
        </w:tc>
      </w:tr>
      <w:tr w:rsidR="005D6F21" w14:paraId="5FBE9F6F" w14:textId="77777777" w:rsidTr="0074096A">
        <w:trPr>
          <w:trHeight w:val="454"/>
        </w:trPr>
        <w:tc>
          <w:tcPr>
            <w:tcW w:w="1371" w:type="pct"/>
            <w:vAlign w:val="center"/>
            <w:vMerge/>
          </w:tcPr>
          <w:p w14:paraId="5BBE304C"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62" w:type="pct"/>
            <w:vAlign w:val="center"/>
          </w:tcPr>
          <w:p w14:paraId="2A4FC846"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M</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1,000万元</w:t>
            </w:r>
          </w:p>
        </w:tc>
        <w:tc>
          <w:tcPr>
            <w:tcW w:w="1164" w:type="pct"/>
            <w:vAlign w:val="center"/>
          </w:tcPr>
          <w:p w14:paraId="51C2F826"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Ansi="宋体" w:hint="eastAsia"/>
                <w:color w:val="000000" w:themeColor="text1"/>
                <w:kern w:val="0"/>
              </w:rPr>
              <w:t xml:space="preserve">1000元/笔</w:t>
            </w:r>
          </w:p>
        </w:tc>
        <w:tc>
          <w:tcPr>
            <w:tcW w:w="503" w:type="pct"/>
            <w:vAlign w:val="center"/>
          </w:tcPr>
          <w:p w14:paraId="3FB6B806" w14:textId="77777777" w:rsidR="005D6F21" w:rsidRDefault="00043615">
            <w:pPr>
              <w:spacing w:line="320" w:lineRule="exact"/>
              <w:jc w:val="center"/>
              <w:rPr>
                <w:rFonts w:ascii="方正仿宋简体" w:eastAsia="方正仿宋简体" w:hAnsi="宋体"/>
                <w:color w:val="0000FF"/>
                <w:kern w:val="0"/>
              </w:rPr>
            </w:pPr>
            <w:r>
              <w:rPr>
                <w:rFonts w:ascii="方正仿宋简体" w:eastAsia="方正仿宋简体" w:hint="eastAsia"/>
                <w:color w:val="333399"/>
              </w:rPr>
              <w:t xml:space="preserve"/>
            </w:r>
          </w:p>
        </w:tc>
      </w:tr>
      <w:tr w:rsidR="005D6F21" w14:paraId="67C990D2" w14:textId="77777777" w:rsidTr="0074096A">
        <w:trPr>
          <w:trHeight w:val="454"/>
        </w:trPr>
        <w:tc>
          <w:tcPr>
            <w:tcW w:w="1371" w:type="pct"/>
            <w:vAlign w:val="center"/>
            <w:vMerge w:val="restart"/>
          </w:tcPr>
          <w:p w14:paraId="30445DB0"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62" w:type="pct"/>
            <w:vAlign w:val="center"/>
          </w:tcPr>
          <w:p w14:paraId="49CAF0CB"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int="eastAsia"/>
                <w:color w:val="333399"/>
              </w:rPr>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N</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7天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w:r>
          </w:p>
        </w:tc>
        <w:tc>
          <w:tcPr>
            <w:tcW w:w="1164" w:type="pct"/>
            <w:vAlign w:val="center"/>
          </w:tcPr>
          <w:p w14:paraId="09847D02"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1.50%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w:r>
          </w:p>
        </w:tc>
        <w:tc>
          <w:tcPr>
            <w:tcW w:w="503" w:type="pct"/>
            <w:vAlign w:val="center"/>
          </w:tcPr>
          <w:p w14:paraId="3ABC605D" w14:textId="77777777" w:rsidR="005D6F21" w:rsidRDefault="00043615">
            <w:pPr>
              <w:spacing w:line="320" w:lineRule="exact"/>
              <w:jc w:val="center"/>
              <w:rPr>
                <w:rFonts w:ascii="方正仿宋简体" w:eastAsia="方正仿宋简体" w:hAnsi="宋体"/>
                <w:kern w:val="0"/>
              </w:rPr>
            </w:pPr>
            <w:r>
              <w:rPr>
                <w:rFonts w:ascii="方正仿宋简体" w:eastAsia="方正仿宋简体" w:hAnsi="宋体" w:hint="eastAsia"/>
                <w:kern w:val="0"/>
              </w:rPr>
              <w:t>100%计入资产</w:t>
            </w:r>
          </w:p>
        </w:tc>
      </w:tr>
      <w:tr w:rsidR="005D6F21" w14:paraId="67C990D2" w14:textId="77777777" w:rsidTr="0074096A">
        <w:trPr>
          <w:trHeight w:val="454"/>
        </w:trPr>
        <w:tc>
          <w:tcPr>
            <w:tcW w:w="1371" w:type="pct"/>
            <w:vAlign w:val="center"/>
            <w:vMerge/>
          </w:tcPr>
          <w:p w14:paraId="30445DB0"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62" w:type="pct"/>
            <w:vAlign w:val="center"/>
          </w:tcPr>
          <w:p w14:paraId="49CAF0CB"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7天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N</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730天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r>
          </w:p>
        </w:tc>
        <w:tc>
          <w:tcPr>
            <w:tcW w:w="1164" w:type="pct"/>
            <w:vAlign w:val="center"/>
          </w:tcPr>
          <w:p w14:paraId="09847D02"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0.50%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ABC605D" w14:textId="77777777" w:rsidR="005D6F21" w:rsidRDefault="00043615">
            <w:pPr>
              <w:spacing w:line="320" w:lineRule="exact"/>
              <w:jc w:val="center"/>
              <w:rPr>
                <w:rFonts w:ascii="方正仿宋简体" w:eastAsia="方正仿宋简体" w:hAnsi="宋体"/>
                <w:kern w:val="0"/>
              </w:rPr>
            </w:pPr>
            <w:r>
              <w:rPr>
                <w:rFonts w:ascii="方正仿宋简体" w:eastAsia="方正仿宋简体" w:hAnsi="宋体" w:hint="eastAsia"/>
                <w:kern w:val="0"/>
              </w:rPr>
              <w:t xml:space="preserve">至少25%计入资产</w:t>
            </w:r>
          </w:p>
        </w:tc>
      </w:tr>
      <w:tr w:rsidR="005D6F21" w14:paraId="67C990D2" w14:textId="77777777" w:rsidTr="0074096A">
        <w:trPr>
          <w:trHeight w:val="454"/>
        </w:trPr>
        <w:tc>
          <w:tcPr>
            <w:tcW w:w="1371" w:type="pct"/>
            <w:vAlign w:val="center"/>
            <w:vMerge/>
          </w:tcPr>
          <w:p w14:paraId="30445DB0"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62" w:type="pct"/>
            <w:vAlign w:val="center"/>
          </w:tcPr>
          <w:p w14:paraId="49CAF0CB"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730天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N</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1095天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r>
          </w:p>
        </w:tc>
        <w:tc>
          <w:tcPr>
            <w:tcW w:w="1164" w:type="pct"/>
            <w:vAlign w:val="center"/>
          </w:tcPr>
          <w:p w14:paraId="09847D02"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0.25%</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ABC605D" w14:textId="77777777" w:rsidR="005D6F21" w:rsidRDefault="00043615">
            <w:pPr>
              <w:spacing w:line="320" w:lineRule="exact"/>
              <w:jc w:val="center"/>
              <w:rPr>
                <w:rFonts w:ascii="方正仿宋简体" w:eastAsia="方正仿宋简体" w:hAnsi="宋体"/>
                <w:kern w:val="0"/>
              </w:rPr>
            </w:pPr>
            <w:r>
              <w:rPr>
                <w:rFonts w:ascii="方正仿宋简体" w:eastAsia="方正仿宋简体" w:hAnsi="宋体" w:hint="eastAsia"/>
                <w:kern w:val="0"/>
              </w:rPr>
              <w:t xml:space="preserve">至少25%计入资产</w:t>
            </w:r>
          </w:p>
        </w:tc>
      </w:tr>
      <w:tr w:rsidR="005D6F21" w14:paraId="67C990D2" w14:textId="77777777" w:rsidTr="0074096A">
        <w:trPr>
          <w:trHeight w:val="454"/>
        </w:trPr>
        <w:tc>
          <w:tcPr>
            <w:tcW w:w="1371" w:type="pct"/>
            <w:vAlign w:val="center"/>
            <w:vMerge/>
          </w:tcPr>
          <w:p w14:paraId="30445DB0"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62" w:type="pct"/>
            <w:vAlign w:val="center"/>
          </w:tcPr>
          <w:p w14:paraId="49CAF0CB"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N</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1095天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r>
          </w:p>
        </w:tc>
        <w:tc>
          <w:tcPr>
            <w:tcW w:w="1164" w:type="pct"/>
            <w:vAlign w:val="center"/>
          </w:tcPr>
          <w:p w14:paraId="09847D02"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0.00%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ABC605D" w14:textId="77777777" w:rsidR="005D6F21" w:rsidRDefault="00043615">
            <w:pPr>
              <w:spacing w:line="320" w:lineRule="exact"/>
              <w:jc w:val="center"/>
              <w:rPr>
                <w:rFonts w:ascii="方正仿宋简体" w:eastAsia="方正仿宋简体" w:hAnsi="宋体"/>
                <w:kern w:val="0"/>
              </w:rPr>
            </w:pPr>
            <w:r>
              <w:rPr>
                <w:rFonts w:ascii="方正仿宋简体" w:eastAsia="方正仿宋简体" w:hAnsi="宋体" w:hint="eastAsia"/>
                <w:kern w:val="0"/>
              </w:rPr>
              <w:t xml:space="preserve"/>
            </w:r>
          </w:p>
        </w:tc>
      </w:tr>
    </w:tbl>
    <w:p w14:paraId="3AC5BB9B" w14:textId="77777777" w:rsidR="005D6F21" w:rsidRDefault="00043615">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Ansi="方正仿宋简体" w:cs="方正仿宋简体" w:hint="eastAsia"/>
          <w:iCs/>
        </w:rPr>
        <w:t>注：</w:t>
      </w:r>
      <w:r>
        <w:rPr>
          <w:rFonts w:ascii="方正仿宋简体" w:eastAsia="方正仿宋简体" w:hAnsi="方正仿宋简体" w:cs="方正仿宋简体" w:hint="eastAsia"/>
          <w:iCs/>
        </w:rPr>
        <w:t>对于通过基金管理人直销渠道申购的养老金客户，享受申购费率1折优惠。对于通过基金管理人直销渠道赎回的养老金客户，将不计入基金资产部分的赎回费免除。</w:t>
      </w:r>
    </w:p>
    <w:p w14:paraId="6C5A3561" w14:textId="77777777" w:rsidR="005D6F21" w:rsidRDefault="005D6F21">
      <w:pPr>
        <w:spacing w:line="320" w:lineRule="exact"/>
        <w:rPr>
          <w:rFonts w:ascii="方正仿宋简体" w:eastAsia="方正仿宋简体" w:hAnsiTheme="minorEastAsia" w:cs="方正仿宋简体"/>
          <w:b/>
          <w:iCs/>
          <w:sz w:val="24"/>
          <w:szCs w:val="24"/>
        </w:rPr>
      </w:pPr>
    </w:p>
    <w:p w14:paraId="5BBEACC5" w14:textId="77777777" w:rsidR="005D6F21" w:rsidRDefault="00043615" gbicc:emptyAbove="1">
      <w:pPr>
        <w:spacing w:line="320" w:lineRule="exact"/>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（二）基金运作相关费用</w:t>
      </w:r>
    </w:p>
    <w:p w14:paraId="3CF6D603" w14:textId="77777777" w:rsidR="005D6F21" w:rsidRDefault="00043615">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int="eastAsia"/>
        </w:rPr>
        <w:t>以下</w:t>
      </w:r>
      <w:r>
        <w:rPr>
          <w:rFonts w:ascii="方正仿宋简体" w:eastAsia="方正仿宋简体" w:hAnsi="方正仿宋简体" w:cs="方正仿宋简体" w:hint="eastAsia"/>
          <w:iCs/>
        </w:rPr>
        <w:t>费用将从基金资产中扣除：</w:t>
      </w:r>
    </w:p>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3155"/>
        <w:gridCol w:w="7527"/>
      </w:tblGrid>
      <w:tr w:rsidR="005D6F21" w14:paraId="2BAA3609" w14:textId="77777777" w:rsidTr="00A1474F">
        <w:trPr>
          <w:trHeight w:val="454"/>
        </w:trPr>
        <w:tc>
          <w:tcPr>
            <w:tcW w:w="1477" w:type="pct"/>
            <w:vAlign w:val="center"/>
          </w:tcPr>
          <w:p w14:paraId="647CFFC3" w14:textId="77777777" w:rsidR="005D6F21" w:rsidRDefault="00043615">
            <w:pPr>
              <w:spacing w:line="320" w:lineRule="exact"/>
              <w:rPr>
                <w:rFonts w:ascii="方正仿宋简体" w:eastAsia="方正仿宋简体" w:hAnsi="方正仿宋简体" w:cs="方正仿宋简体"/>
                <w:b/>
                <w:bCs/>
              </w:rPr>
            </w:pPr>
            <w:r>
              <w:rPr>
                <w:rFonts w:ascii="方正仿宋简体" w:eastAsia="方正仿宋简体" w:hAnsi="方正仿宋简体" w:cs="方正仿宋简体" w:hint="eastAsia"/>
                <w:b/>
                <w:bCs/>
                <w:iCs/>
              </w:rPr>
              <w:t>费用类别</w:t>
            </w:r>
          </w:p>
        </w:tc>
        <w:tc>
          <w:tcPr>
            <w:tcW w:w="3523" w:type="pct"/>
            <w:vAlign w:val="center"/>
          </w:tcPr>
          <w:p w14:paraId="2A6CD167"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w:t>
            </w: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年费率</w:t>
            </w:r>
          </w:p>
        </w:tc>
      </w:tr>
      <w:tr w:rsidR="005D6F21" w14:paraId="7164EA47" w14:textId="77777777" w:rsidTr="00A1474F">
        <w:trPr>
          <w:trHeight w:val="454"/>
        </w:trPr>
        <w:tc>
          <w:tcPr>
            <w:tcW w:w="1477" w:type="pct"/>
            <w:vAlign w:val="center"/>
          </w:tcPr>
          <w:p w14:paraId="3BE7B409" w14:textId="77777777" w:rsidR="005D6F21" w:rsidRDefault="00043615">
            <w:pPr>
              <w:spacing w:line="320" w:lineRule="exac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管理费</w:t>
            </w:r>
          </w:p>
        </w:tc>
        <w:tc>
          <w:tcPr>
            <w:tcW w:w="3523" w:type="pct"/>
            <w:vAlign w:val="center"/>
          </w:tcPr>
          <w:p w14:paraId="42F2A306" w14:textId="77777777" w:rsidR="005D6F21" w:rsidRDefault="00043615">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固定比例</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1.50%</w:t>
            </w:r>
          </w:p>
        </w:tc>
      </w:tr>
      <w:tr w:rsidR="005D6F21" w14:paraId="5D349D7A" w14:textId="77777777" w:rsidTr="00A1474F">
        <w:trPr>
          <w:trHeight w:val="454"/>
        </w:trPr>
        <w:tc>
          <w:tcPr>
            <w:tcW w:w="1477" w:type="pct"/>
            <w:vAlign w:val="center"/>
          </w:tcPr>
          <w:p w14:paraId="4775F80D" w14:textId="77777777" w:rsidR="005D6F21" w:rsidRDefault="00043615">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托管费</w:t>
            </w:r>
          </w:p>
        </w:tc>
        <w:tc>
          <w:tcPr>
            <w:tcW w:w="3523" w:type="pct"/>
            <w:vAlign w:val="center"/>
          </w:tcPr>
          <w:p w14:paraId="13B9E28B" w14:textId="77777777" w:rsidR="005D6F21" w:rsidRDefault="00043615">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固定比例</w:t>
            </w:r>
            <w:r>
              <w:rPr>
                <w:rFonts w:ascii="方正仿宋简体" w:eastAsia="方正仿宋简体" w:hAnsiTheme="minorEastAsia" w:cs="方正仿宋简体" w:hint="eastAsia"/>
                <w:bCs/>
                <w:iCs/>
              </w:rPr>
              <w:t xml:space="preserve"> </w:t>
            </w:r>
            <w:r>
              <w:rPr>
                <w:rFonts w:ascii="方正仿宋简体" w:eastAsia="方正仿宋简体" w:hAnsiTheme="minorEastAsia" w:cs="方正仿宋简体" w:hint="eastAsia"/>
                <w:bCs/>
                <w:iCs/>
              </w:rPr>
              <w:t>0.25%</w:t>
            </w:r>
          </w:p>
        </w:tc>
      </w:tr>
      <w:tr w:rsidR="005D6F21" w14:paraId="1F7048E1" w14:textId="77777777" w:rsidTr="00A1474F">
        <w:trPr>
          <w:trHeight w:val="454"/>
        </w:trPr>
        <w:tc>
          <w:tcPr>
            <w:tcW w:w="1477" w:type="pct"/>
            <w:vAlign w:val="center"/>
          </w:tcPr>
          <w:p w14:paraId="5E872F1E" w14:textId="77777777" w:rsidR="005D6F21" w:rsidRDefault="00043615">
            <w:pPr>
              <w:spacing w:line="32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其他费用</w:t>
            </w:r>
          </w:p>
        </w:tc>
        <w:tc>
          <w:tcPr>
            <w:tcW w:w="3523" w:type="pct"/>
            <w:vAlign w:val="center"/>
          </w:tcPr>
          <w:p w14:paraId="03278D9C" w14:textId="77777777" w:rsidR="005D6F21" w:rsidRDefault="00043615">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基金合同》生效后与基金相关的信息披露费用；《基金合同》生效后与基金相关的会计师费、律师费和诉讼费；基金份额持有人大会费用；基金的证券交易费用；基金的银行汇划费用；账户开户费用、账户维护费用等。</w:t>
            </w:r>
            <w:r>
              <w:rPr>
                <w:rFonts w:ascii="方正仿宋简体" w:eastAsia="方正仿宋简体" w:hAnsiTheme="minorEastAsia" w:cs="方正仿宋简体" w:hint="eastAsia"/>
                <w:bCs/>
                <w:iCs/>
              </w:rPr>
              <w:t xml:space="preserve"> </w:t>
            </w:r>
            <w:r>
              <w:rPr>
                <w:rFonts w:ascii="方正仿宋简体" w:eastAsia="方正仿宋简体" w:hint="eastAsia"/>
                <w:color w:val="333399"/>
              </w:rPr>
              <w:t/>
            </w:r>
          </w:p>
        </w:tc>
      </w:tr>
    </w:tbl>
    <w:p w14:paraId="31A8A3DA" w14:textId="77777777" w:rsidR="005D6F21" w:rsidRDefault="00043615">
      <w:pPr>
        <w:autoSpaceDE w:val="0"/>
        <w:autoSpaceDN w:val="0"/>
        <w:adjustRightInd w:val="0"/>
        <w:spacing w:line="320" w:lineRule="exact"/>
        <w:jc w:val="lef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注：</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本基金交易证券、基金等产生的费用和税负，按实际发生额从基金资产扣除。</w:t>
      </w:r>
    </w:p>
    <w:p w14:paraId="2DA2B0F2" w14:textId="77777777" w:rsidR="005D6F21" w:rsidRDefault="005D6F21">
      <w:pPr>
        <w:autoSpaceDE w:val="0"/>
        <w:autoSpaceDN w:val="0"/>
        <w:adjustRightInd w:val="0"/>
        <w:spacing w:line="280" w:lineRule="exact"/>
        <w:jc w:val="left"/>
        <w:rPr>
          <w:rFonts w:ascii="方正仿宋简体" w:eastAsia="方正仿宋简体" w:hAnsiTheme="minorEastAsia" w:cs="仿宋_GB2312"/>
          <w:kern w:val="0"/>
          <w:szCs w:val="24"/>
        </w:rPr>
      </w:pPr>
    </w:p>
    <w:p w14:paraId="556B0A15" w14:textId="77777777" w:rsidR="005D6F21" w:rsidRDefault="00043615" gbicc:emptyAbove="1">
      <w:pPr gbicc:listString="四、" gbicc:numText="%1、" gbicc:numFmt="C" gbicc:numVal="4"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风险揭示与重要提示</w:t>
      </w:r>
    </w:p>
    <w:p w14:paraId="066E9D20" w14:textId="439342A8" w:rsidR="005D6F21" w:rsidRDefault="00043615">
      <w:pPr gbicc:listString="（一）" gbicc:numText="（%1）" gbicc:numFmt="J" gbicc:numVal="1" gbicc:numId="26">
        <w:pStyle w:val="a8"/>
        <w:numPr>
          <w:ilvl w:val="0"/>
          <w:numId w:val="26"/>
        </w:numPr>
        <w:spacing w:line="320" w:lineRule="exact"/>
        <w:ind w:firstLineChars="0"/>
        <w:outlineLvl w:val="1"/>
        <w:rPr>
          <w:rFonts w:ascii="方正仿宋简体" w:eastAsia="方正仿宋简体" w:hAnsi="方正仿宋简体" w:cs="方正仿宋简体"/>
          <w:b/>
          <w:bCs/>
          <w:iCs/>
          <w:sz w:val="24"/>
          <w:szCs w:val="24"/>
        </w:rPr>
      </w:pPr>
      <w:r>
        <w:rPr>
          <w:rFonts w:ascii="方正仿宋简体" w:eastAsia="方正仿宋简体" w:hAnsi="方正仿宋简体" w:cs="方正仿宋简体" w:hint="eastAsia"/>
          <w:b/>
          <w:bCs/>
          <w:iCs/>
          <w:sz w:val="24"/>
          <w:szCs w:val="24"/>
        </w:rPr>
        <w:t>风险揭示</w:t>
      </w:r>
    </w:p>
    <w:p w14:paraId="7DC888F7"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本基金不提供任何保证。投资者可能损失投资本金。</w:t>
      </w:r>
    </w:p>
    <w:p w14:paraId="29DDF881" w14:textId="113B5CCD"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投资有风险，投资者购买基金时应认真阅读本基金的《招募说明书》等销售文件。</w:t>
      </w:r>
    </w:p>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投资者应认真阅读《基金合同》、《招募说明书》等法律文件，及时关注本公司出具的适当性意见，各销售机构关于适当性的意见不必然一致，本公司的适当性匹配意见并不表明对基金的风险和收益做出实质性判断或者保证。基金合同中关于基金风险收益特征与基金风险等级因考虑因素不同而存在差异。投资者应了解基金的风险收益情况，结合自身投资目的、期限、投资经验及风险承受能力谨慎决策并自行承担风险，不应采信不符合法律法规要求的销售行为及违规宣传推介材料。</w:t>
      </w:r>
    </w:p>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1、本基金特有风险揭示</w:t>
      </w:r>
    </w:p>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是混合型基金，基金资产主要投资于股票市场与债券市场，因此股市、债市的变化将影响到基金业绩表现。本基金虽然按照风险收益配比原则，实行动态的资产配置，但并不能完全抵御市场整体下跌风险，基金净值表现因此会可能受到影响。本基金管理人将发挥专业研究优势，加强对市场、上市公司基本面和固定收益类产品的深入研究，持续优化组合配置，以控制特定风险。此外，由于本基金还可以投资其它品种，这些品种的价格也可能因市场中的各类变化而出现一定幅度的波动，产生特定的风险，并影响到整体基金的投资收益。</w:t>
      </w:r>
    </w:p>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PH-->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本基金普通风险：市场风险（政策风险、经济周期风险、收益波动风险、利率风险、通货膨胀风险、再投资风险等）、管理风险（决策风险、操作风险、技术风险、估值风险等）、信用风险、流动性风险、合规风险和其他风险。</w:t>
      </w:r>
    </w:p>
    <w:p w14:paraId="647AEE6F" w14:textId="77777777" w:rsidR="005D6F21" w:rsidRDefault="00043615">
      <w:pPr>
        <w:spacing w:line="320" w:lineRule="exact"/>
        <w:outlineLvl w:val="1"/>
        <w:rPr>
          <w:rFonts w:ascii="方正仿宋简体" w:eastAsia="方正仿宋简体" w:hAnsi="方正仿宋简体" w:cs="方正仿宋简体"/>
          <w:b/>
          <w:iCs/>
          <w:sz w:val="22"/>
          <w:szCs w:val="24"/>
        </w:rPr>
      </w:pPr>
      <w:r>
        <w:rPr>
          <w:rFonts w:ascii="方正仿宋简体" w:eastAsia="方正仿宋简体" w:hAnsi="方正仿宋简体" w:cs="方正仿宋简体" w:hint="eastAsia"/>
          <w:b/>
          <w:iCs/>
          <w:sz w:val="24"/>
          <w:szCs w:val="24"/>
        </w:rPr>
        <w:t>（二）重要提示</w:t>
      </w:r>
    </w:p>
    <!--PH-->
    <!--PH-->
    <w:p w14:paraId="5B19F72F"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中国证监会对本基金募集的核准，并不表明其对本基金的价值和收益作出实质性判断或保证，也不表明投资于本基金没有风险。</w:t>
      </w:r>
    </w:p>
    <!--PH-->
    <!--PH-->
    <w:p w14:paraId="5B19F72F"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基金管理人依照恪尽职守、诚实信用、谨慎勤勉的原则管理和运用基金财产，但不保证基金一定盈利，也不保证最低收益</w:t>
      </w:r>
    </w:p>
    <!--PH-->
    <!--PH-->
    <w:p w14:paraId="5B19F72F"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基金投资者自依基金合同取得基金份额，即成为基金份额持有人和基金合同的当事人。</w:t>
      </w:r>
    </w:p>
    <!--PH-->
    <!--PH-->
    <w:p w14:paraId="5B19F72F"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PH-->
    <w:p w14:paraId="0E2C9E45" w14:textId="77777777" w:rsidR="005D6F21" w:rsidRDefault="005D6F21">
      <w:pPr>
        <w:autoSpaceDE w:val="0"/>
        <w:autoSpaceDN w:val="0"/>
        <w:adjustRightInd w:val="0"/>
        <w:spacing w:line="280" w:lineRule="exact"/>
        <w:jc w:val="left"/>
        <w:rPr>
          <w:rFonts w:ascii="方正仿宋简体" w:eastAsia="方正仿宋简体"/>
        </w:rPr>
      </w:pPr>
    </w:p>
    <w:p w14:paraId="60C06886" w14:textId="77777777" w:rsidR="005D6F21" w:rsidRDefault="00043615" gbicc:emptyAbove="1">
      <w:pPr gbicc:listString="五、" gbicc:numText="%1、" gbicc:numFmt="C" gbicc:numVal="5"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其他资料查询方式</w:t>
      </w:r>
    </w:p>
    <w:p w14:paraId="5076C401"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以下资料详见基金管理人网站[网址：www.bosera.com][客服电话：95105568]</w:t>
      </w:r>
    </w:p>
    <w:p w14:paraId="5076C401"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(1)基金合同、托管协议、招募说明书</w:t>
      </w:r>
    </w:p>
    <w:p w14:paraId="5076C401"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(2)定期报告，包括基金季度报告、中期报告和年度报告</w:t>
      </w:r>
    </w:p>
    <w:p w14:paraId="5076C401"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(3)基金份额净值</w:t>
      </w:r>
    </w:p>
    <w:p w14:paraId="5076C401"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(4)基金销售机构及联系方式</w:t>
      </w:r>
    </w:p>
    <w:p w14:paraId="5076C401"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(5)其他重要资料</w:t>
      </w:r>
    </w:p>
    <w:p w14:paraId="774A46B5" w14:textId="77777777" w:rsidR="005D6F21" w:rsidRDefault="005D6F21">
      <w:pPr>
        <w:autoSpaceDE w:val="0"/>
        <w:autoSpaceDN w:val="0"/>
        <w:adjustRightInd w:val="0"/>
        <w:spacing w:line="280" w:lineRule="exact"/>
        <w:jc w:val="left"/>
        <w:rPr>
          <w:rFonts w:ascii="方正仿宋简体" w:eastAsia="方正仿宋简体"/>
        </w:rPr>
      </w:pPr>
    </w:p>
    <w:p w14:paraId="7787809E" w14:textId="77777777" w:rsidR="005D6F21" w:rsidRDefault="00043615" gbicc:emptyAbove="1">
      <w:pPr gbicc:listString="六、" gbicc:numText="%1、" gbicc:numFmt="C" gbicc:numVal="6"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其他情况说明</w:t>
      </w:r>
    </w:p>
    <!--PH-->
    <!--PH-->
    <w:p w14:paraId="245E18C6"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争议解决方式：因本基金合同产生或与之相关的争议，各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PH-->
    <!--PH-->
    <w:p w14:paraId="245E18C6"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重大事件：博时内需增长灵活配置混合型证券投资基金由裕阳证券投资基金转型而来。基金转型经裕阳证券投资基金基金份额持有人大会决议通过，持有人大会决议报中国证监会备案，并自完成备案手续后生效。自2013年7月15日起，由《裕阳证券投资基金基金合同》修订而成的《博时内需增长灵活配置混合型证券投资基金基金合同》生效，原《裕阳证券投资基金基金合同》同日起失效。</w:t>
      </w:r>
    </w:p>
    <w:p w14:paraId="245E18C6"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w:r>
    </w:p>
    <w:p w14:paraId="48E922A5" w14:textId="77777777" w:rsidR="005D6F21" w:rsidRDefault="00043615">
      <w:pPr>
        <w:autoSpaceDE w:val="0"/>
        <w:autoSpaceDN w:val="0"/>
        <w:adjustRightInd w:val="0"/>
        <w:spacing w:line="280" w:lineRule="exact"/>
        <w:jc w:val="left"/>
      </w:pPr>
    </w:p>
    <w:sectPr w:rsidR="005D6F21" w:rsidSect="00461A7D">
      <w:footerReference w:type="default" r:id="rId2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C142B" w14:textId="77777777" w:rsidR="00043615" w:rsidRDefault="00043615" w:rsidP="0092395F">
      <w:r>
        <w:separator/>
      </w:r>
    </w:p>
  </w:endnote>
  <w:endnote w:type="continuationSeparator" w:id="0">
    <w:p w14:paraId="339F8944" w14:textId="77777777" w:rsidR="00043615" w:rsidRDefault="00043615"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14:paraId="3CD0CA97" w14:textId="77777777" w:rsidR="00461A7D" w:rsidRDefault="00461A7D" w:rsidP="0025315A">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60274">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60274">
              <w:rPr>
                <w:b/>
                <w:bCs/>
                <w:noProof/>
              </w:rPr>
              <w:t>17</w:t>
            </w:r>
            <w:r>
              <w:rPr>
                <w:b/>
                <w:bCs/>
                <w:sz w:val="24"/>
                <w:szCs w:val="24"/>
              </w:rPr>
              <w:fldChar w:fldCharType="end"/>
            </w:r>
          </w:p>
        </w:sdtContent>
      </w:sdt>
    </w:sdtContent>
  </w:sdt>
  <w:p w14:paraId="30F8E9BC" w14:textId="77777777" w:rsidR="00461A7D" w:rsidRDefault="00461A7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8602B" w14:textId="77777777" w:rsidR="00043615" w:rsidRDefault="00043615" w:rsidP="0092395F">
      <w:r>
        <w:separator/>
      </w:r>
    </w:p>
  </w:footnote>
  <w:footnote w:type="continuationSeparator" w:id="0">
    <w:p w14:paraId="4987E772" w14:textId="77777777" w:rsidR="00043615" w:rsidRDefault="00043615" w:rsidP="00923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370211B"/>
    <w:multiLevelType w:val="hybridMultilevel"/>
    <w:tmpl w:val="610EDC98"/>
    <w:lvl w:ilvl="0" w:tplc="22CC479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4">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C21FE0E"/>
    <w:multiLevelType w:val="singleLevel"/>
    <w:tmpl w:val="5C21FE0E"/>
    <w:lvl w:ilvl="0">
      <w:start w:val="2"/>
      <w:numFmt w:val="chineseCounting"/>
      <w:suff w:val="nothing"/>
      <w:lvlText w:val="（%1）"/>
      <w:lvlJc w:val="left"/>
    </w:lvl>
  </w:abstractNum>
  <w:abstractNum w:abstractNumId="16">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3"/>
  </w:num>
  <w:num w:numId="3">
    <w:abstractNumId w:val="3"/>
  </w:num>
  <w:num w:numId="4">
    <w:abstractNumId w:val="3"/>
  </w:num>
  <w:num w:numId="5">
    <w:abstractNumId w:val="3"/>
  </w:num>
  <w:num w:numId="6">
    <w:abstractNumId w:val="18"/>
  </w:num>
  <w:num w:numId="7">
    <w:abstractNumId w:val="8"/>
  </w:num>
  <w:num w:numId="8">
    <w:abstractNumId w:val="14"/>
  </w:num>
  <w:num w:numId="9">
    <w:abstractNumId w:val="20"/>
  </w:num>
  <w:num w:numId="10">
    <w:abstractNumId w:val="13"/>
  </w:num>
  <w:num w:numId="11">
    <w:abstractNumId w:val="15"/>
  </w:num>
  <w:num w:numId="12">
    <w:abstractNumId w:val="0"/>
  </w:num>
  <w:num w:numId="13">
    <w:abstractNumId w:val="4"/>
  </w:num>
  <w:num w:numId="14">
    <w:abstractNumId w:val="5"/>
  </w:num>
  <w:num w:numId="15">
    <w:abstractNumId w:val="21"/>
  </w:num>
  <w:num w:numId="16">
    <w:abstractNumId w:val="7"/>
  </w:num>
  <w:num w:numId="17">
    <w:abstractNumId w:val="16"/>
  </w:num>
  <w:num w:numId="18">
    <w:abstractNumId w:val="9"/>
  </w:num>
  <w:num w:numId="19">
    <w:abstractNumId w:val="12"/>
  </w:num>
  <w:num w:numId="20">
    <w:abstractNumId w:val="2"/>
  </w:num>
  <w:num w:numId="21">
    <w:abstractNumId w:val="6"/>
  </w:num>
  <w:num w:numId="22">
    <w:abstractNumId w:val="11"/>
  </w:num>
  <w:num w:numId="23">
    <w:abstractNumId w:val="17"/>
  </w:num>
  <w:num w:numId="24">
    <w:abstractNumId w:val="19"/>
  </w:num>
  <w:num w:numId="25">
    <w:abstractNumId w:val="1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30595"/>
    <w:rsid w:val="000315CE"/>
    <w:rsid w:val="00035A85"/>
    <w:rsid w:val="000431A9"/>
    <w:rsid w:val="00043615"/>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6076"/>
    <w:rsid w:val="000862CB"/>
    <w:rsid w:val="00086FAF"/>
    <w:rsid w:val="00090D03"/>
    <w:rsid w:val="00090E1B"/>
    <w:rsid w:val="000915A1"/>
    <w:rsid w:val="00092664"/>
    <w:rsid w:val="0009280C"/>
    <w:rsid w:val="00095DA1"/>
    <w:rsid w:val="00096ECA"/>
    <w:rsid w:val="000A25FC"/>
    <w:rsid w:val="000A27CB"/>
    <w:rsid w:val="000A4485"/>
    <w:rsid w:val="000A69FE"/>
    <w:rsid w:val="000A6C27"/>
    <w:rsid w:val="000A71C1"/>
    <w:rsid w:val="000A7FF9"/>
    <w:rsid w:val="000B672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302B4"/>
    <w:rsid w:val="0013061B"/>
    <w:rsid w:val="00130F4D"/>
    <w:rsid w:val="0013367D"/>
    <w:rsid w:val="001351D1"/>
    <w:rsid w:val="00135D07"/>
    <w:rsid w:val="0013609D"/>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77C2"/>
    <w:rsid w:val="001A7E7C"/>
    <w:rsid w:val="001B2C1A"/>
    <w:rsid w:val="001B525D"/>
    <w:rsid w:val="001C19CC"/>
    <w:rsid w:val="001C1A3B"/>
    <w:rsid w:val="001C1CAE"/>
    <w:rsid w:val="001C1D13"/>
    <w:rsid w:val="001C1F54"/>
    <w:rsid w:val="001C27FC"/>
    <w:rsid w:val="001C285F"/>
    <w:rsid w:val="001C3861"/>
    <w:rsid w:val="001C4114"/>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374DD"/>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18F7"/>
    <w:rsid w:val="0026413B"/>
    <w:rsid w:val="00265B51"/>
    <w:rsid w:val="00266322"/>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3CC2"/>
    <w:rsid w:val="003744FE"/>
    <w:rsid w:val="0037519F"/>
    <w:rsid w:val="00375483"/>
    <w:rsid w:val="003800E8"/>
    <w:rsid w:val="00380BCD"/>
    <w:rsid w:val="00381CFE"/>
    <w:rsid w:val="00382845"/>
    <w:rsid w:val="00386A7F"/>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E0BE3"/>
    <w:rsid w:val="003E11A4"/>
    <w:rsid w:val="003E4F18"/>
    <w:rsid w:val="003E66A5"/>
    <w:rsid w:val="003E6956"/>
    <w:rsid w:val="003E78BD"/>
    <w:rsid w:val="003E7F21"/>
    <w:rsid w:val="003F1DE3"/>
    <w:rsid w:val="003F324E"/>
    <w:rsid w:val="003F42E1"/>
    <w:rsid w:val="003F56C3"/>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30064"/>
    <w:rsid w:val="00430BE8"/>
    <w:rsid w:val="0043184A"/>
    <w:rsid w:val="004324B8"/>
    <w:rsid w:val="004335EC"/>
    <w:rsid w:val="00435F11"/>
    <w:rsid w:val="00437CC4"/>
    <w:rsid w:val="0044078C"/>
    <w:rsid w:val="00440F0C"/>
    <w:rsid w:val="004428A7"/>
    <w:rsid w:val="00443386"/>
    <w:rsid w:val="00444874"/>
    <w:rsid w:val="0044609F"/>
    <w:rsid w:val="004504DB"/>
    <w:rsid w:val="0045198C"/>
    <w:rsid w:val="00456164"/>
    <w:rsid w:val="00457457"/>
    <w:rsid w:val="00461A7D"/>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F62"/>
    <w:rsid w:val="004E275A"/>
    <w:rsid w:val="004E29D3"/>
    <w:rsid w:val="004E46D3"/>
    <w:rsid w:val="004E55B4"/>
    <w:rsid w:val="004E5A80"/>
    <w:rsid w:val="004E736F"/>
    <w:rsid w:val="004E7553"/>
    <w:rsid w:val="004F0DA7"/>
    <w:rsid w:val="004F157A"/>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A83"/>
    <w:rsid w:val="00551F7A"/>
    <w:rsid w:val="0055285B"/>
    <w:rsid w:val="00553DB0"/>
    <w:rsid w:val="005540D2"/>
    <w:rsid w:val="00554969"/>
    <w:rsid w:val="00555C70"/>
    <w:rsid w:val="005622C8"/>
    <w:rsid w:val="005626F8"/>
    <w:rsid w:val="00562E85"/>
    <w:rsid w:val="00563BCF"/>
    <w:rsid w:val="00563EC0"/>
    <w:rsid w:val="0056468E"/>
    <w:rsid w:val="00565C2C"/>
    <w:rsid w:val="00571BD4"/>
    <w:rsid w:val="00571F09"/>
    <w:rsid w:val="00572E76"/>
    <w:rsid w:val="005778C5"/>
    <w:rsid w:val="00581429"/>
    <w:rsid w:val="005815B2"/>
    <w:rsid w:val="00581EE1"/>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6AE"/>
    <w:rsid w:val="005B68DF"/>
    <w:rsid w:val="005B6AFF"/>
    <w:rsid w:val="005B70B9"/>
    <w:rsid w:val="005B755C"/>
    <w:rsid w:val="005C1A5C"/>
    <w:rsid w:val="005C5197"/>
    <w:rsid w:val="005C64D0"/>
    <w:rsid w:val="005C65CA"/>
    <w:rsid w:val="005C6897"/>
    <w:rsid w:val="005C68EB"/>
    <w:rsid w:val="005C7259"/>
    <w:rsid w:val="005C75B8"/>
    <w:rsid w:val="005C77E0"/>
    <w:rsid w:val="005D013C"/>
    <w:rsid w:val="005D2905"/>
    <w:rsid w:val="005D45F5"/>
    <w:rsid w:val="005D6F21"/>
    <w:rsid w:val="005E06A1"/>
    <w:rsid w:val="005E3245"/>
    <w:rsid w:val="005E41D1"/>
    <w:rsid w:val="005E539C"/>
    <w:rsid w:val="005E6DA7"/>
    <w:rsid w:val="005E7F1E"/>
    <w:rsid w:val="005F360D"/>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87021"/>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105"/>
    <w:rsid w:val="006A6462"/>
    <w:rsid w:val="006A668D"/>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E4F54"/>
    <w:rsid w:val="006F3B05"/>
    <w:rsid w:val="006F5DDA"/>
    <w:rsid w:val="006F6174"/>
    <w:rsid w:val="006F644F"/>
    <w:rsid w:val="006F7A73"/>
    <w:rsid w:val="00700B21"/>
    <w:rsid w:val="00703359"/>
    <w:rsid w:val="00704D47"/>
    <w:rsid w:val="00710EE8"/>
    <w:rsid w:val="00710FD8"/>
    <w:rsid w:val="00711527"/>
    <w:rsid w:val="0071264A"/>
    <w:rsid w:val="00713D57"/>
    <w:rsid w:val="00714D53"/>
    <w:rsid w:val="00716B37"/>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6BC6"/>
    <w:rsid w:val="00750319"/>
    <w:rsid w:val="00751532"/>
    <w:rsid w:val="00752B07"/>
    <w:rsid w:val="00752C48"/>
    <w:rsid w:val="007534BE"/>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D52AD"/>
    <w:rsid w:val="007E1A14"/>
    <w:rsid w:val="007E1A79"/>
    <w:rsid w:val="007E27A0"/>
    <w:rsid w:val="007E3C1E"/>
    <w:rsid w:val="007E3F9D"/>
    <w:rsid w:val="007E402B"/>
    <w:rsid w:val="007E5665"/>
    <w:rsid w:val="007E6D53"/>
    <w:rsid w:val="007F0E3B"/>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37BE"/>
    <w:rsid w:val="008646B2"/>
    <w:rsid w:val="00867328"/>
    <w:rsid w:val="00867C31"/>
    <w:rsid w:val="00872076"/>
    <w:rsid w:val="00872D80"/>
    <w:rsid w:val="0087307E"/>
    <w:rsid w:val="0087384F"/>
    <w:rsid w:val="00873A0F"/>
    <w:rsid w:val="008740C8"/>
    <w:rsid w:val="008745A1"/>
    <w:rsid w:val="008746AF"/>
    <w:rsid w:val="0087523D"/>
    <w:rsid w:val="00877A01"/>
    <w:rsid w:val="0088032D"/>
    <w:rsid w:val="00882B51"/>
    <w:rsid w:val="00883039"/>
    <w:rsid w:val="008837AC"/>
    <w:rsid w:val="00884104"/>
    <w:rsid w:val="008844E4"/>
    <w:rsid w:val="00884CBE"/>
    <w:rsid w:val="008903F8"/>
    <w:rsid w:val="00890E27"/>
    <w:rsid w:val="008926FD"/>
    <w:rsid w:val="00893919"/>
    <w:rsid w:val="00895708"/>
    <w:rsid w:val="00896A9C"/>
    <w:rsid w:val="00896F7D"/>
    <w:rsid w:val="00897522"/>
    <w:rsid w:val="008A036F"/>
    <w:rsid w:val="008A1173"/>
    <w:rsid w:val="008A13A2"/>
    <w:rsid w:val="008A1CB3"/>
    <w:rsid w:val="008A1D50"/>
    <w:rsid w:val="008A4638"/>
    <w:rsid w:val="008A46F0"/>
    <w:rsid w:val="008A492B"/>
    <w:rsid w:val="008A59EF"/>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96983"/>
    <w:rsid w:val="009A2391"/>
    <w:rsid w:val="009A24E6"/>
    <w:rsid w:val="009A25A1"/>
    <w:rsid w:val="009A3477"/>
    <w:rsid w:val="009A46F4"/>
    <w:rsid w:val="009A5FBA"/>
    <w:rsid w:val="009A6135"/>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20D4"/>
    <w:rsid w:val="00A630BA"/>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710A"/>
    <w:rsid w:val="00A916CE"/>
    <w:rsid w:val="00A92DE6"/>
    <w:rsid w:val="00A93429"/>
    <w:rsid w:val="00A93FAE"/>
    <w:rsid w:val="00AA0104"/>
    <w:rsid w:val="00AA01A2"/>
    <w:rsid w:val="00AA08C9"/>
    <w:rsid w:val="00AA1216"/>
    <w:rsid w:val="00AA2BE7"/>
    <w:rsid w:val="00AA4D00"/>
    <w:rsid w:val="00AA582D"/>
    <w:rsid w:val="00AA5997"/>
    <w:rsid w:val="00AA5A61"/>
    <w:rsid w:val="00AA64C3"/>
    <w:rsid w:val="00AB0258"/>
    <w:rsid w:val="00AB0A7B"/>
    <w:rsid w:val="00AB3C80"/>
    <w:rsid w:val="00AB5335"/>
    <w:rsid w:val="00AB7302"/>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3F04"/>
    <w:rsid w:val="00AF6503"/>
    <w:rsid w:val="00AF6AD4"/>
    <w:rsid w:val="00B00AB3"/>
    <w:rsid w:val="00B00F6E"/>
    <w:rsid w:val="00B030B3"/>
    <w:rsid w:val="00B037CB"/>
    <w:rsid w:val="00B04026"/>
    <w:rsid w:val="00B04AC4"/>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57C21"/>
    <w:rsid w:val="00B63F25"/>
    <w:rsid w:val="00B66AE9"/>
    <w:rsid w:val="00B66CCF"/>
    <w:rsid w:val="00B67174"/>
    <w:rsid w:val="00B67B4E"/>
    <w:rsid w:val="00B67BD4"/>
    <w:rsid w:val="00B70E27"/>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793"/>
    <w:rsid w:val="00BA47E0"/>
    <w:rsid w:val="00BA515B"/>
    <w:rsid w:val="00BA7BA6"/>
    <w:rsid w:val="00BB0835"/>
    <w:rsid w:val="00BB229C"/>
    <w:rsid w:val="00BB6C39"/>
    <w:rsid w:val="00BB7DDB"/>
    <w:rsid w:val="00BC07AA"/>
    <w:rsid w:val="00BC1488"/>
    <w:rsid w:val="00BC2FEF"/>
    <w:rsid w:val="00BC4028"/>
    <w:rsid w:val="00BC6407"/>
    <w:rsid w:val="00BD1560"/>
    <w:rsid w:val="00BD36F1"/>
    <w:rsid w:val="00BD3B1A"/>
    <w:rsid w:val="00BD3CAD"/>
    <w:rsid w:val="00BD755E"/>
    <w:rsid w:val="00BE0BCB"/>
    <w:rsid w:val="00BE1F92"/>
    <w:rsid w:val="00BE2A1D"/>
    <w:rsid w:val="00BE2C91"/>
    <w:rsid w:val="00BE2F82"/>
    <w:rsid w:val="00BE34CD"/>
    <w:rsid w:val="00BE3A68"/>
    <w:rsid w:val="00BE3D7F"/>
    <w:rsid w:val="00BE6614"/>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6134"/>
    <w:rsid w:val="00C57D41"/>
    <w:rsid w:val="00C61DF9"/>
    <w:rsid w:val="00C62C60"/>
    <w:rsid w:val="00C65333"/>
    <w:rsid w:val="00C70FFB"/>
    <w:rsid w:val="00C716FD"/>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97AC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EE6"/>
    <w:rsid w:val="00CE4FAE"/>
    <w:rsid w:val="00CE595D"/>
    <w:rsid w:val="00CE5CD6"/>
    <w:rsid w:val="00CE741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53CEE"/>
    <w:rsid w:val="00D54D59"/>
    <w:rsid w:val="00D55AB8"/>
    <w:rsid w:val="00D56378"/>
    <w:rsid w:val="00D60274"/>
    <w:rsid w:val="00D60808"/>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4269"/>
    <w:rsid w:val="00DC45B5"/>
    <w:rsid w:val="00DC4BC6"/>
    <w:rsid w:val="00DC6A31"/>
    <w:rsid w:val="00DC6EF0"/>
    <w:rsid w:val="00DC7B89"/>
    <w:rsid w:val="00DD33C0"/>
    <w:rsid w:val="00DD420A"/>
    <w:rsid w:val="00DD48B1"/>
    <w:rsid w:val="00DD57E2"/>
    <w:rsid w:val="00DD59E3"/>
    <w:rsid w:val="00DD5FEE"/>
    <w:rsid w:val="00DD7810"/>
    <w:rsid w:val="00DE2042"/>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20489"/>
    <w:rsid w:val="00E20807"/>
    <w:rsid w:val="00E218C9"/>
    <w:rsid w:val="00E2283D"/>
    <w:rsid w:val="00E2391A"/>
    <w:rsid w:val="00E24727"/>
    <w:rsid w:val="00E24912"/>
    <w:rsid w:val="00E27123"/>
    <w:rsid w:val="00E31443"/>
    <w:rsid w:val="00E324E7"/>
    <w:rsid w:val="00E3381B"/>
    <w:rsid w:val="00E34663"/>
    <w:rsid w:val="00E3495E"/>
    <w:rsid w:val="00E35BD3"/>
    <w:rsid w:val="00E37BFF"/>
    <w:rsid w:val="00E4113C"/>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3176"/>
    <w:rsid w:val="00E833FE"/>
    <w:rsid w:val="00E878A0"/>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7BB"/>
    <w:rsid w:val="00F0657B"/>
    <w:rsid w:val="00F068BA"/>
    <w:rsid w:val="00F100AB"/>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5135"/>
    <w:rsid w:val="00F35DFB"/>
    <w:rsid w:val="00F363C5"/>
    <w:rsid w:val="00F377ED"/>
    <w:rsid w:val="00F37CF5"/>
    <w:rsid w:val="00F4193A"/>
    <w:rsid w:val="00F42E2F"/>
    <w:rsid w:val="00F43907"/>
    <w:rsid w:val="00F4462A"/>
    <w:rsid w:val="00F45124"/>
    <w:rsid w:val="00F473F0"/>
    <w:rsid w:val="00F50606"/>
    <w:rsid w:val="00F52070"/>
    <w:rsid w:val="00F5341C"/>
    <w:rsid w:val="00F55C1F"/>
    <w:rsid w:val="00F57B9F"/>
    <w:rsid w:val="00F60031"/>
    <w:rsid w:val="00F625F5"/>
    <w:rsid w:val="00F63AA3"/>
    <w:rsid w:val="00F67554"/>
    <w:rsid w:val="00F74093"/>
    <w:rsid w:val="00F75AF2"/>
    <w:rsid w:val="00F77328"/>
    <w:rsid w:val="00F80D34"/>
    <w:rsid w:val="00F8111E"/>
    <w:rsid w:val="00F82191"/>
    <w:rsid w:val="00F827BC"/>
    <w:rsid w:val="00F85716"/>
    <w:rsid w:val="00F86A0B"/>
    <w:rsid w:val="00F86D14"/>
    <w:rsid w:val="00F90C74"/>
    <w:rsid w:val="00F91465"/>
    <w:rsid w:val="00F91EC2"/>
    <w:rsid w:val="00F9272F"/>
    <w:rsid w:val="00F932C3"/>
    <w:rsid w:val="00F9356F"/>
    <w:rsid w:val="00FA0A90"/>
    <w:rsid w:val="00FA0F23"/>
    <w:rsid w:val="00FA16BC"/>
    <w:rsid w:val="00FA2C38"/>
    <w:rsid w:val="00FA5506"/>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5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no"?>
<Relationships xmlns="http://schemas.openxmlformats.org/package/2006/relationships">
<Relationship Id="rIDCN_50050000_000264_FA010080_20200002_1jpg" Target="media/CN_50050000_000264_FA010080_20200002_1.jpg" Type="http://schemas.openxmlformats.org/officeDocument/2006/relationships/image"/>
<Relationship Id="rIDCN_50050000_000264_FA010080_20200002_3jpg" Target="media/CN_50050000_000264_FA010080_20200002_3.jpg" Type="http://schemas.openxmlformats.org/officeDocument/2006/relationships/image"/>
<Relationship Id="rId10" Target="endnotes.xml" Type="http://schemas.openxmlformats.org/officeDocument/2006/relationships/endnotes"/>
<Relationship Id="rId11" Target="media/image1.png" Type="http://schemas.openxmlformats.org/officeDocument/2006/relationships/image"/>
<Relationship Id="rId12" Target="charts/chart1.xml" Type="http://schemas.openxmlformats.org/officeDocument/2006/relationships/chart"/>
<Relationship Id="rId13" Target="charts/chart2.xml" Type="http://schemas.openxmlformats.org/officeDocument/2006/relationships/chart"/>
<Relationship Id="rId14" Target="charts/chart3.xml" Type="http://schemas.openxmlformats.org/officeDocument/2006/relationships/chart"/>
<Relationship Id="rId15" Target="charts/chart4.xml" Type="http://schemas.openxmlformats.org/officeDocument/2006/relationships/chart"/>
<Relationship Id="rId16" Target="charts/chart5.xml" Type="http://schemas.openxmlformats.org/officeDocument/2006/relationships/chart"/>
<Relationship Id="rId17" Target="charts/chart6.xml" Type="http://schemas.openxmlformats.org/officeDocument/2006/relationships/chart"/>
<Relationship Id="rId18" Target="charts/chart7.xml" Type="http://schemas.openxmlformats.org/officeDocument/2006/relationships/chart"/>
<Relationship Id="rId19" Target="charts/chart8.xml" Type="http://schemas.openxmlformats.org/officeDocument/2006/relationships/chart"/>
<Relationship Id="rId20" Target="charts/chart9.xml" Type="http://schemas.openxmlformats.org/officeDocument/2006/relationships/chart"/>
<Relationship Id="rId21" Target="charts/chart10.xml" Type="http://schemas.openxmlformats.org/officeDocument/2006/relationships/chart"/>
<Relationship Id="rId22" Target="charts/chart11.xml" Type="http://schemas.openxmlformats.org/officeDocument/2006/relationships/chart"/>
<Relationship Id="rId23" Target="charts/chart12.xml" Type="http://schemas.openxmlformats.org/officeDocument/2006/relationships/chart"/>
<Relationship Id="rId24" Target="footer1.xml" Type="http://schemas.openxmlformats.org/officeDocument/2006/relationships/footer"/>
<Relationship Id="rId25" Target="fontTable.xml" Type="http://schemas.openxmlformats.org/officeDocument/2006/relationships/fontTable"/>
<Relationship Id="rId26" Target="glossary/document.xml" Type="http://schemas.openxmlformats.org/officeDocument/2006/relationships/glossaryDocument"/>
<Relationship Id="rId27" Target="theme/theme1.xml" Type="http://schemas.openxmlformats.org/officeDocument/2006/relationships/theme"/>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tylesWithEffects.xml" Type="http://schemas.microsoft.com/office/2007/relationships/stylesWithEffect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settings.xml.rels><?xml version="1.0" encoding="UTF-8" standalone="no"?>
<Relationships xmlns="http://schemas.openxmlformats.org/package/2006/relationships">
<Relationship Id="rId1" Target="file:///C:/Users/Administrator/AppData/Roaming/Microsoft/Templates/Normal.dotm" TargetMode="External" Type="http://schemas.openxmlformats.org/officeDocument/2006/relationships/attachedTemplate"/>
</Relationships>

</file>

<file path=word/drawings/drawing1.xml><?xml version="1.0" encoding="utf-8"?>
<c:userShapes xmlns:c="http://schemas.openxmlformats.org/drawingml/2006/chart">
  <cdr:relSizeAnchor xmlns:cdr="http://schemas.openxmlformats.org/drawingml/2006/chartDrawing">
    <cdr:from>
      <cdr:x>0.22032</cdr:x>
      <cdr:y>0.03096</cdr:y>
    </cdr:from>
    <cdr:to>
      <cdr:x>0.27269</cdr:x>
      <cdr:y>0.08359</cdr:y>
    </cdr:to>
    <cdr:sp macro="" textlink="">
      <cdr:nvSpPr>
        <cdr:cNvPr id="2" name="文本框 1"/>
        <cdr:cNvSpPr txBox="1"/>
      </cdr:nvSpPr>
      <cdr:spPr>
        <a:xfrm xmlns:a="http://schemas.openxmlformats.org/drawingml/2006/main">
          <a:off x="1162050" y="95250"/>
          <a:ext cx="276225"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userShapes>
</file>

<file path=word/glossary/_rels/document.xml.rels><?xml version="1.0" encoding="UTF-8" standalone="no"?>
<Relationships xmlns="http://schemas.openxmlformats.org/package/2006/relationships">
<Relationship Id="rId1" Target="styles.xml" Type="http://schemas.openxmlformats.org/officeDocument/2006/relationships/styles"/>
<Relationship Id="rId2" Target="stylesWithEffects.xml" Type="http://schemas.microsoft.com/office/2007/relationships/stylesWithEffects"/>
<Relationship Id="rId3" Target="settings.xml" Type="http://schemas.openxmlformats.org/officeDocument/2006/relationships/settings"/>
<Relationship Id="rId4" Target="webSettings.xml" Type="http://schemas.openxmlformats.org/officeDocument/2006/relationships/webSettings"/>
<Relationship Id="rId5" Target="fontTable.xml" Type="http://schemas.openxmlformats.org/officeDocument/2006/relationships/fontTable"/>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33333333333333333333333333333"/>
        <w:category>
          <w:name w:val="常规"/>
          <w:gallery w:val="placeholder"/>
        </w:category>
        <w:types>
          <w:type w:val="bbPlcHdr"/>
        </w:types>
        <w:behaviors>
          <w:behavior w:val="content"/>
        </w:behaviors>
        <w:guid w:val="{334BEF10-E26F-4DFA-AA01-87668B57AD08}"/>
      </w:docPartPr>
      <w:docPartBody>
        <w:p w:rsidR="00D6090D" w:rsidRDefault="00331623">
          <w:r w:rsidRPr="003F6076">
            <w:rPr>
              <w:rStyle w:val="a3"/>
              <w:rFonts w:hint="eastAsia"/>
            </w:rPr>
            <w:t>（空）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23"/>
    <w:rsid w:val="000115D6"/>
    <w:rsid w:val="00020047"/>
    <w:rsid w:val="00036D92"/>
    <w:rsid w:val="00037D35"/>
    <w:rsid w:val="000414FB"/>
    <w:rsid w:val="00055C5C"/>
    <w:rsid w:val="00081F33"/>
    <w:rsid w:val="000835AF"/>
    <w:rsid w:val="000835C7"/>
    <w:rsid w:val="00084051"/>
    <w:rsid w:val="0009147D"/>
    <w:rsid w:val="000B2B16"/>
    <w:rsid w:val="000D2086"/>
    <w:rsid w:val="000D3417"/>
    <w:rsid w:val="000F2290"/>
    <w:rsid w:val="000F2FFF"/>
    <w:rsid w:val="001123EE"/>
    <w:rsid w:val="00112FFF"/>
    <w:rsid w:val="0011621F"/>
    <w:rsid w:val="00116BAE"/>
    <w:rsid w:val="00121599"/>
    <w:rsid w:val="00127EA3"/>
    <w:rsid w:val="001672F9"/>
    <w:rsid w:val="00171D87"/>
    <w:rsid w:val="00172EE5"/>
    <w:rsid w:val="001817ED"/>
    <w:rsid w:val="0018790A"/>
    <w:rsid w:val="00192E60"/>
    <w:rsid w:val="001B3EE8"/>
    <w:rsid w:val="001C3192"/>
    <w:rsid w:val="001D0E74"/>
    <w:rsid w:val="002051BD"/>
    <w:rsid w:val="002317BE"/>
    <w:rsid w:val="00231BA3"/>
    <w:rsid w:val="00233E5C"/>
    <w:rsid w:val="0024217D"/>
    <w:rsid w:val="00252AFE"/>
    <w:rsid w:val="00261674"/>
    <w:rsid w:val="0026286A"/>
    <w:rsid w:val="0026772A"/>
    <w:rsid w:val="002728E1"/>
    <w:rsid w:val="002733EC"/>
    <w:rsid w:val="0027410A"/>
    <w:rsid w:val="00280E3F"/>
    <w:rsid w:val="002A5FD2"/>
    <w:rsid w:val="002C57EB"/>
    <w:rsid w:val="002D6529"/>
    <w:rsid w:val="00311442"/>
    <w:rsid w:val="003118D2"/>
    <w:rsid w:val="003127BE"/>
    <w:rsid w:val="00317044"/>
    <w:rsid w:val="0032290F"/>
    <w:rsid w:val="00323BFD"/>
    <w:rsid w:val="00323DC1"/>
    <w:rsid w:val="00331623"/>
    <w:rsid w:val="00332AF2"/>
    <w:rsid w:val="0034367B"/>
    <w:rsid w:val="003550EA"/>
    <w:rsid w:val="0037121C"/>
    <w:rsid w:val="0037514E"/>
    <w:rsid w:val="003768D0"/>
    <w:rsid w:val="0039391C"/>
    <w:rsid w:val="00397AFA"/>
    <w:rsid w:val="003A3ADA"/>
    <w:rsid w:val="003B1735"/>
    <w:rsid w:val="003B4534"/>
    <w:rsid w:val="003E567A"/>
    <w:rsid w:val="0043068A"/>
    <w:rsid w:val="00442B78"/>
    <w:rsid w:val="00450008"/>
    <w:rsid w:val="00451B6C"/>
    <w:rsid w:val="00454F21"/>
    <w:rsid w:val="0045588C"/>
    <w:rsid w:val="004610B2"/>
    <w:rsid w:val="0046617C"/>
    <w:rsid w:val="0046634E"/>
    <w:rsid w:val="00467D8A"/>
    <w:rsid w:val="00467FC0"/>
    <w:rsid w:val="00477D16"/>
    <w:rsid w:val="004B27BB"/>
    <w:rsid w:val="004B744A"/>
    <w:rsid w:val="004C3122"/>
    <w:rsid w:val="004E6934"/>
    <w:rsid w:val="00501AB2"/>
    <w:rsid w:val="00510D0B"/>
    <w:rsid w:val="005130EE"/>
    <w:rsid w:val="0051671B"/>
    <w:rsid w:val="00524944"/>
    <w:rsid w:val="00525FD4"/>
    <w:rsid w:val="00545CDB"/>
    <w:rsid w:val="00547167"/>
    <w:rsid w:val="0054769E"/>
    <w:rsid w:val="0056128D"/>
    <w:rsid w:val="00586633"/>
    <w:rsid w:val="0058720C"/>
    <w:rsid w:val="005902FE"/>
    <w:rsid w:val="005915B9"/>
    <w:rsid w:val="00593FAA"/>
    <w:rsid w:val="005A519D"/>
    <w:rsid w:val="005B4288"/>
    <w:rsid w:val="005C25A7"/>
    <w:rsid w:val="005C325D"/>
    <w:rsid w:val="005C4D29"/>
    <w:rsid w:val="005C5059"/>
    <w:rsid w:val="005E12E5"/>
    <w:rsid w:val="005E2BAA"/>
    <w:rsid w:val="005E4AC4"/>
    <w:rsid w:val="005E78D6"/>
    <w:rsid w:val="00610EBD"/>
    <w:rsid w:val="00616596"/>
    <w:rsid w:val="006340F8"/>
    <w:rsid w:val="00637E49"/>
    <w:rsid w:val="00656E21"/>
    <w:rsid w:val="00660FB7"/>
    <w:rsid w:val="00662A61"/>
    <w:rsid w:val="00666964"/>
    <w:rsid w:val="00672BB9"/>
    <w:rsid w:val="00680145"/>
    <w:rsid w:val="0069290D"/>
    <w:rsid w:val="006A0AEA"/>
    <w:rsid w:val="006A662C"/>
    <w:rsid w:val="006A70D1"/>
    <w:rsid w:val="006F084B"/>
    <w:rsid w:val="006F6C75"/>
    <w:rsid w:val="00702727"/>
    <w:rsid w:val="0071246B"/>
    <w:rsid w:val="00725A42"/>
    <w:rsid w:val="00754982"/>
    <w:rsid w:val="007612BB"/>
    <w:rsid w:val="00784909"/>
    <w:rsid w:val="007A7321"/>
    <w:rsid w:val="007B250C"/>
    <w:rsid w:val="007B2945"/>
    <w:rsid w:val="007B519F"/>
    <w:rsid w:val="007C1EAF"/>
    <w:rsid w:val="007D01E7"/>
    <w:rsid w:val="007D3D18"/>
    <w:rsid w:val="007F7D90"/>
    <w:rsid w:val="00801DA5"/>
    <w:rsid w:val="00805628"/>
    <w:rsid w:val="0081476F"/>
    <w:rsid w:val="0081559D"/>
    <w:rsid w:val="00823337"/>
    <w:rsid w:val="0082630F"/>
    <w:rsid w:val="00826E9C"/>
    <w:rsid w:val="0084214F"/>
    <w:rsid w:val="0084724A"/>
    <w:rsid w:val="008509BD"/>
    <w:rsid w:val="008538C1"/>
    <w:rsid w:val="00854210"/>
    <w:rsid w:val="008648F5"/>
    <w:rsid w:val="00866A53"/>
    <w:rsid w:val="008909A1"/>
    <w:rsid w:val="008C6D32"/>
    <w:rsid w:val="008D3C70"/>
    <w:rsid w:val="008E2916"/>
    <w:rsid w:val="008F7AF8"/>
    <w:rsid w:val="008F7FB3"/>
    <w:rsid w:val="00910055"/>
    <w:rsid w:val="00910D55"/>
    <w:rsid w:val="00945649"/>
    <w:rsid w:val="00950188"/>
    <w:rsid w:val="009713DA"/>
    <w:rsid w:val="00973403"/>
    <w:rsid w:val="00974CAD"/>
    <w:rsid w:val="00975461"/>
    <w:rsid w:val="00982E8D"/>
    <w:rsid w:val="00987729"/>
    <w:rsid w:val="00994AEA"/>
    <w:rsid w:val="009A3157"/>
    <w:rsid w:val="009A3858"/>
    <w:rsid w:val="009B350A"/>
    <w:rsid w:val="009B4C33"/>
    <w:rsid w:val="009B5BDB"/>
    <w:rsid w:val="009B6A40"/>
    <w:rsid w:val="009C23D7"/>
    <w:rsid w:val="009C634B"/>
    <w:rsid w:val="009C70B7"/>
    <w:rsid w:val="009D499B"/>
    <w:rsid w:val="009E3812"/>
    <w:rsid w:val="009E4011"/>
    <w:rsid w:val="00A11BB6"/>
    <w:rsid w:val="00A1561D"/>
    <w:rsid w:val="00A174E0"/>
    <w:rsid w:val="00A22C1C"/>
    <w:rsid w:val="00A22CE8"/>
    <w:rsid w:val="00A26726"/>
    <w:rsid w:val="00A31566"/>
    <w:rsid w:val="00A36E27"/>
    <w:rsid w:val="00A516D0"/>
    <w:rsid w:val="00A819EC"/>
    <w:rsid w:val="00A96E35"/>
    <w:rsid w:val="00AC3872"/>
    <w:rsid w:val="00AD3E10"/>
    <w:rsid w:val="00AD4F60"/>
    <w:rsid w:val="00AD5593"/>
    <w:rsid w:val="00AD6C64"/>
    <w:rsid w:val="00AF1843"/>
    <w:rsid w:val="00AF2781"/>
    <w:rsid w:val="00B207CF"/>
    <w:rsid w:val="00B2432E"/>
    <w:rsid w:val="00B26388"/>
    <w:rsid w:val="00B32687"/>
    <w:rsid w:val="00B42DA9"/>
    <w:rsid w:val="00B50170"/>
    <w:rsid w:val="00B5020E"/>
    <w:rsid w:val="00B54F9D"/>
    <w:rsid w:val="00B711BE"/>
    <w:rsid w:val="00B721A6"/>
    <w:rsid w:val="00B72A18"/>
    <w:rsid w:val="00BA5037"/>
    <w:rsid w:val="00BB13D0"/>
    <w:rsid w:val="00BC76C1"/>
    <w:rsid w:val="00BE3A19"/>
    <w:rsid w:val="00C028B9"/>
    <w:rsid w:val="00C05682"/>
    <w:rsid w:val="00C1398E"/>
    <w:rsid w:val="00C40B53"/>
    <w:rsid w:val="00C5536D"/>
    <w:rsid w:val="00C61415"/>
    <w:rsid w:val="00C67CCE"/>
    <w:rsid w:val="00C7118A"/>
    <w:rsid w:val="00CA460C"/>
    <w:rsid w:val="00CB1B6B"/>
    <w:rsid w:val="00CC1AAA"/>
    <w:rsid w:val="00CE6AB0"/>
    <w:rsid w:val="00CF0507"/>
    <w:rsid w:val="00CF5CDA"/>
    <w:rsid w:val="00D0728A"/>
    <w:rsid w:val="00D260CA"/>
    <w:rsid w:val="00D30032"/>
    <w:rsid w:val="00D376AC"/>
    <w:rsid w:val="00D45D4A"/>
    <w:rsid w:val="00D50042"/>
    <w:rsid w:val="00D5681E"/>
    <w:rsid w:val="00D6090D"/>
    <w:rsid w:val="00D671B3"/>
    <w:rsid w:val="00D77D75"/>
    <w:rsid w:val="00D85672"/>
    <w:rsid w:val="00D936E1"/>
    <w:rsid w:val="00D946FD"/>
    <w:rsid w:val="00D954AA"/>
    <w:rsid w:val="00D9576B"/>
    <w:rsid w:val="00DC0CFB"/>
    <w:rsid w:val="00DC1024"/>
    <w:rsid w:val="00DE743A"/>
    <w:rsid w:val="00E051D8"/>
    <w:rsid w:val="00E23412"/>
    <w:rsid w:val="00E62A28"/>
    <w:rsid w:val="00E80993"/>
    <w:rsid w:val="00E933BE"/>
    <w:rsid w:val="00EA022C"/>
    <w:rsid w:val="00EA551D"/>
    <w:rsid w:val="00EB4AFA"/>
    <w:rsid w:val="00EC052D"/>
    <w:rsid w:val="00EE2435"/>
    <w:rsid w:val="00EF1ACC"/>
    <w:rsid w:val="00EF3FC1"/>
    <w:rsid w:val="00F05E3F"/>
    <w:rsid w:val="00F11153"/>
    <w:rsid w:val="00F1504D"/>
    <w:rsid w:val="00F15E85"/>
    <w:rsid w:val="00F2521D"/>
    <w:rsid w:val="00F5276A"/>
    <w:rsid w:val="00F745F4"/>
    <w:rsid w:val="00F81BE9"/>
    <w:rsid w:val="00F85B99"/>
    <w:rsid w:val="00FB1058"/>
    <w:rsid w:val="00FC68AE"/>
    <w:rsid w:val="00FD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xml version="1.0" encoding="UTF-8" standalone="no"?>
<Relationships xmlns="http://schemas.openxmlformats.org/package/2006/relationships">
<Relationship Id="rId1" Target="itemProps3.xml" Type="http://schemas.openxmlformats.org/officeDocument/2006/relationships/customXmlProps"/>
</Relationships>

</file>

<file path=customXml/item3.xml><?xml version="1.0" encoding="utf-8"?>
<b:Sources xmlns:b="http://schemas.openxmlformats.org/officeDocument/2006/bibliography" xmlns="http://schemas.openxmlformats.org/officeDocument/2006/bibliography" SelectedStyle="\APA.XSL" StyleName="APA"/>
</file>

<file path=customXml/itemProps3.xml><?xml version="1.0" encoding="utf-8"?>
<ds:datastoreItem xmlns:ds="http://schemas.openxmlformats.org/officeDocument/2006/customXml" ds:itemID="{D2E10033-F1DA-45A7-B4A9-F553C03E1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635</Words>
  <Characters>3620</Characters>
  <Application>Microsoft Office Word</Application>
  <DocSecurity>0</DocSecurity>
  <Lines>30</Lines>
  <Paragraphs>8</Paragraphs>
  <ScaleCrop>false</ScaleCrop>
  <Company>shenduxitong</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2020-09-04T09:43:00Z</dcterms:created>
  <dc:creator>Donghm</dc:creator>
  <cp:lastModifiedBy>Administrator</cp:lastModifiedBy>
  <dcterms:modified xsi:type="dcterms:W3CDTF">2020-09-04T09:43:00Z</dcterms:modified>
  <cp:revision>3</cp:revision>
</cp:coreProperties>
</file>