
<file path=[Content_Types].xml><?xml version="1.0" encoding="utf-8"?>
<Types xmlns="http://schemas.openxmlformats.org/package/2006/content-types">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gbicc="http://www.gbicc.net" mc:Ignorable="w14 wp14">
  <w:body>
    <w:p w14:paraId="7A11DA60" w14:textId="77777777" w:rsidR="00E417F3" w:rsidRDefault="00E3416F">
      <w:pPr>
        <w:autoSpaceDE w:val="0"/>
        <w:autoSpaceDN w:val="0"/>
        <w:adjustRightInd w:val="0"/>
        <w:jc w:val="center"/>
        <w:rPr>
          <w:rFonts w:ascii="方正仿宋简体" w:eastAsia="方正仿宋简体" w:hAnsiTheme="minorEastAsia" w:cs="仿宋_GB2312"/>
          <w:kern w:val="0"/>
          <w:sz w:val="36"/>
          <w:szCs w:val="36"/>
        </w:rPr>
      </w:pPr>
      <w:r>
        <w:rPr>
          <w:rFonts w:ascii="方正仿宋简体" w:eastAsia="方正仿宋简体" w:hAnsiTheme="minorEastAsia" w:cs="仿宋_GB2312" w:hint="eastAsia"/>
          <w:kern w:val="0"/>
          <w:sz w:val="36"/>
          <w:szCs w:val="36"/>
        </w:rPr>
        <w:t>博时创业成长混合型证券投资基金（博时创业成长混合C）基金产品资料概要更新</w:t>
      </w:r>
    </w:p>
    <w:p w14:paraId="19F37E01" w14:textId="77777777" w:rsidR="00E417F3" w:rsidRDefault="00E3416F">
      <w:pPr>
        <w:autoSpaceDE w:val="0"/>
        <w:autoSpaceDN w:val="0"/>
        <w:adjustRightInd w:val="0"/>
        <w:jc w:val="right"/>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编制日期：</w:t>
      </w:r>
      <w:r>
        <w:rPr>
          <w:rFonts w:ascii="方正仿宋简体" w:eastAsia="方正仿宋简体" w:hAnsi="方正仿宋简体" w:cs="方正仿宋简体" w:hint="eastAsia"/>
          <w:iCs/>
          <w:sz w:val="24"/>
          <w:szCs w:val="24"/>
        </w:rPr>
        <w:t>2020年10月14日</w:t>
      </w:r>
    </w:p>
    <w:p w14:paraId="2D3599D9" w14:textId="77777777" w:rsidR="00E417F3" w:rsidRDefault="00E3416F">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送出日期：</w:t>
      </w:r>
      <w:r>
        <w:rPr>
          <w:rFonts w:ascii="方正仿宋简体" w:eastAsia="方正仿宋简体" w:hAnsi="方正仿宋简体" w:cs="方正仿宋简体" w:hint="eastAsia"/>
          <w:iCs/>
          <w:sz w:val="24"/>
          <w:szCs w:val="24"/>
        </w:rPr>
        <w:t>2020年10月19日</w:t>
      </w:r>
    </w:p>
    <w:p w14:paraId="7C5BD71F" w14:textId="77777777" w:rsidR="00E417F3" w:rsidRDefault="00E3416F">
      <w:pPr>
        <w:autoSpaceDE w:val="0"/>
        <w:autoSpaceDN w:val="0"/>
        <w:adjustRightInd w:val="0"/>
        <w:spacing w:line="440" w:lineRule="exact"/>
        <w:jc w:val="center"/>
        <w:rPr>
          <w:rFonts w:ascii="方正黑体简体" w:eastAsia="方正黑体简体" w:cs="黑体"/>
          <w:kern w:val="0"/>
          <w:sz w:val="28"/>
          <w:szCs w:val="28"/>
        </w:rPr>
      </w:pPr>
      <w:r>
        <w:rPr>
          <w:rFonts w:ascii="方正黑体简体" w:eastAsia="方正黑体简体" w:cs="黑体" w:hint="eastAsia"/>
          <w:kern w:val="0"/>
          <w:sz w:val="28"/>
          <w:szCs w:val="28"/>
        </w:rPr>
        <w:t>本概要提供本基金的重要信息，是招募说明书的一部分。</w:t>
      </w:r>
    </w:p>
    <w:p w14:paraId="6A58B06D" w14:textId="77777777" w:rsidR="00E417F3" w:rsidRDefault="00E3416F">
      <w:pPr>
        <w:autoSpaceDE w:val="0"/>
        <w:autoSpaceDN w:val="0"/>
        <w:adjustRightInd w:val="0"/>
        <w:spacing w:line="440" w:lineRule="exact"/>
        <w:jc w:val="center"/>
        <w:rPr>
          <w:rFonts w:ascii="方正黑体简体" w:eastAsia="方正黑体简体" w:cs="黑体"/>
          <w:kern w:val="0"/>
          <w:sz w:val="28"/>
          <w:szCs w:val="28"/>
        </w:rPr>
      </w:pPr>
      <w:proofErr w:type="gramStart"/>
      <w:r>
        <w:rPr>
          <w:rFonts w:ascii="方正黑体简体" w:eastAsia="方正黑体简体" w:cs="黑体" w:hint="eastAsia"/>
          <w:kern w:val="0"/>
          <w:sz w:val="28"/>
          <w:szCs w:val="28"/>
        </w:rPr>
        <w:t>作出</w:t>
      </w:r>
      <w:proofErr w:type="gramEnd"/>
      <w:r>
        <w:rPr>
          <w:rFonts w:ascii="方正黑体简体" w:eastAsia="方正黑体简体" w:cs="黑体" w:hint="eastAsia"/>
          <w:kern w:val="0"/>
          <w:sz w:val="28"/>
          <w:szCs w:val="28"/>
        </w:rPr>
        <w:t>投资决定前，请阅读完整的招募说明书等销售文件。</w:t>
      </w:r>
    </w:p>
    <w:p w14:paraId="677542A7" w14:textId="77777777" w:rsidR="00E417F3" w:rsidRDefault="00E3416F">
      <w:pPr gbicc:listString="一、" gbicc:numText="%1、" gbicc:numFmt="C" gbicc:numVal="1"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产品概况</w:t>
      </w:r>
    </w:p>
    <w:tbl init-cell-address="true">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446"/>
        <w:gridCol w:w="3019"/>
        <w:gridCol w:w="2134"/>
        <w:gridCol w:w="3083"/>
      </w:tblGrid>
      <w:tr w:rsidR="00E417F3" w14:paraId="61BF25B8" w14:textId="77777777" w:rsidTr="00584DC5">
        <w:trPr>
          <w:trHeight w:val="454"/>
        </w:trPr>
        <w:tc>
          <w:tcPr>
            <w:tcW w:w="1145" w:type="pct"/>
            <w:vMerge w:val="restart"/>
            <w:vAlign w:val="center"/>
          </w:tcPr>
          <w:p w14:paraId="188AE094" w14:textId="3B1A1B58" w:rsidR="00742697"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基金简称</w:t>
            </w:r>
          </w:p>
          <w:p w14:paraId="7397DE5A" w14:textId="77777777" w:rsidR="00E417F3" w:rsidRPr="00742697" w:rsidRDefault="00E417F3" w:rsidP="00742697">
            <w:pPr>
              <w:rPr>
                <w:rFonts w:ascii="方正仿宋简体" w:eastAsia="方正仿宋简体" w:hAnsiTheme="minorEastAsia" w:cs="方正仿宋简体"/>
              </w:rPr>
            </w:pPr>
          </w:p>
        </w:tc>
        <w:tc>
          <w:tcPr>
            <w:tcW w:w="1413" w:type="pct"/>
            <w:vMerge w:val="restart"/>
            <w:vAlign w:val="center"/>
          </w:tcPr>
          <w:p w14:paraId="22D6546D"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博时创业成长混合</w:t>
            </w:r>
          </w:p>
        </w:tc>
        <w:tc>
          <w:tcPr>
            <w:tcW w:w="999" w:type="pct"/>
            <w:vMerge w:val="restart"/>
            <w:vAlign w:val="center"/>
          </w:tcPr>
          <w:p w14:paraId="13719817"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基金代码</w:t>
            </w:r>
          </w:p>
        </w:tc>
        <w:tc>
          <w:tcPr>
            <w:tcW w:w="1443" w:type="pct"/>
            <w:tcBorders>
              <w:bottom w:val="dashSmallGap" w:sz="4" w:space="0" w:color="A6A6A6" w:themeColor="background1" w:themeShade="A6"/>
            </w:tcBorders>
            <w:vAlign w:val="center"/>
          </w:tcPr>
          <w:p w14:paraId="07E47091"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050014</w:t>
            </w:r>
          </w:p>
        </w:tc>
      </w:tr>
      <w:tr w:rsidR="00E417F3" w14:paraId="1DD0457E" w14:textId="77777777" w:rsidTr="00584DC5">
        <w:trPr>
          <w:trHeight w:val="150"/>
        </w:trPr>
        <w:tc>
          <w:tcPr>
            <w:tcW w:w="1145" w:type="pct"/>
            <w:vMerge w:val="restart"/>
            <w:vAlign w:val="center"/>
          </w:tcPr>
          <w:p w14:paraId="0E92F75E"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下属基金简称</w:t>
            </w:r>
          </w:p>
        </w:tc>
        <w:tc>
          <w:tcPr>
            <w:tcW w:w="1413" w:type="pct"/>
            <w:vMerge w:val="restart"/>
            <w:tcBorders>
              <w:top w:val="nil"/>
            </w:tcBorders>
            <w:vAlign w:val="center"/>
          </w:tcPr>
          <w:p w14:paraId="4AEB5980"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博时创业成长混合C</w:t>
            </w:r>
          </w:p>
        </w:tc>
        <w:tc>
          <w:tcPr>
            <w:tcW w:w="999" w:type="pct"/>
            <w:vMerge w:val="restart"/>
            <w:vAlign w:val="center"/>
          </w:tcPr>
          <w:p w14:paraId="28410220"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下属基金代码</w:t>
            </w:r>
          </w:p>
        </w:tc>
        <w:tc>
          <w:tcPr>
            <w:tcW w:w="1443" w:type="pct"/>
            <w:tcBorders>
              <w:top w:val="nil"/>
              <w:bottom w:val="nil"/>
            </w:tcBorders>
            <w:vAlign w:val="center"/>
          </w:tcPr>
          <w:p w14:paraId="340E25E3"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002553</w:t>
            </w:r>
          </w:p>
        </w:tc>
      </w:tr>
      <w:tr w:rsidR="00E417F3" w14:paraId="5E1EE060" w14:textId="77777777" w:rsidTr="005F360D">
        <w:trPr>
          <w:trHeight w:val="454"/>
        </w:trPr>
        <w:tc>
          <w:tcPr>
            <w:tcW w:w="1145" w:type="pct"/>
            <w:vAlign w:val="center"/>
          </w:tcPr>
          <w:p w14:paraId="2195873B"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基金管理人</w:t>
            </w:r>
          </w:p>
        </w:tc>
        <w:tc>
          <w:tcPr>
            <w:tcW w:w="1413" w:type="pct"/>
            <w:tcBorders>
              <w:top w:val="dashSmallGap" w:sz="4" w:space="0" w:color="A6A6A6" w:themeColor="background1" w:themeShade="A6"/>
            </w:tcBorders>
            <w:vAlign w:val="center"/>
          </w:tcPr>
          <w:p w14:paraId="0071AEF1"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博时基金管理有限公司</w:t>
            </w:r>
          </w:p>
        </w:tc>
        <w:tc>
          <w:tcPr>
            <w:tcW w:w="999" w:type="pct"/>
            <w:vAlign w:val="center"/>
          </w:tcPr>
          <w:p w14:paraId="2450F220"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基金托管人</w:t>
            </w:r>
          </w:p>
        </w:tc>
        <w:tc>
          <w:tcPr>
            <w:tcW w:w="1443" w:type="pct"/>
            <w:tcBorders>
              <w:top w:val="dashSmallGap" w:sz="4" w:space="0" w:color="A6A6A6" w:themeColor="background1" w:themeShade="A6"/>
            </w:tcBorders>
            <w:vAlign w:val="center"/>
          </w:tcPr>
          <w:p w14:paraId="50656D4C"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中国农业银行股份有限公司</w:t>
            </w:r>
            <w:r>
              <w:rPr>
                <w:rFonts w:ascii="方正仿宋简体" w:eastAsia="方正仿宋简体" w:hAnsiTheme="minorEastAsia" w:cs="方正仿宋简体" w:hint="eastAsia"/>
                <w:iCs/>
              </w:rPr>
              <w:t xml:space="preserve"> </w:t>
            </w:r>
          </w:p>
        </w:tc>
      </w:tr>
      <w:tr w:rsidR="00E417F3" w14:paraId="5B675D39" w14:textId="77777777" w:rsidTr="005F360D">
        <w:trPr>
          <w:trHeight w:val="454"/>
        </w:trPr>
        <w:tc>
          <w:tcPr>
            <w:tcW w:w="1145" w:type="pct"/>
            <w:vMerge w:val="restart"/>
            <w:vAlign w:val="center"/>
          </w:tcPr>
          <w:p w14:paraId="55E8C480"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基金合同生效日</w:t>
            </w:r>
          </w:p>
        </w:tc>
        <w:tc>
          <w:tcPr>
            <w:tcW w:w="1413" w:type="pct"/>
            <w:vMerge w:val="restart"/>
            <w:vAlign w:val="center"/>
          </w:tcPr>
          <w:p w14:paraId="5DC734EB"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2010-06-01</w:t>
            </w:r>
          </w:p>
        </w:tc>
        <w:tc>
          <w:tcPr>
            <w:tcW w:w="999" w:type="pct"/>
            <w:vMerge w:val="restart"/>
            <w:vAlign w:val="center"/>
          </w:tcPr>
          <w:p w14:paraId="3E461415"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
            </w:r>
          </w:p>
        </w:tc>
        <w:tc>
          <w:tcPr>
            <w:tcW w:w="1443" w:type="pct"/>
            <w:tcBorders>
              <w:top w:val="dashSmallGap" w:sz="4" w:space="0" w:color="A6A6A6" w:themeColor="background1" w:themeShade="A6"/>
              <w:bottom w:val="nil"/>
            </w:tcBorders>
            <w:vAlign w:val="center"/>
          </w:tcPr>
          <w:p w14:paraId="217D3502" w14:textId="77777777" w:rsidR="00E417F3" w:rsidRDefault="00E3416F">
            <w:pPr>
              <w:spacing w:line="320" w:lineRule="exact"/>
              <w:rPr>
                <w:rFonts w:ascii="方正仿宋简体" w:eastAsia="方正仿宋简体" w:hAnsiTheme="minorEastAsia" w:cs="方正仿宋简体"/>
                <w:iCs/>
              </w:rPr>
            </w:pPr>
            <w:r>
              <w:rPr>
                <w:rFonts w:hint="eastAsia"/>
                <w:color w:val="333399"/>
              </w:rPr>
              <w:t/>
            </w:r>
            <w:r>
              <w:rPr>
                <w:rFonts w:ascii="方正仿宋简体" w:eastAsia="方正仿宋简体" w:hAnsiTheme="minorEastAsia" w:cs="方正仿宋简体" w:hint="eastAsia"/>
                <w:iCs/>
              </w:rPr>
              <w:t xml:space="preserve"> </w:t>
            </w:r>
            <w:r>
              <w:rPr>
                <w:rFonts w:hint="eastAsia"/>
                <w:color w:val="333399"/>
              </w:rPr>
              <w:t/>
            </w:r>
          </w:p>
        </w:tc>
      </w:tr>
      <w:tr w:rsidR="00E417F3" w14:paraId="4814185E" w14:textId="77777777" w:rsidTr="005F360D">
        <w:trPr>
          <w:trHeight w:val="454"/>
        </w:trPr>
        <w:tc>
          <w:tcPr>
            <w:tcW w:w="1145" w:type="pct"/>
            <w:vAlign w:val="center"/>
          </w:tcPr>
          <w:p w14:paraId="600F543E"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基金类型</w:t>
            </w:r>
          </w:p>
        </w:tc>
        <w:tc>
          <w:tcPr>
            <w:tcW w:w="1413" w:type="pct"/>
            <w:vAlign w:val="center"/>
          </w:tcPr>
          <w:p w14:paraId="471FAC69"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混合型</w:t>
            </w:r>
          </w:p>
        </w:tc>
        <w:tc>
          <w:tcPr>
            <w:tcW w:w="999" w:type="pct"/>
            <w:vAlign w:val="center"/>
          </w:tcPr>
          <w:p w14:paraId="2526027A"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交易币种</w:t>
            </w:r>
          </w:p>
        </w:tc>
        <w:tc>
          <w:tcPr>
            <w:tcW w:w="1443" w:type="pct"/>
            <w:tcBorders>
              <w:top w:val="dashSmallGap" w:sz="4" w:space="0" w:color="A6A6A6" w:themeColor="background1" w:themeShade="A6"/>
            </w:tcBorders>
            <w:vAlign w:val="center"/>
          </w:tcPr>
          <w:p w14:paraId="3E39BCFD"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人民币</w:t>
            </w:r>
            <w:r>
              <w:rPr>
                <w:rFonts w:hint="eastAsia"/>
                <w:color w:val="333399"/>
              </w:rPr>
              <w:t/>
            </w:r>
            <w:r>
              <w:rPr>
                <w:rFonts w:hint="eastAsia"/>
                <w:color w:val="333399"/>
              </w:rPr>
              <w:t/>
            </w:r>
            <w:r>
              <w:rPr>
                <w:rFonts w:hint="eastAsia"/>
                <w:color w:val="333399"/>
              </w:rPr>
              <w:t/>
            </w:r>
            <w:r>
              <w:rPr>
                <w:rFonts w:hint="eastAsia"/>
                <w:color w:val="333399"/>
              </w:rPr>
              <w:t/>
            </w:r>
          </w:p>
        </w:tc>
      </w:tr>
      <w:tr w:rsidR="00E417F3" w14:paraId="4DEF97FF" w14:textId="77777777" w:rsidTr="005F360D">
        <w:trPr>
          <w:trHeight w:val="454"/>
        </w:trPr>
        <w:tc>
          <w:tcPr>
            <w:tcW w:w="1145" w:type="pct"/>
            <w:vAlign w:val="center"/>
          </w:tcPr>
          <w:p w14:paraId="45F79B8D"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运作方式</w:t>
            </w:r>
          </w:p>
        </w:tc>
        <w:tc>
          <w:tcPr>
            <w:tcW w:w="1413" w:type="pct"/>
            <w:vAlign w:val="center"/>
          </w:tcPr>
          <w:p w14:paraId="47173C0D"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普通开放式</w:t>
            </w:r>
          </w:p>
        </w:tc>
        <w:tc>
          <w:tcPr>
            <w:tcW w:w="999" w:type="pct"/>
            <w:vAlign w:val="center"/>
          </w:tcPr>
          <w:p w14:paraId="616791AB"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开放频率</w:t>
            </w:r>
          </w:p>
        </w:tc>
        <w:tc>
          <w:tcPr>
            <w:tcW w:w="1443" w:type="pct"/>
            <w:vAlign w:val="center"/>
          </w:tcPr>
          <w:p w14:paraId="5D4C29E1"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每个开放日开放申购、赎回</w:t>
            </w:r>
          </w:p>
        </w:tc>
      </w:tr>
      <w:tr w:rsidR="00E417F3" w14:paraId="1C286630" w14:textId="77777777" w:rsidTr="005F360D">
        <w:trPr>
          <w:trHeight w:val="454"/>
        </w:trPr>
        <w:tc>
          <w:tcPr>
            <w:tcW w:w="1145" w:type="pct"/>
            <w:vMerge w:val="restart"/>
            <w:vAlign w:val="center"/>
          </w:tcPr>
          <w:p w14:paraId="7BA6E3C1"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14:paraId="4C7C6650"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韩茂华</w:t>
            </w:r>
          </w:p>
        </w:tc>
        <w:tc>
          <w:tcPr>
            <w:tcW w:w="999" w:type="pct"/>
            <w:vAlign w:val="center"/>
          </w:tcPr>
          <w:p w14:paraId="5B6DE700"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14:paraId="2243BFF9"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2013-08-26</w:t>
            </w:r>
          </w:p>
        </w:tc>
      </w:tr>
      <w:tr w:rsidR="00E417F3" w14:paraId="6BD3E6F1" w14:textId="77777777" w:rsidTr="005F360D">
        <w:trPr>
          <w:trHeight w:val="454"/>
        </w:trPr>
        <w:tc>
          <w:tcPr>
            <w:tcW w:w="1145" w:type="pct"/>
            <w:vMerge/>
            <w:vAlign w:val="center"/>
          </w:tcPr>
          <w:p w14:paraId="54E4F1CA" w14:textId="77777777" w:rsidR="00E417F3" w:rsidRDefault="00E417F3">
            <w:pPr>
              <w:spacing w:line="320" w:lineRule="exact"/>
              <w:rPr>
                <w:rFonts w:ascii="方正仿宋简体" w:eastAsia="方正仿宋简体" w:hAnsiTheme="minorEastAsia" w:cs="方正仿宋简体"/>
                <w:b/>
                <w:iCs/>
              </w:rPr>
            </w:pPr>
          </w:p>
        </w:tc>
        <w:tc>
          <w:tcPr>
            <w:tcW w:w="1413" w:type="pct"/>
            <w:vMerge/>
            <w:vAlign w:val="center"/>
          </w:tcPr>
          <w:p w14:paraId="6E1CAE9E" w14:textId="77777777" w:rsidR="00E417F3" w:rsidRDefault="00E417F3">
            <w:pPr>
              <w:spacing w:line="320" w:lineRule="exact"/>
              <w:rPr>
                <w:rFonts w:ascii="方正仿宋简体" w:eastAsia="方正仿宋简体" w:hAnsiTheme="minorEastAsia" w:cs="方正仿宋简体"/>
                <w:b/>
                <w:iCs/>
              </w:rPr>
            </w:pPr>
          </w:p>
        </w:tc>
        <w:tc>
          <w:tcPr>
            <w:tcW w:w="999" w:type="pct"/>
            <w:vAlign w:val="center"/>
          </w:tcPr>
          <w:p w14:paraId="5D63D43D"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14:paraId="59D21747"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2006-07-14</w:t>
            </w:r>
          </w:p>
        </w:tc>
      </w:tr>
    </w:tbl>
    <w:p w14:paraId="2B46B651" w14:textId="77777777" w:rsidR="00E417F3" w:rsidRDefault="00E417F3">
      <w:pPr>
        <w:spacing w:line="280" w:lineRule="exact"/>
        <w:rPr>
          <w:rFonts w:ascii="方正仿宋简体" w:eastAsia="方正仿宋简体" w:hAnsiTheme="minorEastAsia" w:cs="仿宋_GB2312"/>
          <w:b/>
          <w:kern w:val="0"/>
          <w:szCs w:val="24"/>
        </w:rPr>
      </w:pPr>
    </w:p>
    <w:p w14:paraId="52CD04EF" w14:textId="77777777" w:rsidR="00E417F3" w:rsidRDefault="00E3416F" gbicc:emptyAbove="1">
      <w:pPr gbicc:listString="二、" gbicc:numText="%1、" gbicc:numFmt="C" gbicc:numVal="2"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lastRenderedPageBreak/>
        <w:t>基金投资与净值表现</w:t>
      </w:r>
    </w:p>
    <w:p w14:paraId="1E4337EB" w14:textId="77777777" w:rsidR="00E417F3" w:rsidRDefault="00E3416F">
      <w:pPr gbicc:listString="(一)" gbicc:numText="(%1)" gbicc:numFmt="C" gbicc:numVal="1" gbicc:numId="15">
        <w:pStyle w:val="a8"/>
        <w:numPr>
          <w:ilvl w:val="0"/>
          <w:numId w:val="15"/>
        </w:numPr>
        <w:spacing w:line="320" w:lineRule="exact"/>
        <w:ind w:firstLineChars="0"/>
        <w:outlineLvl w:val="1"/>
        <w:rPr>
          <w:rFonts w:ascii="方正仿宋简体" w:eastAsia="方正仿宋简体" w:hAnsiTheme="minorEastAsia" w:cs="方正仿宋简体"/>
          <w:b/>
          <w:iCs/>
          <w:sz w:val="24"/>
          <w:szCs w:val="24"/>
        </w:rPr>
      </w:pPr>
      <w:r>
        <w:rPr>
          <w:rFonts w:ascii="方正仿宋简体" w:eastAsia="方正仿宋简体" w:hAnsi="方正仿宋简体" w:cs="方正仿宋简体" w:hint="eastAsia"/>
          <w:b/>
          <w:iCs/>
          <w:sz w:val="24"/>
          <w:szCs w:val="24"/>
        </w:rPr>
        <w:t>投资目标与投资策略</w:t>
      </w:r>
    </w:p>
    <w:p w14:paraId="13C4E5DA" w14:textId="77777777" w:rsidR="00E417F3" w:rsidRDefault="00E3416F">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敬请投资者阅读更新的《招募说明书》第八章了解详细情况。</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623"/>
        <w:gridCol w:w="8059"/>
      </w:tblGrid>
      <w:tr w:rsidR="00E417F3" w14:paraId="2A7240D7" w14:textId="77777777" w:rsidTr="0074096A">
        <w:trPr>
          <w:trHeight w:val="454"/>
        </w:trPr>
        <w:tc>
          <w:tcPr>
            <w:tcW w:w="1228" w:type="pct"/>
            <w:vAlign w:val="center"/>
          </w:tcPr>
          <w:p w14:paraId="03B28782" w14:textId="77777777" w:rsidR="00E417F3" w:rsidRDefault="00E3416F">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投资目标</w:t>
            </w:r>
          </w:p>
        </w:tc>
        <w:tc>
          <w:tcPr>
            <w:tcW w:w="3772" w:type="pct"/>
            <w:vAlign w:val="center"/>
          </w:tcPr>
          <w:p w14:paraId="73053940"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本基金通过深入研究创业成长型公司，挖掘该类型公司的投资机会，力争为基金持有人创造出超越业绩比较基准的投资回报。</w:t>
            </w:r>
          </w:p>
        </w:tc>
      </w:tr>
      <w:tr w:rsidR="00E417F3" w14:paraId="6A8ACA96" w14:textId="77777777" w:rsidTr="0074096A">
        <w:trPr>
          <w:trHeight w:val="454"/>
        </w:trPr>
        <w:tc>
          <w:tcPr>
            <w:tcW w:w="1228" w:type="pct"/>
            <w:vAlign w:val="center"/>
          </w:tcPr>
          <w:p w14:paraId="7C2E43DB" w14:textId="77777777" w:rsidR="00E417F3" w:rsidRDefault="00E3416F">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投资范围</w:t>
            </w:r>
          </w:p>
        </w:tc>
        <w:tc>
          <w:tcPr>
            <w:tcW w:w="3772" w:type="pct"/>
            <w:vAlign w:val="center"/>
          </w:tcPr>
          <w:p w14:paraId="15EE1AE7"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股票（含存托凭证）投资比例为基金资产的60%-95%，其中对创业成长型公司的投资比例不低于股票投资部分的80%，权证投资比例不超过基金资产净值的3%。债券投资比例为基金资产的0%-35%，现金或者到期日在一年以内的政府债券投资比例合计不低于基金资产净值的5%，其中，现金不包括结算备付金、存出保证金、应收申购款等。</w:t>
            </w:r>
          </w:p>
          <w:p w14:paraId="15EE1AE7"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本基金所指的创业成长型公司是：从企业生命周期的角度看，处于成长阶段的启动期和高速成长期；从股票市场的结构看，主要集中在中小板、创业板和A股主板中小型成长公司。</w:t>
            </w:r>
          </w:p>
          <w:p w14:paraId="15EE1AE7"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的投资范围还包括其他具有良好流动性的金融工具，即国内依法发行的股票（含存托凭证）和债券，新股/债券的申购或增发，法律、法规或国家证券监管机构允许基金投资的其他金融工具。债券包括国债、金融债、企业（公司）债、次级债、可转换债券（包括分离交易可转债）、资产支持证券、央行票据、短期融资券、回购、银行存款等固定收益证券品种。</w:t>
            </w:r>
          </w:p>
          <w:p w14:paraId="15EE1AE7"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因基金规模或市场变化等因素导致本基金投资组合不符合上述规定的，基金管理人将在合理期限内做出调整以符合上述规定。法律、法规另有规定的，从其规定。</w:t>
            </w:r>
          </w:p>
        </w:tc>
      </w:tr>
      <w:tr w:rsidR="00E417F3" w14:paraId="5867080A" w14:textId="77777777" w:rsidTr="0074096A">
        <w:trPr>
          <w:trHeight w:val="454"/>
        </w:trPr>
        <w:tc>
          <w:tcPr>
            <w:tcW w:w="1228" w:type="pct"/>
            <w:vAlign w:val="center"/>
          </w:tcPr>
          <w:p w14:paraId="698ABEF2" w14:textId="77777777" w:rsidR="00E417F3" w:rsidRDefault="00E3416F">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主要投资策略</w:t>
            </w:r>
          </w:p>
        </w:tc>
        <w:tc>
          <w:tcPr>
            <w:tcW w:w="3772" w:type="pct"/>
            <w:vAlign w:val="center"/>
          </w:tcPr>
          <w:p w14:paraId="0ACC3DAF"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主要投资于创业成长型公司，投资策略主要体现在：在股票投资的宏观层面，本基金投资策略更强调自上而下选择潜力行业，特别关注于应用创新，而非科技发明的公司；在微观层面，本基金投资策略本质上更重视自下而上选择高成长公司，从多角度判断公司价值；同时，加强公司实地调研，尽可能低地降低投资风险。主要包括：1、资产配置策略，本基金根据主要的经济信号指标对宏观经济形势进行分析，判断经济所处的经济周期阶段、景气循环状况和未来运行趋势；2、股票投资策略，本基金通过深入研究中小板、创业板以及主板的中小型成长公司，挖掘该类型企业的投资价值，分享创业成长型公司带来的较高回报；3、股票投资决策流程；4、组合管理策略；5、债券投资策略，本基金的债券组合将通过信用、久期和凸性等的灵活配置，进行积极主动的操作，力争获取超越于所对应的债券基准的收益；6、权证投资策略；7、组合构建与调整，根据各类资产投资策略，在各资产类投资品种确定的前提下，构建基金组合。</w:t>
            </w:r>
          </w:p>
        </w:tc>
      </w:tr>
      <w:tr w:rsidR="00E417F3" w14:paraId="79633BEF" w14:textId="77777777" w:rsidTr="0074096A">
        <w:trPr>
          <w:trHeight w:val="454"/>
        </w:trPr>
        <w:tc>
          <w:tcPr>
            <w:tcW w:w="1228" w:type="pct"/>
            <w:vAlign w:val="center"/>
          </w:tcPr>
          <w:p w14:paraId="03AC3A95" w14:textId="77777777" w:rsidR="00E417F3" w:rsidRDefault="00E3416F">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业绩比较基准</w:t>
            </w:r>
          </w:p>
        </w:tc>
        <w:tc>
          <w:tcPr>
            <w:tcW w:w="3772" w:type="pct"/>
            <w:vAlign w:val="center"/>
          </w:tcPr>
          <w:p w14:paraId="01501C88"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中证700指数收益率×75%＋中国债券总指数收益率×25%</w:t>
            </w:r>
          </w:p>
        </w:tc>
      </w:tr>
      <w:tr w:rsidR="00E417F3" w14:paraId="7A220ECA" w14:textId="77777777" w:rsidTr="0074096A">
        <w:trPr>
          <w:trHeight w:val="454"/>
        </w:trPr>
        <w:tc>
          <w:tcPr>
            <w:tcW w:w="1228" w:type="pct"/>
            <w:vAlign w:val="center"/>
          </w:tcPr>
          <w:p w14:paraId="6EFF384F" w14:textId="77777777" w:rsidR="00E417F3" w:rsidRDefault="00E3416F">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风险收益特征</w:t>
            </w:r>
          </w:p>
        </w:tc>
        <w:tc>
          <w:tcPr>
            <w:tcW w:w="3772" w:type="pct"/>
            <w:vAlign w:val="center"/>
          </w:tcPr>
          <w:p w14:paraId="50201713"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本基金为混合型基金，预期风险和预期收益高于货币市场基金、债券型基金，低于股票型基金，属于证券投资基金中的中高风险/收益品种。</w:t>
            </w:r>
          </w:p>
        </w:tc>
      </w:tr>
    </w:tbl>
    <w:p w14:paraId="5D526785" w14:textId="77777777" w:rsidR="00E417F3" w:rsidRDefault="00E3416F">
      <w:pPr>
        <w:spacing w:line="320" w:lineRule="exact"/>
        <w:rPr>
          <w:rFonts w:ascii="方正仿宋简体" w:eastAsia="方正仿宋简体" w:hAnsiTheme="minorEastAsia" w:cs="仿宋_GB2312"/>
          <w:kern w:val="0"/>
          <w:szCs w:val="24"/>
        </w:rPr>
      </w:pPr>
    </w:p>
    <w:bookmarkStart w:id="0" w:name="_GoBack" w:displacedByCustomXml="next"/>
    <w:bookmarkEnd w:id="0" w:displacedByCustomXml="next"/>
    <w:p w14:paraId="3D5A5326" w14:textId="77777777" w:rsidR="00E417F3" w:rsidRDefault="00E3416F" gbicc:emptyAbove="1">
      <w:pPr gbicc:listString="(二)" gbicc:numText="(%1)" gbicc:numFmt="C" gbicc:numVal="2"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r>
        <w:rPr>
          <w:rFonts w:ascii="方正仿宋简体" w:eastAsia="方正仿宋简体" w:hAnsi="方正仿宋简体" w:cs="方正仿宋简体" w:hint="eastAsia"/>
          <w:b/>
          <w:iCs/>
          <w:sz w:val="24"/>
          <w:szCs w:val="24"/>
        </w:rPr>
        <w:t>/</w:t>
      </w:r>
      <w:r>
        <w:rPr>
          <w:rFonts w:ascii="方正仿宋简体" w:eastAsia="方正仿宋简体" w:hAnsi="方正仿宋简体" w:cs="方正仿宋简体" w:hint="eastAsia"/>
          <w:b/>
          <w:iCs/>
          <w:sz w:val="24"/>
          <w:szCs w:val="24"/>
        </w:rPr>
        <w:t>区域配置图表</w:t>
      </w:r>
    </w:p>
    <w:p w14:paraId="4D34BFFB" w14:textId="77777777" w:rsidR="00E417F3" w:rsidRDefault="00E3416F">
      <w:pPr>
        <w:spacing w:line="320" w:lineRule="exact"/>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p>
    <w:p w14:paraId="7BB5DE97" w14:textId="77777777" w:rsidR="00E417F3" w:rsidRDefault="00E3416F">
      <w:pPr>
        <w:jc w:val="center"/>
        <w:rPr>
          <w:rFonts w:ascii="方正仿宋简体" w:eastAsia="方正仿宋简体" w:hAnsi="方正仿宋简体" w:cs="方正仿宋简体"/>
          <w:b/>
          <w:iCs/>
          <w:sz w:val="24"/>
          <w:szCs w:val="24"/>
        </w:rPr>
      </w:pPr>
      <w:r>
        <w:rPr>
          <w:rFonts w:ascii="方正仿宋简体" w:eastAsia="方正仿宋简体" w:hAnsi="方正仿宋简体" w:cs="方正仿宋简体"/>
          <w:b/>
          <w:iCs/>
          <w:sz w:val="24"/>
          <w:szCs w:val="24"/>
        </w:rPr>
        <w:drawing>
          <wp:inline distT="0" distB="0" distL="0" distR="0" wp14:anchorId="0238E124" wp14:editId="5B21D39B">
            <wp:extent cx="3960000" cy="2310380"/>
            <wp:effectExtent l="0" t="0" r="2540" b="254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CN_50050000_050014_FA010080_20200003_1jpg">
                      <a:extLst>
                        <a:ext uri="{28A0092B-C50C-407E-A947-70E740481C1C}">
                          <a14:useLocalDpi xmlns:a14="http://schemas.microsoft.com/office/drawing/2010/main" val="0"/>
                        </a:ext>
                      </a:extLst>
                    </a:blip>
                    <a:srcRect/>
                    <a:stretch>
                      <a:fillRect/>
                    </a:stretch>
                  </pic:blipFill>
                  <pic:spPr bwMode="auto">
                    <a:xfrm>
                      <a:off x="0" y="0"/>
                      <a:ext cx="3960000" cy="2310380"/>
                    </a:xfrm>
                    <a:prstGeom prst="rect">
                      <a:avLst/>
                    </a:prstGeom>
                    <a:noFill/>
                    <a:ln>
                      <a:noFill/>
                    </a:ln>
                  </pic:spPr>
                </pic:pic>
              </a:graphicData>
            </a:graphic>
          </wp:inline>
        </w:drawing>
      </w:r>
    </w:p>
    <w:p w14:paraId="7AAB7404" w14:textId="77777777" w:rsidR="00E417F3" w:rsidRDefault="00E3416F">
      <w:pPr gbicc:listString="(五)" gbicc:numText="(%1)" gbicc:numFmt="C" gbicc:numVal="5"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最近十年基金每年的净值增长率及与同期业绩比较基准的比较图</w:t>
      </w:r>
    </w:p>
    <!--PH-->
    <w:p w14:paraId="2A67F7DF" w14:textId="77777777" w:rsidR="00E417F3" w:rsidRDefault="00E3416F">
      <w:pPr>
        <w:jc w:val="center"/>
        <w:rPr>
          <w:rFonts w:ascii="方正仿宋简体" w:eastAsia="方正仿宋简体" w:hAnsiTheme="minorEastAsia"/>
        </w:rPr>
      </w:pPr>
      <w:r>
        <w:rPr>
          <w:rFonts w:ascii="方正仿宋简体" w:eastAsia="方正仿宋简体" w:hAnsiTheme="minorEastAsia" w:hint="eastAsia"/>
        </w:rPr>
        <w:drawing>
          <wp:inline distT="0" distB="0" distL="0" distR="0" wp14:anchorId="26D05FF2" wp14:editId="22FD8FF9">
            <wp:extent cx="3960000" cy="2315709"/>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CN_50050000_050014_FA010080_20200003_4jpg">
                      <a:extLst>
                        <a:ext uri="{28A0092B-C50C-407E-A947-70E740481C1C}">
                          <a14:useLocalDpi xmlns:a14="http://schemas.microsoft.com/office/drawing/2010/main" val="0"/>
                        </a:ext>
                      </a:extLst>
                    </a:blip>
                    <a:srcRect/>
                    <a:stretch>
                      <a:fillRect/>
                    </a:stretch>
                  </pic:blipFill>
                  <pic:spPr bwMode="auto">
                    <a:xfrm>
                      <a:off x="0" y="0"/>
                      <a:ext cx="3960000" cy="2315709"/>
                    </a:xfrm>
                    <a:prstGeom prst="rect">
                      <a:avLst/>
                    </a:prstGeom>
                    <a:noFill/>
                    <a:ln>
                      <a:noFill/>
                    </a:ln>
                  </pic:spPr>
                </pic:pic>
              </a:graphicData>
            </a:graphic>
          </wp:inline>
        </w:drawing>
      </w:r>
    </w:p>
    <w:p w14:paraId="2D75125D" w14:textId="77777777" w:rsidR="00E417F3" w:rsidRDefault="00E3416F" gbicc:emptyAbove="2">
      <w:pPr>
        <w:autoSpaceDE w:val="0"/>
        <w:autoSpaceDN w:val="0"/>
        <w:adjustRightInd w:val="0"/>
        <w:spacing w:line="280" w:lineRule="exact"/>
        <w:jc w:val="left"/>
        <w:rPr>
          <w:rFonts w:ascii="方正仿宋简体" w:eastAsia="方正仿宋简体" w:hAnsiTheme="minorEastAsia"/>
          <w:color w:val="000000" w:themeColor="text1"/>
        </w:rPr>
      </w:pPr>
      <w:r>
        <w:rPr>
          <w:rFonts w:ascii="方正仿宋简体" w:eastAsia="方正仿宋简体" w:hAnsiTheme="minorEastAsia" w:hint="eastAsia"/>
          <w:color w:val="000000" w:themeColor="text1"/>
        </w:rPr>
        <w:t>注：基金的过往业绩不代表未来表现。本基金的C类份额于2016年03月22日生效，生效当年按实际存续期计算，不按整个自然年度进行折算。</w:t>
      </w:r>
    </w:p>
    <w:p w14:paraId="28B62B38" w14:textId="77777777" w:rsidR="00E417F3" w:rsidRDefault="00E417F3">
      <w:pPr>
        <w:spacing w:line="280" w:lineRule="exact"/>
        <w:ind w:firstLine="420"/>
        <w:rPr>
          <w:rFonts w:ascii="方正仿宋简体" w:eastAsia="方正仿宋简体" w:hAnsi="方正仿宋简体" w:cs="方正仿宋简体"/>
          <w:iCs/>
        </w:rPr>
      </w:pPr>
    </w:p>
    <w:p w14:paraId="6FA4D6A9" w14:textId="77777777" w:rsidR="00E417F3" w:rsidRDefault="00E3416F" gbicc:emptyAbove="1">
      <w:pPr gbicc:listString="三、" gbicc:numText="%1、" gbicc:numFmt="C" gbicc:numVal="3"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投资本基金涉及的费用</w:t>
      </w:r>
    </w:p>
    <w:p w14:paraId="21CC1100" w14:textId="77777777" w:rsidR="00E417F3" w:rsidRDefault="00E3416F">
      <w:pPr gbicc:listString="（一）" gbicc:numText="（%1）" gbicc:numFmt="J" gbicc:numVal="1" gbicc:numId="25">
        <w:pStyle w:val="a8"/>
        <w:numPr>
          <w:ilvl w:val="0"/>
          <w:numId w:val="2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基金销售相关费用</w:t>
      </w:r>
    </w:p>
    <w:p w14:paraId="111E3733" w14:textId="77777777" w:rsidR="00E417F3" w:rsidRDefault="00E3416F">
      <w:pPr>
        <w:autoSpaceDE w:val="0"/>
        <w:autoSpaceDN w:val="0"/>
        <w:adjustRightInd w:val="0"/>
        <w:spacing w:line="320" w:lineRule="exact"/>
        <w:jc w:val="left"/>
        <w:rPr>
          <w:rFonts w:ascii="方正仿宋简体" w:eastAsia="方正仿宋简体"/>
        </w:rPr>
      </w:pPr>
      <w:r>
        <w:rPr>
          <w:rFonts w:ascii="方正仿宋简体" w:eastAsia="方正仿宋简体" w:hAnsi="方正仿宋简体" w:cs="方正仿宋简体" w:hint="eastAsia"/>
          <w:iCs/>
        </w:rPr>
        <w:t>以下费用在认购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申购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赎回基金过程中收取：</w:t>
      </w:r>
    </w:p>
    <!--PH-->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978"/>
        <w:gridCol w:w="4089"/>
        <w:gridCol w:w="2485"/>
        <w:gridCol w:w="1130"/>
      </w:tblGrid>
      <w:tr w:rsidR="00E417F3" w14:paraId="608DDCB0" w14:textId="77777777" w:rsidTr="00584DC5">
        <w:trPr>
          <w:trHeight w:val="454"/>
        </w:trPr>
        <w:tc>
          <w:tcPr>
            <w:tcW w:w="1394" w:type="pct"/>
            <w:vAlign w:val="center"/>
          </w:tcPr>
          <w:p w14:paraId="3D3451CA"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费用类型</w:t>
            </w:r>
          </w:p>
        </w:tc>
        <w:tc>
          <w:tcPr>
            <w:tcW w:w="1914" w:type="pct"/>
            <w:vAlign w:val="center"/>
          </w:tcPr>
          <w:p w14:paraId="1B327B84"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份额（</w:t>
            </w:r>
            <w:r>
              <w:rPr>
                <w:rFonts w:ascii="方正仿宋简体" w:eastAsia="方正仿宋简体" w:hAnsi="方正仿宋简体" w:cs="方正仿宋简体" w:hint="eastAsia"/>
                <w:b/>
                <w:bCs/>
                <w:iCs/>
              </w:rPr>
              <w:t>S</w:t>
            </w:r>
            <w:r>
              <w:rPr>
                <w:rFonts w:ascii="方正仿宋简体" w:eastAsia="方正仿宋简体" w:hAnsi="方正仿宋简体" w:cs="方正仿宋简体" w:hint="eastAsia"/>
                <w:b/>
                <w:bCs/>
                <w:iCs/>
              </w:rPr>
              <w:t>）或金额（</w:t>
            </w:r>
            <w:r>
              <w:rPr>
                <w:rFonts w:ascii="方正仿宋简体" w:eastAsia="方正仿宋简体" w:hAnsi="方正仿宋简体" w:cs="方正仿宋简体" w:hint="eastAsia"/>
                <w:b/>
                <w:bCs/>
                <w:iCs/>
              </w:rPr>
              <w:t>M</w:t>
            </w:r>
            <w:r>
              <w:rPr>
                <w:rFonts w:ascii="方正仿宋简体" w:eastAsia="方正仿宋简体" w:hAnsi="方正仿宋简体" w:cs="方正仿宋简体" w:hint="eastAsia"/>
                <w:b/>
                <w:bCs/>
                <w:iCs/>
              </w:rPr>
              <w:t>）</w:t>
            </w:r>
          </w:p>
          <w:p w14:paraId="7AB93537"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持有期限（</w:t>
            </w:r>
            <w:r>
              <w:rPr>
                <w:rFonts w:ascii="方正仿宋简体" w:eastAsia="方正仿宋简体" w:hAnsi="方正仿宋简体" w:cs="方正仿宋简体" w:hint="eastAsia"/>
                <w:b/>
                <w:bCs/>
                <w:iCs/>
              </w:rPr>
              <w:t>N</w:t>
            </w:r>
            <w:r>
              <w:rPr>
                <w:rFonts w:ascii="方正仿宋简体" w:eastAsia="方正仿宋简体" w:hAnsi="方正仿宋简体" w:cs="方正仿宋简体" w:hint="eastAsia"/>
                <w:b/>
                <w:bCs/>
                <w:iCs/>
              </w:rPr>
              <w:t>）</w:t>
            </w:r>
          </w:p>
        </w:tc>
        <w:tc>
          <w:tcPr>
            <w:tcW w:w="1163" w:type="pct"/>
            <w:vAlign w:val="center"/>
          </w:tcPr>
          <w:p w14:paraId="2E3B7D03"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费率</w:t>
            </w:r>
          </w:p>
        </w:tc>
        <w:tc>
          <w:tcPr>
            <w:tcW w:w="529" w:type="pct"/>
            <w:vAlign w:val="center"/>
          </w:tcPr>
          <w:p w14:paraId="3B37A3A6"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备注</w:t>
            </w:r>
          </w:p>
        </w:tc>
      </w:tr>
      <w:tr w:rsidR="00E417F3" w14:paraId="6179C037" w14:textId="77777777" w:rsidTr="00584DC5">
        <w:trPr>
          <w:trHeight w:val="454"/>
        </w:trPr>
        <w:tc>
          <w:tcPr>
            <w:tcW w:w="1394" w:type="pct"/>
            <w:vAlign w:val="center"/>
            <w:vMerge w:val="restart"/>
          </w:tcPr>
          <w:p w14:paraId="16F5E087"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4" w:type="pct"/>
            <w:vAlign w:val="center"/>
          </w:tcPr>
          <w:p w14:paraId="71B35602"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7天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w:r>
          </w:p>
        </w:tc>
        <w:tc>
          <w:tcPr>
            <w:tcW w:w="1163" w:type="pct"/>
            <w:vAlign w:val="center"/>
          </w:tcPr>
          <w:p w14:paraId="07F7890F"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1.50%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p>
        </w:tc>
        <w:tc>
          <w:tcPr>
            <w:tcW w:w="529" w:type="pct"/>
            <w:vAlign w:val="center"/>
          </w:tcPr>
          <w:p w14:paraId="3E51C184"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100%计入资产</w:t>
            </w:r>
          </w:p>
        </w:tc>
      </w:tr>
      <w:tr w:rsidR="00E417F3" w14:paraId="6179C037" w14:textId="77777777" w:rsidTr="00584DC5">
        <w:trPr>
          <w:trHeight w:val="454"/>
        </w:trPr>
        <w:tc>
          <w:tcPr>
            <w:tcW w:w="1394" w:type="pct"/>
            <w:vAlign w:val="center"/>
            <w:vMerge/>
          </w:tcPr>
          <w:p w14:paraId="16F5E087"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4" w:type="pct"/>
            <w:vAlign w:val="center"/>
          </w:tcPr>
          <w:p w14:paraId="71B35602"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7天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30天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3" w:type="pct"/>
            <w:vAlign w:val="center"/>
          </w:tcPr>
          <w:p w14:paraId="07F7890F"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0.50%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3E51C184"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100%计入资产</w:t>
            </w:r>
          </w:p>
        </w:tc>
      </w:tr>
      <w:tr w:rsidR="00E417F3" w14:paraId="6179C037" w14:textId="77777777" w:rsidTr="00584DC5">
        <w:trPr>
          <w:trHeight w:val="454"/>
        </w:trPr>
        <w:tc>
          <w:tcPr>
            <w:tcW w:w="1394" w:type="pct"/>
            <w:vAlign w:val="center"/>
            <w:vMerge/>
          </w:tcPr>
          <w:p w14:paraId="16F5E087"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4" w:type="pct"/>
            <w:vAlign w:val="center"/>
          </w:tcPr>
          <w:p w14:paraId="71B35602"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30天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3" w:type="pct"/>
            <w:vAlign w:val="center"/>
          </w:tcPr>
          <w:p w14:paraId="07F7890F"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0.00%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3E51C184"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r>
          </w:p>
        </w:tc>
      </w:tr>
    </w:tbl>
    <w:p w14:paraId="2606CC40" w14:textId="77777777" w:rsidR="00E417F3" w:rsidRDefault="00E3416F">
      <w:pPr>
        <w:spacing w:line="320" w:lineRule="exact"/>
        <w:rPr>
          <w:rFonts w:ascii="方正仿宋简体" w:eastAsia="方正仿宋简体" w:hAnsiTheme="minorEastAsia"/>
          <w:b/>
          <w:color w:val="000000"/>
        </w:rPr>
      </w:pPr>
      <w:r>
        <w:rPr>
          <w:rFonts w:ascii="方正仿宋简体" w:eastAsia="方正仿宋简体" w:hAnsiTheme="minorEastAsia" w:hint="eastAsia"/>
          <w:b/>
          <w:color w:val="000000"/>
        </w:rPr>
        <w:t>申购费：</w:t>
      </w:r>
    </w:p>
    <w:p w14:paraId="5E4C9E43" w14:textId="77777777" w:rsidR="00E417F3" w:rsidRDefault="00E3416F">
      <w:pPr>
        <w:spacing w:line="320" w:lineRule="exact"/>
        <w:rPr>
          <w:rFonts w:ascii="方正仿宋简体" w:eastAsia="方正仿宋简体" w:hAnsiTheme="minorEastAsia"/>
          <w:color w:val="000000"/>
        </w:rPr>
      </w:pPr>
      <w:r>
        <w:rPr>
          <w:rFonts w:ascii="方正仿宋简体" w:eastAsia="方正仿宋简体" w:hAnsiTheme="minorEastAsia" w:hint="eastAsia"/>
          <w:color w:val="000000"/>
        </w:rPr>
        <w:t>本基金C类基金份额不收取申购费</w:t>
      </w:r>
    </w:p>
    <w:p w14:paraId="114AE5F1" w14:textId="77777777" w:rsidR="00E417F3" w:rsidRDefault="00E417F3">
      <w:pPr>
        <w:spacing w:line="320" w:lineRule="exact"/>
        <w:rPr>
          <w:rFonts w:ascii="方正仿宋简体" w:eastAsia="方正仿宋简体" w:hAnsiTheme="minorEastAsia" w:cs="方正仿宋简体"/>
          <w:b/>
          <w:iCs/>
          <w:sz w:val="24"/>
          <w:szCs w:val="24"/>
        </w:rPr>
      </w:pPr>
    </w:p>
    <w:p w14:paraId="0163F90A" w14:textId="77777777" w:rsidR="00E417F3" w:rsidRDefault="00E3416F" gbicc:emptyAbove="1">
      <w:pPr>
        <w:spacing w:line="320" w:lineRule="exact"/>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（二）基金运作相关费用</w:t>
      </w:r>
    </w:p>
    <w:p w14:paraId="7355A7BB" w14:textId="77777777" w:rsidR="00E417F3" w:rsidRDefault="00E3416F">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int="eastAsia"/>
        </w:rPr>
        <w:t>以下</w:t>
      </w:r>
      <w:r>
        <w:rPr>
          <w:rFonts w:ascii="方正仿宋简体" w:eastAsia="方正仿宋简体" w:hAnsi="方正仿宋简体" w:cs="方正仿宋简体" w:hint="eastAsia"/>
          <w:iCs/>
        </w:rPr>
        <w:t>费用将从基金资产中扣除：</w:t>
      </w:r>
    </w:p>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155"/>
        <w:gridCol w:w="7527"/>
      </w:tblGrid>
      <w:tr w:rsidR="00E417F3" w14:paraId="52835F16" w14:textId="77777777" w:rsidTr="00A1474F">
        <w:trPr>
          <w:trHeight w:val="454"/>
        </w:trPr>
        <w:tc>
          <w:tcPr>
            <w:tcW w:w="1477" w:type="pct"/>
            <w:vAlign w:val="center"/>
          </w:tcPr>
          <w:p w14:paraId="3810AC7E" w14:textId="77777777" w:rsidR="00E417F3" w:rsidRDefault="00E3416F">
            <w:pPr>
              <w:spacing w:line="320" w:lineRule="exact"/>
              <w:rPr>
                <w:rFonts w:ascii="方正仿宋简体" w:eastAsia="方正仿宋简体" w:hAnsi="方正仿宋简体" w:cs="方正仿宋简体"/>
                <w:b/>
                <w:bCs/>
              </w:rPr>
            </w:pPr>
            <w:r>
              <w:rPr>
                <w:rFonts w:ascii="方正仿宋简体" w:eastAsia="方正仿宋简体" w:hAnsi="方正仿宋简体" w:cs="方正仿宋简体" w:hint="eastAsia"/>
                <w:b/>
                <w:bCs/>
                <w:iCs/>
              </w:rPr>
              <w:t>费用类别</w:t>
            </w:r>
          </w:p>
        </w:tc>
        <w:tc>
          <w:tcPr>
            <w:tcW w:w="3523" w:type="pct"/>
            <w:vAlign w:val="center"/>
          </w:tcPr>
          <w:p w14:paraId="72B63104"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年费率</w:t>
            </w:r>
          </w:p>
        </w:tc>
      </w:tr>
      <w:tr w:rsidR="00E417F3" w14:paraId="26DAAC2F" w14:textId="77777777" w:rsidTr="00A1474F">
        <w:trPr>
          <w:trHeight w:val="454"/>
        </w:trPr>
        <w:tc>
          <w:tcPr>
            <w:tcW w:w="1477" w:type="pct"/>
            <w:vAlign w:val="center"/>
          </w:tcPr>
          <w:p w14:paraId="14E3B9EB" w14:textId="77777777" w:rsidR="00E417F3" w:rsidRDefault="00E3416F">
            <w:pPr>
              <w:spacing w:line="320" w:lineRule="exac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管理费</w:t>
            </w:r>
          </w:p>
        </w:tc>
        <w:tc>
          <w:tcPr>
            <w:tcW w:w="3523" w:type="pct"/>
            <w:vAlign w:val="center"/>
          </w:tcPr>
          <w:p w14:paraId="7F602790"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固定比例</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1.50%</w:t>
            </w:r>
          </w:p>
        </w:tc>
      </w:tr>
      <w:tr w:rsidR="00E417F3" w14:paraId="1FDB9732" w14:textId="77777777" w:rsidTr="00A1474F">
        <w:trPr>
          <w:trHeight w:val="454"/>
        </w:trPr>
        <w:tc>
          <w:tcPr>
            <w:tcW w:w="1477" w:type="pct"/>
            <w:vAlign w:val="center"/>
          </w:tcPr>
          <w:p w14:paraId="43AC0877" w14:textId="77777777" w:rsidR="00E417F3" w:rsidRDefault="00E3416F">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托管费</w:t>
            </w:r>
          </w:p>
        </w:tc>
        <w:tc>
          <w:tcPr>
            <w:tcW w:w="3523" w:type="pct"/>
            <w:vAlign w:val="center"/>
          </w:tcPr>
          <w:p w14:paraId="39CD9BB7" w14:textId="77777777" w:rsidR="00E417F3" w:rsidRDefault="00E3416F">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固定比例</w:t>
            </w:r>
            <w:r>
              <w:rPr>
                <w:rFonts w:ascii="方正仿宋简体" w:eastAsia="方正仿宋简体" w:hAnsiTheme="minorEastAsia" w:cs="方正仿宋简体" w:hint="eastAsia"/>
                <w:bCs/>
                <w:iCs/>
              </w:rPr>
              <w:t xml:space="preserve"> </w:t>
            </w:r>
            <w:r>
              <w:rPr>
                <w:rFonts w:ascii="方正仿宋简体" w:eastAsia="方正仿宋简体" w:hAnsiTheme="minorEastAsia" w:cs="方正仿宋简体" w:hint="eastAsia"/>
                <w:bCs/>
                <w:iCs/>
              </w:rPr>
              <w:t>0.25%</w:t>
            </w:r>
          </w:p>
        </w:tc>
      </w:tr>
      <w:tr w:rsidR="00E417F3" w14:paraId="2408B962" w14:textId="77777777" w:rsidTr="00A1474F">
        <w:trPr>
          <w:trHeight w:val="454"/>
        </w:trPr>
        <w:tc>
          <w:tcPr>
            <w:tcW w:w="1477" w:type="pct"/>
            <w:vAlign w:val="center"/>
          </w:tcPr>
          <w:p w14:paraId="598F9E5C" w14:textId="77777777" w:rsidR="00E417F3" w:rsidRDefault="00E3416F">
            <w:pPr>
              <w:spacing w:line="32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销售服务费</w:t>
            </w:r>
            <w:r>
              <w:rPr>
                <w:rFonts w:ascii="方正仿宋简体" w:eastAsia="方正仿宋简体" w:hAnsi="方正仿宋简体" w:cs="方正仿宋简体" w:hint="eastAsia"/>
                <w:iCs/>
              </w:rPr>
              <w:t/>
            </w:r>
            <w:r>
              <w:rPr>
                <w:rFonts w:ascii="方正仿宋简体" w:eastAsia="方正仿宋简体" w:hAnsi="方正仿宋简体" w:cs="方正仿宋简体" w:hint="eastAsia"/>
                <w:iCs/>
              </w:rPr>
              <w:t/>
            </w:r>
            <w:r>
              <w:rPr>
                <w:rFonts w:ascii="方正仿宋简体" w:eastAsia="方正仿宋简体" w:hAnsi="方正仿宋简体" w:cs="方正仿宋简体" w:hint="eastAsia"/>
                <w:iCs/>
              </w:rPr>
              <w:t/>
            </w:r>
          </w:p>
        </w:tc>
        <w:tc>
          <w:tcPr>
            <w:tcW w:w="3523" w:type="pct"/>
            <w:vAlign w:val="center"/>
          </w:tcPr>
          <w:p w14:paraId="75BB0DAE" w14:textId="77777777" w:rsidR="00E417F3" w:rsidRDefault="00E3416F">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固定比例</w:t>
            </w:r>
            <w:r>
              <w:rPr>
                <w:rFonts w:ascii="方正仿宋简体" w:eastAsia="方正仿宋简体" w:hAnsiTheme="minorEastAsia" w:cs="方正仿宋简体" w:hint="eastAsia"/>
                <w:bCs/>
                <w:iCs/>
              </w:rPr>
              <w:t xml:space="preserve"> </w:t>
            </w:r>
            <w:r>
              <w:rPr>
                <w:rFonts w:ascii="方正仿宋简体" w:eastAsia="方正仿宋简体" w:hAnsiTheme="minorEastAsia" w:cs="方正仿宋简体" w:hint="eastAsia"/>
                <w:bCs/>
                <w:iCs/>
              </w:rPr>
              <w:t>0.50%</w:t>
            </w:r>
          </w:p>
        </w:tc>
      </w:tr>
      <w:tr w:rsidR="00E417F3" w14:paraId="361F197A" w14:textId="77777777" w:rsidTr="00A1474F">
        <w:trPr>
          <w:trHeight w:val="454"/>
        </w:trPr>
        <w:tc>
          <w:tcPr>
            <w:tcW w:w="1477" w:type="pct"/>
            <w:vAlign w:val="center"/>
          </w:tcPr>
          <w:p w14:paraId="3644D5CA" w14:textId="77777777" w:rsidR="00E417F3" w:rsidRDefault="00E3416F">
            <w:pPr>
              <w:spacing w:line="32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其他费用</w:t>
            </w:r>
          </w:p>
        </w:tc>
        <w:tc>
          <w:tcPr>
            <w:tcW w:w="3523" w:type="pct"/>
            <w:vAlign w:val="center"/>
          </w:tcPr>
          <w:p w14:paraId="09CA6F5E" w14:textId="77777777" w:rsidR="00E417F3" w:rsidRDefault="00E3416F">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 xml:space="preserve">基金合同生效后的信息披露费用； 基金份额持有人大会费用； 基金合同生效后与基金有关的会计师费和律师费； 基金的证券交易费用； 基金财产拨划支付的银行费用等。</w:t>
            </w:r>
            <w:r>
              <w:rPr>
                <w:rFonts w:ascii="方正仿宋简体" w:eastAsia="方正仿宋简体" w:hint="eastAsia"/>
              </w:rPr>
              <w:t/>
            </w:r>
          </w:p>
        </w:tc>
      </w:tr>
    </w:tbl>
    <w:p w14:paraId="62213D3A" w14:textId="77777777" w:rsidR="00E417F3" w:rsidRDefault="00E3416F">
      <w:pPr>
        <w:autoSpaceDE w:val="0"/>
        <w:autoSpaceDN w:val="0"/>
        <w:adjustRightInd w:val="0"/>
        <w:spacing w:line="320" w:lineRule="exact"/>
        <w:jc w:val="lef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注：</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本基金交易证券、基金等产生的费用和税负，按实际发生额从基金资产扣除。</w:t>
      </w:r>
    </w:p>
    <w:p w14:paraId="3036C718" w14:textId="77777777" w:rsidR="00E417F3" w:rsidRDefault="00E417F3">
      <w:pPr>
        <w:autoSpaceDE w:val="0"/>
        <w:autoSpaceDN w:val="0"/>
        <w:adjustRightInd w:val="0"/>
        <w:spacing w:line="280" w:lineRule="exact"/>
        <w:jc w:val="left"/>
        <w:rPr>
          <w:rFonts w:ascii="方正仿宋简体" w:eastAsia="方正仿宋简体" w:hAnsiTheme="minorEastAsia" w:cs="仿宋_GB2312"/>
          <w:kern w:val="0"/>
          <w:szCs w:val="24"/>
        </w:rPr>
      </w:pPr>
    </w:p>
    <w:p w14:paraId="4080A236" w14:textId="77777777" w:rsidR="00E417F3" w:rsidRDefault="00E3416F" gbicc:emptyAbove="1">
      <w:pPr gbicc:listString="四、" gbicc:numText="%1、" gbicc:numFmt="C" gbicc:numVal="4"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风险揭示与重要提示</w:t>
      </w:r>
    </w:p>
    <w:p w14:paraId="21DBB7D4" w14:textId="5B88054D" w:rsidR="00E417F3" w:rsidRDefault="00E3416F">
      <w:pPr gbicc:listString="（一）" gbicc:numText="（%1）" gbicc:numFmt="J" gbicc:numVal="1" gbicc:numId="26">
        <w:pStyle w:val="a8"/>
        <w:numPr>
          <w:ilvl w:val="0"/>
          <w:numId w:val="26"/>
        </w:numPr>
        <w:spacing w:line="320" w:lineRule="exact"/>
        <w:ind w:firstLineChars="0"/>
        <w:outlineLvl w:val="1"/>
        <w:rPr>
          <w:rFonts w:ascii="方正仿宋简体" w:eastAsia="方正仿宋简体" w:hAnsi="方正仿宋简体" w:cs="方正仿宋简体"/>
          <w:b/>
          <w:bCs/>
          <w:iCs/>
          <w:sz w:val="24"/>
          <w:szCs w:val="24"/>
        </w:rPr>
      </w:pPr>
      <w:r>
        <w:rPr>
          <w:rFonts w:ascii="方正仿宋简体" w:eastAsia="方正仿宋简体" w:hAnsi="方正仿宋简体" w:cs="方正仿宋简体" w:hint="eastAsia"/>
          <w:b/>
          <w:bCs/>
          <w:iCs/>
          <w:sz w:val="24"/>
          <w:szCs w:val="24"/>
        </w:rPr>
        <w:t>风险揭示</w:t>
      </w:r>
    </w:p>
    <w:p w14:paraId="3F7E68FA"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本基金不提供任何保证。投资者可能损失投资本金。</w:t>
      </w:r>
    </w:p>
    <w:p w14:paraId="11469327" w14:textId="6F8E1835"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投资有风险，投资者购买基金时应认真阅读本基金的《招募说明书》等销售文件。</w:t>
      </w:r>
    </w:p>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投资者应认真阅读《基金合同》、《招募说明书》等法律文件，及时关注本公司出具的适当性意见，各销售机构关于适当性的意见不必然一致，本公司的适当性匹配意见并不表明对基金的风险和收益做出实质性判断或者保证。基金合同中关于基金风险收益特征与基金风险等级因考虑因素不同而存在差异。投资者应了解基金的风险收益情况，结合自身投资目的、期限、投资经验及风险承受能力谨慎决策并自行承担风险，不应采信不符合法律法规要求的销售行为及违规宣传推介材料。</w:t>
      </w:r>
    </w:p>
    <!--PH-->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1、本基金特有风险揭示</w:t>
      </w:r>
    </w:p>
    <!--PH-->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为混合型基金，本基金股票（含存托凭证）投资比例为基金资产的60%-95%，其中对创业成长型公司的投资比例不低于股票投资部分的80%,权证投资比例不超过基金资产净值的3%。债券投资比例为基金资产的0%-35%，现金或者到期日在一年以内的政府债券投资比例合计不低于基金资产净值的5%，其中，现金不包括结算备付金、存出保证金、应收申购款等。</w:t>
      </w:r>
    </w:p>
    <!--PH-->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为混合型基金，本基金股票（含存托凭证）投资比例为基金资产的60%-95%，投资者面临的特定风险主要为股票投资风险。股票的投资收益会受到宏观经济、市场偏好、行业波动和公司自身经营状况等因素的影响。因此，本基金所投资的股票可能在一定时期内表现与其他未投资的股票不同，造成本基金的收益低于其他基金。此外，由于本基金还可以投资其它品种，这些品种的价格也可能因市场中的各类变化而出现一定幅度的波动，产生特定的风险，并影响到整体基金的投资收益。</w:t>
      </w:r>
    </w:p>
    <!--PH-->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本基金普通风险：市场风险（政策风险、经济周期风险、收益波动风险、利率风险、通货膨胀风险、再投资风险等）、管理风险（决策风险、操作风险、技术风险、估值风险等）、信用风险、流动性风险、合规风险和其他风险。</w:t>
      </w:r>
    </w:p>
    <w:p w14:paraId="69D74D62" w14:textId="77777777" w:rsidR="00E417F3" w:rsidRDefault="00E3416F">
      <w:pPr>
        <w:spacing w:line="320" w:lineRule="exact"/>
        <w:outlineLvl w:val="1"/>
        <w:rPr>
          <w:rFonts w:ascii="方正仿宋简体" w:eastAsia="方正仿宋简体" w:hAnsi="方正仿宋简体" w:cs="方正仿宋简体"/>
          <w:b/>
          <w:iCs/>
          <w:sz w:val="22"/>
          <w:szCs w:val="24"/>
        </w:rPr>
      </w:pPr>
      <w:r>
        <w:rPr>
          <w:rFonts w:ascii="方正仿宋简体" w:eastAsia="方正仿宋简体" w:hAnsi="方正仿宋简体" w:cs="方正仿宋简体" w:hint="eastAsia"/>
          <w:b/>
          <w:iCs/>
          <w:sz w:val="24"/>
          <w:szCs w:val="24"/>
        </w:rPr>
        <w:t>（二）重要提示</w:t>
      </w:r>
    </w:p>
    <w:p w14:paraId="03C087C4"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中国证监会对本基金募集的核准，并不表明其对本基金的价值和收益作出实质性判断或保证，也不表明投资于本基金没有风险。</w:t>
      </w:r>
    </w:p>
    <w:p w14:paraId="03C087C4"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基金管理人依照恪尽职守、诚实信用、谨慎勤勉的原则管理和运用基金财产，但不保证基金一定盈利，也不保证最低收益</w:t>
      </w:r>
    </w:p>
    <w:p w14:paraId="03C087C4"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基金投资者自依基金合同取得基金份额，即成为基金份额持有人和基金合同的当事人。</w:t>
      </w:r>
    </w:p>
    <!--PH-->
    <!--PH-->
    <w:p w14:paraId="03C087C4"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PH-->
    <!--PH-->
    <w:p w14:paraId="0C25118B" w14:textId="77777777" w:rsidR="00E417F3" w:rsidRDefault="00E417F3">
      <w:pPr>
        <w:autoSpaceDE w:val="0"/>
        <w:autoSpaceDN w:val="0"/>
        <w:adjustRightInd w:val="0"/>
        <w:spacing w:line="280" w:lineRule="exact"/>
        <w:jc w:val="left"/>
        <w:rPr>
          <w:rFonts w:ascii="方正仿宋简体" w:eastAsia="方正仿宋简体"/>
        </w:rPr>
      </w:pPr>
    </w:p>
    <w:p w14:paraId="051EC2D6" w14:textId="77777777" w:rsidR="00E417F3" w:rsidRDefault="00E3416F" gbicc:emptyAbove="1">
      <w:pPr gbicc:listString="五、" gbicc:numText="%1、" gbicc:numFmt="C" gbicc:numVal="5"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其他资料查询方式</w:t>
      </w:r>
    </w:p>
    <w:p w14:paraId="08254E35"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以下资料详见基金管理人网站[网址：www.bosera.com][客服电话：95105568]</w:t>
      </w:r>
    </w:p>
    <w:p w14:paraId="08254E35"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(1)基金合同、托管协议、招募说明书</w:t>
      </w:r>
    </w:p>
    <w:p w14:paraId="08254E35"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(2)定期报告，包括基金季度报告、中期报告和年度报告</w:t>
      </w:r>
    </w:p>
    <w:p w14:paraId="08254E35"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(3)基金份额净值</w:t>
      </w:r>
    </w:p>
    <w:p w14:paraId="08254E35"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(4)基金销售机构及联系方式</w:t>
      </w:r>
    </w:p>
    <w:p w14:paraId="08254E35"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(5)其他重要资料</w:t>
      </w:r>
    </w:p>
    <w:p w14:paraId="1A35FF27" w14:textId="77777777" w:rsidR="00E417F3" w:rsidRDefault="00E417F3">
      <w:pPr>
        <w:autoSpaceDE w:val="0"/>
        <w:autoSpaceDN w:val="0"/>
        <w:adjustRightInd w:val="0"/>
        <w:spacing w:line="280" w:lineRule="exact"/>
        <w:jc w:val="left"/>
        <w:rPr>
          <w:rFonts w:ascii="方正仿宋简体" w:eastAsia="方正仿宋简体"/>
        </w:rPr>
      </w:pPr>
    </w:p>
    <w:p w14:paraId="248A41FA" w14:textId="77777777" w:rsidR="00E417F3" w:rsidRDefault="00E3416F" gbicc:emptyAbove="1">
      <w:pPr gbicc:listString="六、" gbicc:numText="%1、" gbicc:numFmt="C" gbicc:numVal="6"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其他情况说明</w:t>
      </w:r>
    </w:p>
    <!--PH-->
    <w:p w14:paraId="6711E03F"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争议解决方式：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6711E03F"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r>
    </w:p>
    <w:p w14:paraId="33D4B537" w14:textId="77777777" w:rsidR="00E417F3" w:rsidRDefault="00E3416F">
      <w:pPr>
        <w:autoSpaceDE w:val="0"/>
        <w:autoSpaceDN w:val="0"/>
        <w:adjustRightInd w:val="0"/>
        <w:spacing w:line="280" w:lineRule="exact"/>
        <w:jc w:val="left"/>
      </w:pPr>
    </w:p>
    <w:sectPr w:rsidR="00E417F3" w:rsidSect="006A606F">
      <w:footerReference w:type="default" r:id="rId2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91CC9" w14:textId="77777777" w:rsidR="00E3416F" w:rsidRDefault="00E3416F" w:rsidP="0092395F">
      <w:r>
        <w:separator/>
      </w:r>
    </w:p>
  </w:endnote>
  <w:endnote w:type="continuationSeparator" w:id="0">
    <w:p w14:paraId="362E6DB0" w14:textId="77777777" w:rsidR="00E3416F" w:rsidRDefault="00E3416F"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14:paraId="1D7F96DA" w14:textId="77777777" w:rsidR="005C64D0" w:rsidRDefault="005C64D0" w:rsidP="0025315A">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42697">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42697">
              <w:rPr>
                <w:b/>
                <w:bCs/>
                <w:noProof/>
              </w:rPr>
              <w:t>17</w:t>
            </w:r>
            <w:r>
              <w:rPr>
                <w:b/>
                <w:bCs/>
                <w:sz w:val="24"/>
                <w:szCs w:val="24"/>
              </w:rPr>
              <w:fldChar w:fldCharType="end"/>
            </w:r>
          </w:p>
        </w:sdtContent>
      </w:sdt>
    </w:sdtContent>
  </w:sdt>
  <w:p w14:paraId="42CAE7FC" w14:textId="77777777" w:rsidR="005C64D0" w:rsidRDefault="005C64D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4761D" w14:textId="77777777" w:rsidR="00E3416F" w:rsidRDefault="00E3416F" w:rsidP="0092395F">
      <w:r>
        <w:separator/>
      </w:r>
    </w:p>
  </w:footnote>
  <w:footnote w:type="continuationSeparator" w:id="0">
    <w:p w14:paraId="37A86F87" w14:textId="77777777" w:rsidR="00E3416F" w:rsidRDefault="00E3416F" w:rsidP="00923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C40164D"/>
    <w:multiLevelType w:val="hybridMultilevel"/>
    <w:tmpl w:val="236E77FA"/>
    <w:lvl w:ilvl="0" w:tplc="5A0AA84E">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4">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C21FE0E"/>
    <w:multiLevelType w:val="singleLevel"/>
    <w:tmpl w:val="5C21FE0E"/>
    <w:lvl w:ilvl="0">
      <w:start w:val="2"/>
      <w:numFmt w:val="chineseCounting"/>
      <w:suff w:val="nothing"/>
      <w:lvlText w:val="（%1）"/>
      <w:lvlJc w:val="left"/>
    </w:lvl>
  </w:abstractNum>
  <w:abstractNum w:abstractNumId="16">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3"/>
  </w:num>
  <w:num w:numId="3">
    <w:abstractNumId w:val="3"/>
  </w:num>
  <w:num w:numId="4">
    <w:abstractNumId w:val="3"/>
  </w:num>
  <w:num w:numId="5">
    <w:abstractNumId w:val="3"/>
  </w:num>
  <w:num w:numId="6">
    <w:abstractNumId w:val="18"/>
  </w:num>
  <w:num w:numId="7">
    <w:abstractNumId w:val="8"/>
  </w:num>
  <w:num w:numId="8">
    <w:abstractNumId w:val="14"/>
  </w:num>
  <w:num w:numId="9">
    <w:abstractNumId w:val="20"/>
  </w:num>
  <w:num w:numId="10">
    <w:abstractNumId w:val="13"/>
  </w:num>
  <w:num w:numId="11">
    <w:abstractNumId w:val="15"/>
  </w:num>
  <w:num w:numId="12">
    <w:abstractNumId w:val="0"/>
  </w:num>
  <w:num w:numId="13">
    <w:abstractNumId w:val="4"/>
  </w:num>
  <w:num w:numId="14">
    <w:abstractNumId w:val="5"/>
  </w:num>
  <w:num w:numId="15">
    <w:abstractNumId w:val="21"/>
  </w:num>
  <w:num w:numId="16">
    <w:abstractNumId w:val="7"/>
  </w:num>
  <w:num w:numId="17">
    <w:abstractNumId w:val="16"/>
  </w:num>
  <w:num w:numId="18">
    <w:abstractNumId w:val="9"/>
  </w:num>
  <w:num w:numId="19">
    <w:abstractNumId w:val="12"/>
  </w:num>
  <w:num w:numId="20">
    <w:abstractNumId w:val="2"/>
  </w:num>
  <w:num w:numId="21">
    <w:abstractNumId w:val="6"/>
  </w:num>
  <w:num w:numId="22">
    <w:abstractNumId w:val="11"/>
  </w:num>
  <w:num w:numId="23">
    <w:abstractNumId w:val="17"/>
  </w:num>
  <w:num w:numId="24">
    <w:abstractNumId w:val="19"/>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67D"/>
    <w:rsid w:val="001351D1"/>
    <w:rsid w:val="00135D07"/>
    <w:rsid w:val="0013609D"/>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18F7"/>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3CC2"/>
    <w:rsid w:val="003744FE"/>
    <w:rsid w:val="0037519F"/>
    <w:rsid w:val="00375483"/>
    <w:rsid w:val="003800E8"/>
    <w:rsid w:val="00380BCD"/>
    <w:rsid w:val="00381CFE"/>
    <w:rsid w:val="00382845"/>
    <w:rsid w:val="00386A7F"/>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30064"/>
    <w:rsid w:val="00430BE8"/>
    <w:rsid w:val="0043184A"/>
    <w:rsid w:val="004324B8"/>
    <w:rsid w:val="004335EC"/>
    <w:rsid w:val="00435F11"/>
    <w:rsid w:val="00437CC4"/>
    <w:rsid w:val="0044078C"/>
    <w:rsid w:val="00440F0C"/>
    <w:rsid w:val="004428A7"/>
    <w:rsid w:val="00443386"/>
    <w:rsid w:val="00444874"/>
    <w:rsid w:val="0044609F"/>
    <w:rsid w:val="004504DB"/>
    <w:rsid w:val="0045198C"/>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0DA7"/>
    <w:rsid w:val="004F157A"/>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6AE"/>
    <w:rsid w:val="005B68DF"/>
    <w:rsid w:val="005B6AFF"/>
    <w:rsid w:val="005B70B9"/>
    <w:rsid w:val="005B755C"/>
    <w:rsid w:val="005C1A5C"/>
    <w:rsid w:val="005C5197"/>
    <w:rsid w:val="005C64D0"/>
    <w:rsid w:val="005C65CA"/>
    <w:rsid w:val="005C6897"/>
    <w:rsid w:val="005C68EB"/>
    <w:rsid w:val="005C7259"/>
    <w:rsid w:val="005C75B8"/>
    <w:rsid w:val="005C77E0"/>
    <w:rsid w:val="005D013C"/>
    <w:rsid w:val="005D2905"/>
    <w:rsid w:val="005D45F5"/>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87021"/>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06F"/>
    <w:rsid w:val="006A6105"/>
    <w:rsid w:val="006A6462"/>
    <w:rsid w:val="006A668D"/>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2697"/>
    <w:rsid w:val="00746BC6"/>
    <w:rsid w:val="00750319"/>
    <w:rsid w:val="00751532"/>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5672"/>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C31"/>
    <w:rsid w:val="00872076"/>
    <w:rsid w:val="00872D80"/>
    <w:rsid w:val="0087307E"/>
    <w:rsid w:val="0087384F"/>
    <w:rsid w:val="00873A0F"/>
    <w:rsid w:val="008740C8"/>
    <w:rsid w:val="008745A1"/>
    <w:rsid w:val="008746AF"/>
    <w:rsid w:val="0087523D"/>
    <w:rsid w:val="00877A01"/>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4638"/>
    <w:rsid w:val="008A46F0"/>
    <w:rsid w:val="008A492B"/>
    <w:rsid w:val="008A59EF"/>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46F4"/>
    <w:rsid w:val="009A5FBA"/>
    <w:rsid w:val="009A6135"/>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04AC4"/>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57C21"/>
    <w:rsid w:val="00B63F25"/>
    <w:rsid w:val="00B66AE9"/>
    <w:rsid w:val="00B66CCF"/>
    <w:rsid w:val="00B67B4E"/>
    <w:rsid w:val="00B67BD4"/>
    <w:rsid w:val="00B70E27"/>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69F4"/>
    <w:rsid w:val="00BD755E"/>
    <w:rsid w:val="00BE0BCB"/>
    <w:rsid w:val="00BE1F92"/>
    <w:rsid w:val="00BE2A1D"/>
    <w:rsid w:val="00BE2C91"/>
    <w:rsid w:val="00BE2F82"/>
    <w:rsid w:val="00BE34CD"/>
    <w:rsid w:val="00BE3A68"/>
    <w:rsid w:val="00BE3D7F"/>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70FFB"/>
    <w:rsid w:val="00C716FD"/>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97AC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6998"/>
    <w:rsid w:val="00CE741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9E3"/>
    <w:rsid w:val="00DD5FEE"/>
    <w:rsid w:val="00DD7810"/>
    <w:rsid w:val="00DE1472"/>
    <w:rsid w:val="00DE2042"/>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24E7"/>
    <w:rsid w:val="00E3381B"/>
    <w:rsid w:val="00E3416F"/>
    <w:rsid w:val="00E34663"/>
    <w:rsid w:val="00E3495E"/>
    <w:rsid w:val="00E35BD3"/>
    <w:rsid w:val="00E37BFF"/>
    <w:rsid w:val="00E4113C"/>
    <w:rsid w:val="00E417F3"/>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5506"/>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B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84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CN_50050000_050014_FA010080_20200003_1jpg" Target="media/CN_50050000_050014_FA010080_20200003_1.jpg" Type="http://schemas.openxmlformats.org/officeDocument/2006/relationships/image"/>
<Relationship Id="rIDCN_50050000_050014_FA010080_20200003_4jpg" Target="media/CN_50050000_050014_FA010080_20200003_4.jpg" Type="http://schemas.openxmlformats.org/officeDocument/2006/relationships/image"/>
<Relationship Id="rId10" Target="endnotes.xml" Type="http://schemas.openxmlformats.org/officeDocument/2006/relationships/endnotes"/>
<Relationship Id="rId11" Target="media/image1.png" Type="http://schemas.openxmlformats.org/officeDocument/2006/relationships/image"/>
<Relationship Id="rId12" Target="charts/chart1.xml" Type="http://schemas.openxmlformats.org/officeDocument/2006/relationships/chart"/>
<Relationship Id="rId13" Target="charts/chart2.xml" Type="http://schemas.openxmlformats.org/officeDocument/2006/relationships/chart"/>
<Relationship Id="rId14" Target="charts/chart3.xml" Type="http://schemas.openxmlformats.org/officeDocument/2006/relationships/chart"/>
<Relationship Id="rId15" Target="charts/chart4.xml" Type="http://schemas.openxmlformats.org/officeDocument/2006/relationships/chart"/>
<Relationship Id="rId16" Target="charts/chart5.xml" Type="http://schemas.openxmlformats.org/officeDocument/2006/relationships/chart"/>
<Relationship Id="rId17" Target="charts/chart6.xml" Type="http://schemas.openxmlformats.org/officeDocument/2006/relationships/chart"/>
<Relationship Id="rId18" Target="charts/chart7.xml" Type="http://schemas.openxmlformats.org/officeDocument/2006/relationships/chart"/>
<Relationship Id="rId19" Target="charts/chart8.xml" Type="http://schemas.openxmlformats.org/officeDocument/2006/relationships/chart"/>
<Relationship Id="rId20" Target="charts/chart9.xml" Type="http://schemas.openxmlformats.org/officeDocument/2006/relationships/chart"/>
<Relationship Id="rId21" Target="charts/chart10.xml" Type="http://schemas.openxmlformats.org/officeDocument/2006/relationships/chart"/>
<Relationship Id="rId22" Target="charts/chart11.xml" Type="http://schemas.openxmlformats.org/officeDocument/2006/relationships/chart"/>
<Relationship Id="rId23" Target="charts/chart12.xml" Type="http://schemas.openxmlformats.org/officeDocument/2006/relationships/chart"/>
<Relationship Id="rId24" Target="footer1.xml" Type="http://schemas.openxmlformats.org/officeDocument/2006/relationships/footer"/>
<Relationship Id="rId25" Target="fontTable.xml" Type="http://schemas.openxmlformats.org/officeDocument/2006/relationships/fontTable"/>
<Relationship Id="rId26" Target="glossary/document.xml" Type="http://schemas.openxmlformats.org/officeDocument/2006/relationships/glossaryDocument"/>
<Relationship Id="rId27" Target="theme/theme1.xml" Type="http://schemas.openxmlformats.org/officeDocument/2006/relationships/theme"/>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tylesWithEffects.xml" Type="http://schemas.microsoft.com/office/2007/relationships/stylesWithEffect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settings.xml.rels><?xml version="1.0" encoding="UTF-8" standalone="no"?>
<Relationships xmlns="http://schemas.openxmlformats.org/package/2006/relationships">
<Relationship Id="rId1" Target="file:///C:/Users/Administrator/AppData/Roaming/Microsoft/Templates/Normal.dotm" TargetMode="External" Type="http://schemas.openxmlformats.org/officeDocument/2006/relationships/attachedTemplate"/>
</Relationships>

</file>

<file path=word/drawings/drawing1.xml><?xml version="1.0" encoding="utf-8"?>
<c:userShapes xmlns:c="http://schemas.openxmlformats.org/drawingml/2006/chart">
  <cdr:relSizeAnchor xmlns:cdr="http://schemas.openxmlformats.org/drawingml/2006/chartDrawing">
    <cdr:from>
      <cdr:x>0.22032</cdr:x>
      <cdr:y>0.03096</cdr:y>
    </cdr:from>
    <cdr:to>
      <cdr:x>0.27269</cdr:x>
      <cdr:y>0.08359</cdr:y>
    </cdr:to>
    <cdr:sp macro="" textlink="">
      <cdr:nvSpPr>
        <cdr:cNvPr id="2" name="文本框 1"/>
        <cdr:cNvSpPr txBox="1"/>
      </cdr:nvSpPr>
      <cdr:spPr>
        <a:xfrm xmlns:a="http://schemas.openxmlformats.org/drawingml/2006/main">
          <a:off x="1162050" y="95250"/>
          <a:ext cx="2762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glossary/_rels/document.xml.rels><?xml version="1.0" encoding="UTF-8" standalone="no"?>
<Relationships xmlns="http://schemas.openxmlformats.org/package/2006/relationships">
<Relationship Id="rId1" Target="styles.xml" Type="http://schemas.openxmlformats.org/officeDocument/2006/relationships/styles"/>
<Relationship Id="rId2" Target="stylesWithEffects.xml" Type="http://schemas.microsoft.com/office/2007/relationships/stylesWithEffects"/>
<Relationship Id="rId3" Target="settings.xml" Type="http://schemas.openxmlformats.org/officeDocument/2006/relationships/settings"/>
<Relationship Id="rId4" Target="webSettings.xml" Type="http://schemas.openxmlformats.org/officeDocument/2006/relationships/webSettings"/>
<Relationship Id="rId5" Target="fontTable.xml" Type="http://schemas.openxmlformats.org/officeDocument/2006/relationships/fontTable"/>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33333333333333333333333333333"/>
        <w:category>
          <w:name w:val="常规"/>
          <w:gallery w:val="placeholder"/>
        </w:category>
        <w:types>
          <w:type w:val="bbPlcHdr"/>
        </w:types>
        <w:behaviors>
          <w:behavior w:val="content"/>
        </w:behaviors>
        <w:guid w:val="{334BEF10-E26F-4DFA-AA01-87668B57AD08}"/>
      </w:docPartPr>
      <w:docPartBody>
        <w:p w:rsidR="00D6090D" w:rsidRDefault="00331623">
          <w:r w:rsidRPr="003F6076">
            <w:rPr>
              <w:rStyle w:val="a3"/>
              <w:rFonts w:hint="eastAsia"/>
            </w:rPr>
            <w:t>（空）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3"/>
    <w:rsid w:val="000115D6"/>
    <w:rsid w:val="00020047"/>
    <w:rsid w:val="00036D92"/>
    <w:rsid w:val="00037D35"/>
    <w:rsid w:val="000414FB"/>
    <w:rsid w:val="00055C5C"/>
    <w:rsid w:val="00081F33"/>
    <w:rsid w:val="000835AF"/>
    <w:rsid w:val="000835C7"/>
    <w:rsid w:val="00084051"/>
    <w:rsid w:val="0009147D"/>
    <w:rsid w:val="000B2B16"/>
    <w:rsid w:val="000D2086"/>
    <w:rsid w:val="000D3417"/>
    <w:rsid w:val="000F2290"/>
    <w:rsid w:val="000F2FFF"/>
    <w:rsid w:val="001123EE"/>
    <w:rsid w:val="00112FFF"/>
    <w:rsid w:val="0011621F"/>
    <w:rsid w:val="00116BAE"/>
    <w:rsid w:val="001176F8"/>
    <w:rsid w:val="00121599"/>
    <w:rsid w:val="00127EA3"/>
    <w:rsid w:val="001672F9"/>
    <w:rsid w:val="00171D87"/>
    <w:rsid w:val="00172EE5"/>
    <w:rsid w:val="001817ED"/>
    <w:rsid w:val="0018790A"/>
    <w:rsid w:val="00192E60"/>
    <w:rsid w:val="001B3EE8"/>
    <w:rsid w:val="001C3192"/>
    <w:rsid w:val="001D0E74"/>
    <w:rsid w:val="002051BD"/>
    <w:rsid w:val="002317BE"/>
    <w:rsid w:val="00231BA3"/>
    <w:rsid w:val="00233E5C"/>
    <w:rsid w:val="0024217D"/>
    <w:rsid w:val="00252AFE"/>
    <w:rsid w:val="00261674"/>
    <w:rsid w:val="0026286A"/>
    <w:rsid w:val="0026772A"/>
    <w:rsid w:val="002728E1"/>
    <w:rsid w:val="002733EC"/>
    <w:rsid w:val="0027410A"/>
    <w:rsid w:val="00280E3F"/>
    <w:rsid w:val="002A5FD2"/>
    <w:rsid w:val="002C57EB"/>
    <w:rsid w:val="002D6529"/>
    <w:rsid w:val="00311442"/>
    <w:rsid w:val="003118D2"/>
    <w:rsid w:val="003127BE"/>
    <w:rsid w:val="00317044"/>
    <w:rsid w:val="0032290F"/>
    <w:rsid w:val="00323BFD"/>
    <w:rsid w:val="00323DC1"/>
    <w:rsid w:val="00326D84"/>
    <w:rsid w:val="00331623"/>
    <w:rsid w:val="00332AF2"/>
    <w:rsid w:val="0034367B"/>
    <w:rsid w:val="003550EA"/>
    <w:rsid w:val="0037121C"/>
    <w:rsid w:val="0037514E"/>
    <w:rsid w:val="003768D0"/>
    <w:rsid w:val="0039391C"/>
    <w:rsid w:val="00397AFA"/>
    <w:rsid w:val="003A3ADA"/>
    <w:rsid w:val="003B1735"/>
    <w:rsid w:val="003B4534"/>
    <w:rsid w:val="003E567A"/>
    <w:rsid w:val="0043068A"/>
    <w:rsid w:val="00442B78"/>
    <w:rsid w:val="00450008"/>
    <w:rsid w:val="00451B6C"/>
    <w:rsid w:val="00454F21"/>
    <w:rsid w:val="0045588C"/>
    <w:rsid w:val="004610B2"/>
    <w:rsid w:val="0046617C"/>
    <w:rsid w:val="0046634E"/>
    <w:rsid w:val="00467D8A"/>
    <w:rsid w:val="00467FC0"/>
    <w:rsid w:val="00477D16"/>
    <w:rsid w:val="004B27BB"/>
    <w:rsid w:val="004B744A"/>
    <w:rsid w:val="004C3122"/>
    <w:rsid w:val="004E6934"/>
    <w:rsid w:val="00501AB2"/>
    <w:rsid w:val="00510D0B"/>
    <w:rsid w:val="005130EE"/>
    <w:rsid w:val="0051671B"/>
    <w:rsid w:val="00524944"/>
    <w:rsid w:val="00525FD4"/>
    <w:rsid w:val="00545CDB"/>
    <w:rsid w:val="00547167"/>
    <w:rsid w:val="0054769E"/>
    <w:rsid w:val="0056128D"/>
    <w:rsid w:val="00586633"/>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340F8"/>
    <w:rsid w:val="00637E49"/>
    <w:rsid w:val="00656E21"/>
    <w:rsid w:val="00660FB7"/>
    <w:rsid w:val="00662A61"/>
    <w:rsid w:val="00666964"/>
    <w:rsid w:val="00672BB9"/>
    <w:rsid w:val="00680145"/>
    <w:rsid w:val="006A0AEA"/>
    <w:rsid w:val="006A662C"/>
    <w:rsid w:val="006A70D1"/>
    <w:rsid w:val="006F084B"/>
    <w:rsid w:val="006F6C75"/>
    <w:rsid w:val="00702727"/>
    <w:rsid w:val="0071246B"/>
    <w:rsid w:val="00725A42"/>
    <w:rsid w:val="00754982"/>
    <w:rsid w:val="007612BB"/>
    <w:rsid w:val="00784909"/>
    <w:rsid w:val="007A7321"/>
    <w:rsid w:val="007B250C"/>
    <w:rsid w:val="007B2945"/>
    <w:rsid w:val="007B519F"/>
    <w:rsid w:val="007C1EAF"/>
    <w:rsid w:val="007D01E7"/>
    <w:rsid w:val="007D3D18"/>
    <w:rsid w:val="007F7D90"/>
    <w:rsid w:val="00801DA5"/>
    <w:rsid w:val="00805628"/>
    <w:rsid w:val="0081476F"/>
    <w:rsid w:val="0081559D"/>
    <w:rsid w:val="00823337"/>
    <w:rsid w:val="0082630F"/>
    <w:rsid w:val="00826E9C"/>
    <w:rsid w:val="0084214F"/>
    <w:rsid w:val="0084724A"/>
    <w:rsid w:val="008509BD"/>
    <w:rsid w:val="008538C1"/>
    <w:rsid w:val="00854210"/>
    <w:rsid w:val="008648F5"/>
    <w:rsid w:val="00866A53"/>
    <w:rsid w:val="008909A1"/>
    <w:rsid w:val="008C6D32"/>
    <w:rsid w:val="008D3C70"/>
    <w:rsid w:val="008E2916"/>
    <w:rsid w:val="008F7AF8"/>
    <w:rsid w:val="008F7FB3"/>
    <w:rsid w:val="00910055"/>
    <w:rsid w:val="00910D55"/>
    <w:rsid w:val="00945649"/>
    <w:rsid w:val="00950188"/>
    <w:rsid w:val="009713DA"/>
    <w:rsid w:val="00973403"/>
    <w:rsid w:val="00974CAD"/>
    <w:rsid w:val="00975461"/>
    <w:rsid w:val="00982E8D"/>
    <w:rsid w:val="00987729"/>
    <w:rsid w:val="00994AEA"/>
    <w:rsid w:val="009A3157"/>
    <w:rsid w:val="009A3858"/>
    <w:rsid w:val="009B350A"/>
    <w:rsid w:val="009B4C33"/>
    <w:rsid w:val="009B5BDB"/>
    <w:rsid w:val="009B6A40"/>
    <w:rsid w:val="009C23D7"/>
    <w:rsid w:val="009C634B"/>
    <w:rsid w:val="009C70B7"/>
    <w:rsid w:val="009D499B"/>
    <w:rsid w:val="009E3812"/>
    <w:rsid w:val="009E4011"/>
    <w:rsid w:val="00A11BB6"/>
    <w:rsid w:val="00A1561D"/>
    <w:rsid w:val="00A174E0"/>
    <w:rsid w:val="00A22C1C"/>
    <w:rsid w:val="00A22CE8"/>
    <w:rsid w:val="00A26726"/>
    <w:rsid w:val="00A31566"/>
    <w:rsid w:val="00A36E27"/>
    <w:rsid w:val="00A516D0"/>
    <w:rsid w:val="00A819EC"/>
    <w:rsid w:val="00A96E35"/>
    <w:rsid w:val="00AC3872"/>
    <w:rsid w:val="00AD3E10"/>
    <w:rsid w:val="00AD4F60"/>
    <w:rsid w:val="00AD5593"/>
    <w:rsid w:val="00AD6C64"/>
    <w:rsid w:val="00AF1843"/>
    <w:rsid w:val="00AF2781"/>
    <w:rsid w:val="00B207CF"/>
    <w:rsid w:val="00B2432E"/>
    <w:rsid w:val="00B26388"/>
    <w:rsid w:val="00B32687"/>
    <w:rsid w:val="00B42DA9"/>
    <w:rsid w:val="00B50170"/>
    <w:rsid w:val="00B5020E"/>
    <w:rsid w:val="00B54F9D"/>
    <w:rsid w:val="00B711BE"/>
    <w:rsid w:val="00B721A6"/>
    <w:rsid w:val="00B72A18"/>
    <w:rsid w:val="00BA5037"/>
    <w:rsid w:val="00BB13D0"/>
    <w:rsid w:val="00BC76C1"/>
    <w:rsid w:val="00BE3A19"/>
    <w:rsid w:val="00C028B9"/>
    <w:rsid w:val="00C05682"/>
    <w:rsid w:val="00C1398E"/>
    <w:rsid w:val="00C40B53"/>
    <w:rsid w:val="00C5536D"/>
    <w:rsid w:val="00C61415"/>
    <w:rsid w:val="00C67CCE"/>
    <w:rsid w:val="00C7118A"/>
    <w:rsid w:val="00CA460C"/>
    <w:rsid w:val="00CB1B6B"/>
    <w:rsid w:val="00CC1AAA"/>
    <w:rsid w:val="00CE6AB0"/>
    <w:rsid w:val="00CF0507"/>
    <w:rsid w:val="00CF5CDA"/>
    <w:rsid w:val="00D0728A"/>
    <w:rsid w:val="00D260CA"/>
    <w:rsid w:val="00D30032"/>
    <w:rsid w:val="00D376AC"/>
    <w:rsid w:val="00D45D4A"/>
    <w:rsid w:val="00D50042"/>
    <w:rsid w:val="00D5681E"/>
    <w:rsid w:val="00D6090D"/>
    <w:rsid w:val="00D671B3"/>
    <w:rsid w:val="00D77D75"/>
    <w:rsid w:val="00D85672"/>
    <w:rsid w:val="00D936E1"/>
    <w:rsid w:val="00D946FD"/>
    <w:rsid w:val="00D954AA"/>
    <w:rsid w:val="00D9576B"/>
    <w:rsid w:val="00DC0CFB"/>
    <w:rsid w:val="00DC1024"/>
    <w:rsid w:val="00DE743A"/>
    <w:rsid w:val="00E051D8"/>
    <w:rsid w:val="00E23412"/>
    <w:rsid w:val="00E62A28"/>
    <w:rsid w:val="00E80993"/>
    <w:rsid w:val="00E933BE"/>
    <w:rsid w:val="00EA022C"/>
    <w:rsid w:val="00EA551D"/>
    <w:rsid w:val="00EB4AFA"/>
    <w:rsid w:val="00EC052D"/>
    <w:rsid w:val="00EE2435"/>
    <w:rsid w:val="00EF1ACC"/>
    <w:rsid w:val="00EF3FC1"/>
    <w:rsid w:val="00F05E3F"/>
    <w:rsid w:val="00F11153"/>
    <w:rsid w:val="00F1504D"/>
    <w:rsid w:val="00F15E85"/>
    <w:rsid w:val="00F2521D"/>
    <w:rsid w:val="00F5276A"/>
    <w:rsid w:val="00F745F4"/>
    <w:rsid w:val="00F81BE9"/>
    <w:rsid w:val="00F85B99"/>
    <w:rsid w:val="00FB1058"/>
    <w:rsid w:val="00FC68AE"/>
    <w:rsid w:val="00FD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item3.xml><?xml version="1.0" encoding="utf-8"?>
<b:Sources xmlns:b="http://schemas.openxmlformats.org/officeDocument/2006/bibliography" xmlns="http://schemas.openxmlformats.org/officeDocument/2006/bibliography" SelectedStyle="\APA.XSL" StyleName="APA"/>
</file>

<file path=customXml/itemProps3.xml><?xml version="1.0" encoding="utf-8"?>
<ds:datastoreItem xmlns:ds="http://schemas.openxmlformats.org/officeDocument/2006/customXml" ds:itemID="{07A61710-F9BF-4549-A41A-F32C241A4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635</Words>
  <Characters>3621</Characters>
  <Application>Microsoft Office Word</Application>
  <DocSecurity>0</DocSecurity>
  <Lines>30</Lines>
  <Paragraphs>8</Paragraphs>
  <ScaleCrop>false</ScaleCrop>
  <Company>shenduxitong</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2020-09-04T10:07:00Z</dcterms:created>
  <dc:creator>Donghm</dc:creator>
  <cp:lastModifiedBy>Administrator</cp:lastModifiedBy>
  <dcterms:modified xsi:type="dcterms:W3CDTF">2020-09-04T10:07:00Z</dcterms:modified>
  <cp:revision>3</cp:revision>
</cp:coreProperties>
</file>