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2DD23" w14:textId="77777777" w:rsidR="00574193" w:rsidRDefault="00392803">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博时沪港深价值优选灵活配置混合型证券投资基金（博时沪港深价值优选A）基金产品资料概要更新</w:t>
      </w:r>
    </w:p>
    <w:p w14:paraId="686A728F" w14:textId="77777777" w:rsidR="00574193" w:rsidRDefault="00392803">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56B9D8E6" w14:textId="77777777" w:rsidR="00574193" w:rsidRDefault="00392803">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32C2E08C" w14:textId="1EAF3F8E" w:rsidR="00574193" w:rsidRDefault="00473A7F">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bookmarkStart w:id="0" w:name="_GoBack"/>
      <w:bookmarkEnd w:id="0"/>
    </w:p>
    <w:p w14:paraId="792D3166" w14:textId="77777777" w:rsidR="00574193" w:rsidRDefault="00392803">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作出投资决定前，请阅读完整的招募说明书等销售文件。</w:t>
      </w:r>
    </w:p>
    <w:p w14:paraId="55CD0E63"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74193" w14:paraId="26BE45AB" w14:textId="77777777" w:rsidTr="00584DC5">
        <w:trPr>
          <w:trHeight w:val="454"/>
        </w:trPr>
        <w:tc>
          <w:tcPr>
            <w:tcW w:w="1145" w:type="pct"/>
            <w:vMerge w:val="restart"/>
            <w:vAlign w:val="center"/>
          </w:tcPr>
          <w:p w14:paraId="36ADE161"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47AC11EA"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博时沪港深价值优选</w:t>
            </w:r>
          </w:p>
        </w:tc>
        <w:tc>
          <w:tcPr>
            <w:tcW w:w="999" w:type="pct"/>
            <w:vMerge w:val="restart"/>
            <w:vAlign w:val="center"/>
          </w:tcPr>
          <w:p w14:paraId="2F382962"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98533F"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004091</w:t>
            </w:r>
          </w:p>
        </w:tc>
      </w:tr>
      <w:tr w:rsidR="00574193" w14:paraId="5C99A7E5" w14:textId="77777777" w:rsidTr="00584DC5">
        <w:trPr>
          <w:trHeight w:val="150"/>
        </w:trPr>
        <w:tc>
          <w:tcPr>
            <w:tcW w:w="1145" w:type="pct"/>
            <w:vMerge w:val="restart"/>
            <w:vAlign w:val="center"/>
          </w:tcPr>
          <w:p w14:paraId="4F1D907A"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dashSmallGap" w:sz="4" w:space="0" w:color="A6A6A6" w:themeColor="background1" w:themeShade="A6"/>
            </w:tcBorders>
            <w:vAlign w:val="center"/>
          </w:tcPr>
          <w:p w14:paraId="3C3C7B87"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博时沪港深价值优选A</w:t>
            </w:r>
          </w:p>
        </w:tc>
        <w:tc>
          <w:tcPr>
            <w:tcW w:w="999" w:type="pct"/>
            <w:vMerge w:val="restart"/>
            <w:vAlign w:val="center"/>
          </w:tcPr>
          <w:p w14:paraId="775BB066"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dashSmallGap" w:sz="4" w:space="0" w:color="A6A6A6" w:themeColor="background1" w:themeShade="A6"/>
              <w:bottom w:val="nil"/>
            </w:tcBorders>
            <w:vAlign w:val="center"/>
          </w:tcPr>
          <w:p w14:paraId="138B2867"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004091</w:t>
            </w:r>
          </w:p>
        </w:tc>
      </w:tr>
      <w:tr w:rsidR="00574193" w14:paraId="73993091" w14:textId="77777777" w:rsidTr="005F360D">
        <w:trPr>
          <w:trHeight w:val="454"/>
        </w:trPr>
        <w:tc>
          <w:tcPr>
            <w:tcW w:w="1145" w:type="pct"/>
            <w:vAlign w:val="center"/>
          </w:tcPr>
          <w:p w14:paraId="08185FAB"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2A1AE0F0"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4342B68"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407214EA"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中信银行股份有限公司 </w:t>
            </w:r>
          </w:p>
        </w:tc>
      </w:tr>
      <w:tr w:rsidR="00574193" w14:paraId="60BFCA2A" w14:textId="77777777" w:rsidTr="005F360D">
        <w:trPr>
          <w:trHeight w:val="454"/>
        </w:trPr>
        <w:tc>
          <w:tcPr>
            <w:tcW w:w="1145" w:type="pct"/>
            <w:vMerge w:val="restart"/>
            <w:vAlign w:val="center"/>
          </w:tcPr>
          <w:p w14:paraId="1CC6B867"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0E9D187E"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2017-01-25</w:t>
            </w:r>
          </w:p>
        </w:tc>
        <w:tc>
          <w:tcPr>
            <w:tcW w:w="999" w:type="pct"/>
            <w:vMerge w:val="restart"/>
            <w:vAlign w:val="center"/>
          </w:tcPr>
          <w:p w14:paraId="3BC161C8" w14:textId="77777777" w:rsidR="00574193" w:rsidRDefault="00574193">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04D0FE7E"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74193" w14:paraId="60A4D988" w14:textId="77777777" w:rsidTr="005F360D">
        <w:trPr>
          <w:trHeight w:val="454"/>
        </w:trPr>
        <w:tc>
          <w:tcPr>
            <w:tcW w:w="1145" w:type="pct"/>
            <w:vAlign w:val="center"/>
          </w:tcPr>
          <w:p w14:paraId="420DCE84"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26B87180"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0CE70349"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1575BB73"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74193" w14:paraId="2938FC14" w14:textId="77777777" w:rsidTr="005F360D">
        <w:trPr>
          <w:trHeight w:val="454"/>
        </w:trPr>
        <w:tc>
          <w:tcPr>
            <w:tcW w:w="1145" w:type="pct"/>
            <w:vAlign w:val="center"/>
          </w:tcPr>
          <w:p w14:paraId="2F3A1D6F"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6387FBCC"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72D39E18"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3B64E885"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74193" w14:paraId="472F3F2F" w14:textId="77777777" w:rsidTr="005F360D">
        <w:trPr>
          <w:trHeight w:val="454"/>
        </w:trPr>
        <w:tc>
          <w:tcPr>
            <w:tcW w:w="1145" w:type="pct"/>
            <w:vMerge w:val="restart"/>
            <w:vAlign w:val="center"/>
          </w:tcPr>
          <w:p w14:paraId="0A2B42DE"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8B0E995"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杨涛</w:t>
            </w:r>
          </w:p>
        </w:tc>
        <w:tc>
          <w:tcPr>
            <w:tcW w:w="999" w:type="pct"/>
            <w:vAlign w:val="center"/>
          </w:tcPr>
          <w:p w14:paraId="75FDD609"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26092077"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2018-06-22</w:t>
            </w:r>
          </w:p>
        </w:tc>
      </w:tr>
      <w:tr w:rsidR="00574193" w14:paraId="4C0C6265" w14:textId="77777777" w:rsidTr="005F360D">
        <w:trPr>
          <w:trHeight w:val="454"/>
        </w:trPr>
        <w:tc>
          <w:tcPr>
            <w:tcW w:w="1145" w:type="pct"/>
            <w:vMerge/>
            <w:vAlign w:val="center"/>
          </w:tcPr>
          <w:p w14:paraId="7A97D2A0" w14:textId="77777777" w:rsidR="00574193" w:rsidRDefault="00574193">
            <w:pPr>
              <w:spacing w:line="320" w:lineRule="exact"/>
              <w:rPr>
                <w:rFonts w:ascii="方正仿宋简体" w:eastAsia="方正仿宋简体" w:hAnsiTheme="minorEastAsia" w:cs="方正仿宋简体"/>
                <w:b/>
                <w:iCs/>
              </w:rPr>
            </w:pPr>
          </w:p>
        </w:tc>
        <w:tc>
          <w:tcPr>
            <w:tcW w:w="1413" w:type="pct"/>
            <w:vMerge/>
            <w:vAlign w:val="center"/>
          </w:tcPr>
          <w:p w14:paraId="2D783B30" w14:textId="77777777" w:rsidR="00574193" w:rsidRDefault="00574193">
            <w:pPr>
              <w:spacing w:line="320" w:lineRule="exact"/>
              <w:rPr>
                <w:rFonts w:ascii="方正仿宋简体" w:eastAsia="方正仿宋简体" w:hAnsiTheme="minorEastAsia" w:cs="方正仿宋简体"/>
                <w:b/>
                <w:iCs/>
              </w:rPr>
            </w:pPr>
          </w:p>
        </w:tc>
        <w:tc>
          <w:tcPr>
            <w:tcW w:w="999" w:type="pct"/>
            <w:vAlign w:val="center"/>
          </w:tcPr>
          <w:p w14:paraId="78836C09"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64D4A009"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2006-07-01</w:t>
            </w:r>
          </w:p>
        </w:tc>
      </w:tr>
    </w:tbl>
    <w:p w14:paraId="1C52C6D8" w14:textId="77777777" w:rsidR="00574193" w:rsidRDefault="00574193">
      <w:pPr>
        <w:spacing w:line="280" w:lineRule="exact"/>
        <w:rPr>
          <w:rFonts w:ascii="方正仿宋简体" w:eastAsia="方正仿宋简体" w:hAnsiTheme="minorEastAsia" w:cs="仿宋_GB2312"/>
          <w:b/>
          <w:kern w:val="0"/>
          <w:szCs w:val="24"/>
        </w:rPr>
      </w:pPr>
    </w:p>
    <w:p w14:paraId="2EA3057E"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F166F04" w14:textId="77777777" w:rsidR="00574193" w:rsidRDefault="00392803">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5AADC7CA" w14:textId="77777777" w:rsidR="00574193" w:rsidRDefault="00392803">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74193" w14:paraId="1443F720" w14:textId="77777777" w:rsidTr="0074096A">
        <w:trPr>
          <w:trHeight w:val="454"/>
        </w:trPr>
        <w:tc>
          <w:tcPr>
            <w:tcW w:w="1228" w:type="pct"/>
            <w:vAlign w:val="center"/>
          </w:tcPr>
          <w:p w14:paraId="57D67A55"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5A1FE293"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本基金采用价值投资策略对沪港深市场进行投资，把握港股通开放政策带来的投资机会，在控制组合净值波动率的前提下，获取基金资产的长期稳健增值。</w:t>
            </w:r>
          </w:p>
        </w:tc>
      </w:tr>
      <w:tr w:rsidR="00574193" w14:paraId="1E7E58A9" w14:textId="77777777" w:rsidTr="0074096A">
        <w:trPr>
          <w:trHeight w:val="454"/>
        </w:trPr>
        <w:tc>
          <w:tcPr>
            <w:tcW w:w="1228" w:type="pct"/>
            <w:vAlign w:val="center"/>
          </w:tcPr>
          <w:p w14:paraId="0E6C3250"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67D2D691"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范围为具有良好流动性的金融工具，包括国内依法发行上市的股票（含主板、中小板、创业板及其他经中国证监会核准上市的股票、存托凭证等）、内地与香港股票市场交易互联互通机制下允许投资的香港联合交易所上市的股票（以下简称“港股通标的股票”）、权证、股指期货、债券（含国债、央行票据、金融债券、企业债券、公司债券、中期票据、短期融资券、超短期融资券、次级债券、政府支持机构债、政府支持债券、地方政府债、可转换债券、可交换债券、中小企业私募债券等）、货币市场工具、资产支持证券、债券回购、银行存款（包括协议存款、定期存款及其他银行存款）、现金以及法律法规或中国证监会允许基金投资的其他金融工具(但须符合中国证监会相关规定)。</w:t>
            </w:r>
          </w:p>
          <w:p w14:paraId="2FE66A1B"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基金的投资组合比例为：股票（含存托凭证）投资比例为基金资产的0%-95%，其中投资于国内依法发行上市的股票的比例占基金资产的0-95%，港股通标的股票的投资比例为基金资产的0-95%；基金持有全部权证的市值不得超过基金资产净值的3%，本基金每个交易日日终在扣除股指期货合约需缴纳的交易保证金后，保持现金或者到期日在一年以内的政府债券不低于基金资产净值的5%，其中，现金不包括结算备付金、存出保证金、应收申购款等。</w:t>
            </w:r>
          </w:p>
          <w:p w14:paraId="3581597D"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如果法律法规或中国证监会变更投资品种的投资比例限制，基金管理人在履行适当程序后，可以调整上述投资品种的投资比例。</w:t>
            </w:r>
          </w:p>
        </w:tc>
      </w:tr>
      <w:tr w:rsidR="00574193" w14:paraId="6059A8E1" w14:textId="77777777" w:rsidTr="0074096A">
        <w:trPr>
          <w:trHeight w:val="454"/>
        </w:trPr>
        <w:tc>
          <w:tcPr>
            <w:tcW w:w="1228" w:type="pct"/>
            <w:vAlign w:val="center"/>
          </w:tcPr>
          <w:p w14:paraId="701C1905"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主要投资策略</w:t>
            </w:r>
          </w:p>
        </w:tc>
        <w:tc>
          <w:tcPr>
            <w:tcW w:w="3772" w:type="pct"/>
            <w:vAlign w:val="center"/>
          </w:tcPr>
          <w:p w14:paraId="00F8B58E"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策略分两个层次：首先是大类资产配置，即根据经济周期决定权益类证券和固定收益类证券的投资比例；其次是个股选择策略和债券投资策略。其中资产配置策略主要是基于对宏观经济周期运行规律的研究予以决策。本基金将通过跟踪宏观经济变量（包括GDP增长率、CPI走势、M2的绝对水平和增长率、利率水平与走势等）以及国家财政、税收、货币、汇率各项政策，来判断经济周期目前的位置以及未来发展方向。在经济周期各阶段，综合对各类宏观经济指标和市场指标的分析，本基金对大类资产进行配置的策略为：在经济复苏期和繁荣期超配股票资产；在经济衰退期和政策刺激阶段，超配债券等固定收益类资产，力争通过资产配置获得部分超额收益；主要投资策略包括：资产配置策略、股票投资策略、债券投资策略、金融衍生品投资策略、资产支持证券的投资策略。金融衍生品投资策略包括权证投资策略、股指期货投资策略。</w:t>
            </w:r>
          </w:p>
        </w:tc>
      </w:tr>
      <w:tr w:rsidR="00574193" w14:paraId="49720038" w14:textId="77777777" w:rsidTr="0074096A">
        <w:trPr>
          <w:trHeight w:val="454"/>
        </w:trPr>
        <w:tc>
          <w:tcPr>
            <w:tcW w:w="1228" w:type="pct"/>
            <w:vAlign w:val="center"/>
          </w:tcPr>
          <w:p w14:paraId="6AB0A497"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15A72CE5"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中债综合财富（总值）指数收益率×40%+沪深300指数收益率×20%+恒生国企指数收益率×40%。</w:t>
            </w:r>
          </w:p>
        </w:tc>
      </w:tr>
      <w:tr w:rsidR="00574193" w14:paraId="5313F5B9" w14:textId="77777777" w:rsidTr="0074096A">
        <w:trPr>
          <w:trHeight w:val="454"/>
        </w:trPr>
        <w:tc>
          <w:tcPr>
            <w:tcW w:w="1228" w:type="pct"/>
            <w:vAlign w:val="center"/>
          </w:tcPr>
          <w:p w14:paraId="357F3292"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6BC3D6CA"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本基金为混合型基金，预期风险和预期收益高于货币市场基金、债券型基金，低于股票型基金，属于证券投资基金中的中高风险/收益品种。</w:t>
            </w:r>
          </w:p>
          <w:p w14:paraId="3E52D56B"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除了投资于A股市场优质企业外，还可在法律法规规定的范围内投资香港联合交易所上市的股票。除了需要承担与境内证券投资基金类似的市场波动风险等一般投资风险之外，本基金还面临汇率风险、香港市场风险等境外证券市场投资所面临的特别投资风险。</w:t>
            </w:r>
          </w:p>
        </w:tc>
      </w:tr>
    </w:tbl>
    <w:p w14:paraId="413E559E" w14:textId="77777777" w:rsidR="00574193" w:rsidRDefault="00574193">
      <w:pPr>
        <w:spacing w:line="320" w:lineRule="exact"/>
        <w:rPr>
          <w:rFonts w:ascii="方正仿宋简体" w:eastAsia="方正仿宋简体" w:hAnsiTheme="minorEastAsia" w:cs="仿宋_GB2312"/>
          <w:kern w:val="0"/>
          <w:szCs w:val="24"/>
        </w:rPr>
      </w:pPr>
    </w:p>
    <w:p w14:paraId="0F675BCD" w14:textId="77777777" w:rsidR="00574193" w:rsidRDefault="00392803">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0B39934E" w14:textId="77777777" w:rsidR="00574193" w:rsidRDefault="00392803">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AD4C3EB" w14:textId="77777777" w:rsidR="00574193" w:rsidRDefault="00392803">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62795E95" wp14:editId="652E6A4B">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3201A838" w14:textId="77777777" w:rsidR="00574193" w:rsidRDefault="00392803">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18306646" w14:textId="77777777" w:rsidR="00574193" w:rsidRDefault="00392803">
      <w:pPr>
        <w:jc w:val="center"/>
        <w:rPr>
          <w:rFonts w:ascii="方正仿宋简体" w:eastAsia="方正仿宋简体" w:hAnsiTheme="minorEastAsia"/>
        </w:rPr>
      </w:pPr>
      <w:r>
        <w:rPr>
          <w:rFonts w:ascii="方正仿宋简体" w:eastAsia="方正仿宋简体" w:hAnsiTheme="minorEastAsia" w:hint="eastAsia"/>
          <w:noProof/>
        </w:rPr>
        <w:lastRenderedPageBreak/>
        <w:drawing>
          <wp:inline distT="0" distB="0" distL="0" distR="0" wp14:anchorId="768406BD" wp14:editId="42036F54">
            <wp:extent cx="3960000" cy="2315709"/>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379F953B" w14:textId="77777777" w:rsidR="00574193" w:rsidRDefault="00392803">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注：基金的过往业绩不代表未来表现。本基金的基金合同于2017年01月25日生效，合同生效当年按实际存续期计算，不按整个自然年度进行折算。</w:t>
      </w:r>
    </w:p>
    <w:p w14:paraId="2CAF0B86" w14:textId="77777777" w:rsidR="00574193" w:rsidRDefault="00574193">
      <w:pPr>
        <w:spacing w:line="280" w:lineRule="exact"/>
        <w:ind w:firstLine="420"/>
        <w:rPr>
          <w:rFonts w:ascii="方正仿宋简体" w:eastAsia="方正仿宋简体" w:hAnsi="方正仿宋简体" w:cs="方正仿宋简体"/>
          <w:iCs/>
        </w:rPr>
      </w:pPr>
    </w:p>
    <w:p w14:paraId="5259CCED"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A17713E" w14:textId="77777777" w:rsidR="00574193" w:rsidRDefault="00392803">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333CAA17" w14:textId="77777777" w:rsidR="00574193" w:rsidRDefault="00392803">
      <w:pPr>
        <w:autoSpaceDE w:val="0"/>
        <w:autoSpaceDN w:val="0"/>
        <w:adjustRightInd w:val="0"/>
        <w:spacing w:line="320" w:lineRule="exact"/>
        <w:jc w:val="left"/>
        <w:rPr>
          <w:rFonts w:ascii="方正仿宋简体" w:eastAsia="方正仿宋简体"/>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75"/>
        <w:gridCol w:w="4088"/>
        <w:gridCol w:w="2489"/>
        <w:gridCol w:w="1130"/>
      </w:tblGrid>
      <w:tr w:rsidR="00574193" w14:paraId="29FDA5CD" w14:textId="77777777" w:rsidTr="0074096A">
        <w:trPr>
          <w:trHeight w:val="454"/>
        </w:trPr>
        <w:tc>
          <w:tcPr>
            <w:tcW w:w="1392" w:type="pct"/>
            <w:vAlign w:val="center"/>
          </w:tcPr>
          <w:p w14:paraId="337A1C36"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13" w:type="pct"/>
            <w:vAlign w:val="center"/>
          </w:tcPr>
          <w:p w14:paraId="6E990D0B"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00965F81"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5" w:type="pct"/>
            <w:vAlign w:val="center"/>
          </w:tcPr>
          <w:p w14:paraId="23DA78C2"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29" w:type="pct"/>
            <w:vAlign w:val="center"/>
          </w:tcPr>
          <w:p w14:paraId="0F577A5B"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74193" w14:paraId="3A43875D" w14:textId="77777777" w:rsidTr="0074096A">
        <w:trPr>
          <w:trHeight w:val="454"/>
        </w:trPr>
        <w:tc>
          <w:tcPr>
            <w:tcW w:w="1392" w:type="pct"/>
            <w:vMerge w:val="restart"/>
            <w:vAlign w:val="center"/>
          </w:tcPr>
          <w:p w14:paraId="47AEAEF0"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137A0D2C"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M &lt; 100万元</w:t>
            </w:r>
          </w:p>
        </w:tc>
        <w:tc>
          <w:tcPr>
            <w:tcW w:w="1165" w:type="pct"/>
            <w:vAlign w:val="center"/>
          </w:tcPr>
          <w:p w14:paraId="4C581E9C"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1.50%  </w:t>
            </w:r>
          </w:p>
        </w:tc>
        <w:tc>
          <w:tcPr>
            <w:tcW w:w="529" w:type="pct"/>
            <w:vAlign w:val="center"/>
          </w:tcPr>
          <w:p w14:paraId="6B9B2767"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4C992A43" w14:textId="77777777" w:rsidTr="0074096A">
        <w:trPr>
          <w:trHeight w:val="454"/>
        </w:trPr>
        <w:tc>
          <w:tcPr>
            <w:tcW w:w="1392" w:type="pct"/>
            <w:vMerge/>
            <w:vAlign w:val="center"/>
          </w:tcPr>
          <w:p w14:paraId="0AD24EE1"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4128BB85"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100万元 ≤ M &lt; 300万元</w:t>
            </w:r>
          </w:p>
        </w:tc>
        <w:tc>
          <w:tcPr>
            <w:tcW w:w="1165" w:type="pct"/>
            <w:vAlign w:val="center"/>
          </w:tcPr>
          <w:p w14:paraId="52AEB67B"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1.00%  </w:t>
            </w:r>
          </w:p>
        </w:tc>
        <w:tc>
          <w:tcPr>
            <w:tcW w:w="529" w:type="pct"/>
            <w:vAlign w:val="center"/>
          </w:tcPr>
          <w:p w14:paraId="139B6C5F"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653D7761" w14:textId="77777777" w:rsidTr="0074096A">
        <w:trPr>
          <w:trHeight w:val="454"/>
        </w:trPr>
        <w:tc>
          <w:tcPr>
            <w:tcW w:w="1392" w:type="pct"/>
            <w:vMerge/>
            <w:vAlign w:val="center"/>
          </w:tcPr>
          <w:p w14:paraId="2AF73D8F"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6A015C08"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300万元 ≤ M &lt; 500万元</w:t>
            </w:r>
          </w:p>
        </w:tc>
        <w:tc>
          <w:tcPr>
            <w:tcW w:w="1165" w:type="pct"/>
            <w:vAlign w:val="center"/>
          </w:tcPr>
          <w:p w14:paraId="51348AE1"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0.60%  </w:t>
            </w:r>
          </w:p>
        </w:tc>
        <w:tc>
          <w:tcPr>
            <w:tcW w:w="529" w:type="pct"/>
            <w:vAlign w:val="center"/>
          </w:tcPr>
          <w:p w14:paraId="67C0A9C2"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2344F5C4" w14:textId="77777777" w:rsidTr="0074096A">
        <w:trPr>
          <w:trHeight w:val="454"/>
        </w:trPr>
        <w:tc>
          <w:tcPr>
            <w:tcW w:w="1392" w:type="pct"/>
            <w:vMerge/>
            <w:vAlign w:val="center"/>
          </w:tcPr>
          <w:p w14:paraId="0219A067"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2C2B52EE"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M ≥ 500万元</w:t>
            </w:r>
          </w:p>
        </w:tc>
        <w:tc>
          <w:tcPr>
            <w:tcW w:w="1165" w:type="pct"/>
            <w:vAlign w:val="center"/>
          </w:tcPr>
          <w:p w14:paraId="15194131"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1000元/笔</w:t>
            </w:r>
          </w:p>
        </w:tc>
        <w:tc>
          <w:tcPr>
            <w:tcW w:w="529" w:type="pct"/>
            <w:vAlign w:val="center"/>
          </w:tcPr>
          <w:p w14:paraId="04E6BF49"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7D80AA31" w14:textId="77777777" w:rsidTr="0074096A">
        <w:trPr>
          <w:trHeight w:val="454"/>
        </w:trPr>
        <w:tc>
          <w:tcPr>
            <w:tcW w:w="1392" w:type="pct"/>
            <w:vMerge w:val="restart"/>
            <w:vAlign w:val="center"/>
          </w:tcPr>
          <w:p w14:paraId="2695D8F5"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5DB0F7FC"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&lt; 7天 </w:t>
            </w:r>
          </w:p>
        </w:tc>
        <w:tc>
          <w:tcPr>
            <w:tcW w:w="1165" w:type="pct"/>
            <w:vAlign w:val="center"/>
          </w:tcPr>
          <w:p w14:paraId="6926553D"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1.50%  </w:t>
            </w:r>
          </w:p>
        </w:tc>
        <w:tc>
          <w:tcPr>
            <w:tcW w:w="529" w:type="pct"/>
            <w:vAlign w:val="center"/>
          </w:tcPr>
          <w:p w14:paraId="7EA0E511"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574193" w14:paraId="29D89699" w14:textId="77777777" w:rsidTr="0074096A">
        <w:trPr>
          <w:trHeight w:val="454"/>
        </w:trPr>
        <w:tc>
          <w:tcPr>
            <w:tcW w:w="1392" w:type="pct"/>
            <w:vMerge/>
            <w:vAlign w:val="center"/>
          </w:tcPr>
          <w:p w14:paraId="2795140E"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D2F2B3D"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7天 ≤ N &lt; 30天 </w:t>
            </w:r>
          </w:p>
        </w:tc>
        <w:tc>
          <w:tcPr>
            <w:tcW w:w="1165" w:type="pct"/>
            <w:vAlign w:val="center"/>
          </w:tcPr>
          <w:p w14:paraId="359A87F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0.75%  </w:t>
            </w:r>
          </w:p>
        </w:tc>
        <w:tc>
          <w:tcPr>
            <w:tcW w:w="529" w:type="pct"/>
            <w:vAlign w:val="center"/>
          </w:tcPr>
          <w:p w14:paraId="045E1F04"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574193" w14:paraId="6E6CF2AA" w14:textId="77777777" w:rsidTr="0074096A">
        <w:trPr>
          <w:trHeight w:val="454"/>
        </w:trPr>
        <w:tc>
          <w:tcPr>
            <w:tcW w:w="1392" w:type="pct"/>
            <w:vMerge/>
            <w:vAlign w:val="center"/>
          </w:tcPr>
          <w:p w14:paraId="7516439F"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722D150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30天 ≤ N &lt; 90天 </w:t>
            </w:r>
          </w:p>
        </w:tc>
        <w:tc>
          <w:tcPr>
            <w:tcW w:w="1165" w:type="pct"/>
            <w:vAlign w:val="center"/>
          </w:tcPr>
          <w:p w14:paraId="468BDD7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0.50%  </w:t>
            </w:r>
          </w:p>
        </w:tc>
        <w:tc>
          <w:tcPr>
            <w:tcW w:w="529" w:type="pct"/>
            <w:vAlign w:val="center"/>
          </w:tcPr>
          <w:p w14:paraId="7EBB31A8"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至少75%计入资产</w:t>
            </w:r>
          </w:p>
        </w:tc>
      </w:tr>
      <w:tr w:rsidR="00574193" w14:paraId="710147F0" w14:textId="77777777" w:rsidTr="0074096A">
        <w:trPr>
          <w:trHeight w:val="454"/>
        </w:trPr>
        <w:tc>
          <w:tcPr>
            <w:tcW w:w="1392" w:type="pct"/>
            <w:vMerge/>
            <w:vAlign w:val="center"/>
          </w:tcPr>
          <w:p w14:paraId="64A64EAE"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5B254AD7"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90天 ≤ N &lt; 180天 </w:t>
            </w:r>
          </w:p>
        </w:tc>
        <w:tc>
          <w:tcPr>
            <w:tcW w:w="1165" w:type="pct"/>
            <w:vAlign w:val="center"/>
          </w:tcPr>
          <w:p w14:paraId="40B50DF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0.50%  </w:t>
            </w:r>
          </w:p>
        </w:tc>
        <w:tc>
          <w:tcPr>
            <w:tcW w:w="529" w:type="pct"/>
            <w:vAlign w:val="center"/>
          </w:tcPr>
          <w:p w14:paraId="7CE4CFB5"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至少50%计入资产</w:t>
            </w:r>
          </w:p>
        </w:tc>
      </w:tr>
      <w:tr w:rsidR="00574193" w14:paraId="7C9B92C6" w14:textId="77777777" w:rsidTr="0074096A">
        <w:trPr>
          <w:trHeight w:val="454"/>
        </w:trPr>
        <w:tc>
          <w:tcPr>
            <w:tcW w:w="1392" w:type="pct"/>
            <w:vMerge/>
            <w:vAlign w:val="center"/>
          </w:tcPr>
          <w:p w14:paraId="5931C5AF"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6579C26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 180天 </w:t>
            </w:r>
          </w:p>
        </w:tc>
        <w:tc>
          <w:tcPr>
            <w:tcW w:w="1165" w:type="pct"/>
            <w:vAlign w:val="center"/>
          </w:tcPr>
          <w:p w14:paraId="0B231474"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0.00%  </w:t>
            </w:r>
          </w:p>
        </w:tc>
        <w:tc>
          <w:tcPr>
            <w:tcW w:w="529" w:type="pct"/>
            <w:vAlign w:val="center"/>
          </w:tcPr>
          <w:p w14:paraId="5BD45A5D" w14:textId="77777777" w:rsidR="00574193" w:rsidRDefault="00574193">
            <w:pPr>
              <w:spacing w:line="320" w:lineRule="exact"/>
              <w:jc w:val="center"/>
              <w:rPr>
                <w:rFonts w:ascii="方正仿宋简体" w:eastAsia="方正仿宋简体" w:hAnsi="方正仿宋简体" w:cs="方正仿宋简体"/>
                <w:bCs/>
                <w:iCs/>
              </w:rPr>
            </w:pPr>
          </w:p>
        </w:tc>
      </w:tr>
    </w:tbl>
    <w:p w14:paraId="4C0E2518" w14:textId="77777777" w:rsidR="00574193" w:rsidRDefault="00392803">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60631BF9" w14:textId="77777777" w:rsidR="00574193" w:rsidRDefault="00574193">
      <w:pPr>
        <w:spacing w:line="320" w:lineRule="exact"/>
        <w:rPr>
          <w:rFonts w:ascii="方正仿宋简体" w:eastAsia="方正仿宋简体" w:hAnsiTheme="minorEastAsia" w:cs="方正仿宋简体"/>
          <w:b/>
          <w:iCs/>
          <w:sz w:val="24"/>
          <w:szCs w:val="24"/>
        </w:rPr>
      </w:pPr>
    </w:p>
    <w:p w14:paraId="55351ADD" w14:textId="77777777" w:rsidR="00574193" w:rsidRDefault="00392803">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71547057" w14:textId="77777777" w:rsidR="00574193" w:rsidRDefault="00392803">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74193" w14:paraId="09DD2EEE" w14:textId="77777777" w:rsidTr="00A1474F">
        <w:trPr>
          <w:trHeight w:val="454"/>
        </w:trPr>
        <w:tc>
          <w:tcPr>
            <w:tcW w:w="1477" w:type="pct"/>
            <w:vAlign w:val="center"/>
          </w:tcPr>
          <w:p w14:paraId="4F66B490" w14:textId="77777777" w:rsidR="00574193" w:rsidRDefault="00392803">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3229D500"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74193" w14:paraId="6446898F" w14:textId="77777777" w:rsidTr="00A1474F">
        <w:trPr>
          <w:trHeight w:val="454"/>
        </w:trPr>
        <w:tc>
          <w:tcPr>
            <w:tcW w:w="1477" w:type="pct"/>
            <w:vAlign w:val="center"/>
          </w:tcPr>
          <w:p w14:paraId="055E1058" w14:textId="77777777" w:rsidR="00574193" w:rsidRDefault="00392803">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04A5B61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74193" w14:paraId="3B46A638" w14:textId="77777777" w:rsidTr="00A1474F">
        <w:trPr>
          <w:trHeight w:val="454"/>
        </w:trPr>
        <w:tc>
          <w:tcPr>
            <w:tcW w:w="1477" w:type="pct"/>
            <w:vAlign w:val="center"/>
          </w:tcPr>
          <w:p w14:paraId="2A01FEC6" w14:textId="77777777" w:rsidR="00574193" w:rsidRDefault="00392803">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2997AFF9" w14:textId="77777777" w:rsidR="00574193" w:rsidRDefault="00392803">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74193" w14:paraId="2FAEF062" w14:textId="77777777" w:rsidTr="00A1474F">
        <w:trPr>
          <w:trHeight w:val="454"/>
        </w:trPr>
        <w:tc>
          <w:tcPr>
            <w:tcW w:w="1477" w:type="pct"/>
            <w:vAlign w:val="center"/>
          </w:tcPr>
          <w:p w14:paraId="6D629DDF" w14:textId="77777777" w:rsidR="00574193" w:rsidRDefault="00392803">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lastRenderedPageBreak/>
              <w:t>其他费用</w:t>
            </w:r>
          </w:p>
        </w:tc>
        <w:tc>
          <w:tcPr>
            <w:tcW w:w="3523" w:type="pct"/>
            <w:vAlign w:val="center"/>
          </w:tcPr>
          <w:p w14:paraId="7B4F63A7" w14:textId="77777777" w:rsidR="00574193" w:rsidRDefault="00392803">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基金合同》生效后与基金相关的会计师费、律师费、仲裁费和诉讼费；基金份额持有人大会费用；基金的证券交易费用；基金的银行汇划费用；账户开户费用、账户维护费用等。 </w:t>
            </w:r>
          </w:p>
        </w:tc>
      </w:tr>
    </w:tbl>
    <w:p w14:paraId="6548BD09" w14:textId="77777777" w:rsidR="00574193" w:rsidRDefault="00392803">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3288EF84" w14:textId="77777777" w:rsidR="00574193" w:rsidRDefault="00574193">
      <w:pPr>
        <w:autoSpaceDE w:val="0"/>
        <w:autoSpaceDN w:val="0"/>
        <w:adjustRightInd w:val="0"/>
        <w:spacing w:line="280" w:lineRule="exact"/>
        <w:jc w:val="left"/>
        <w:rPr>
          <w:rFonts w:ascii="方正仿宋简体" w:eastAsia="方正仿宋简体" w:hAnsiTheme="minorEastAsia" w:cs="仿宋_GB2312"/>
          <w:kern w:val="0"/>
          <w:szCs w:val="24"/>
        </w:rPr>
      </w:pPr>
    </w:p>
    <w:p w14:paraId="4A596E59"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63EB2C8A" w14:textId="3541B462" w:rsidR="00574193" w:rsidRDefault="00392803">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3FE88B99"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348A35E0" w14:textId="574051E2"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0188CAA"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775AB2D5"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1、本基金特有风险揭示</w:t>
      </w:r>
    </w:p>
    <w:p w14:paraId="6D8B8DC9"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（1）港股通机制下，港股投资风险</w:t>
      </w:r>
    </w:p>
    <w:p w14:paraId="1DCB5454"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除了投资于A股市场优质企业外，还可在法律法规规定的范围内投资内地与香港股票市场交易互联互通机制下允许投资的香港联合交易所上市的股票。除了需要承担与境内证券投资基金类似的市场波动风险等一般投资风险之外，本基金还面临汇率风险、香港市场风险等境外证券市场投资所面临的特别投资风险。</w:t>
      </w:r>
    </w:p>
    <w:p w14:paraId="1C6EDB2E"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基金名称仅表明基金可以通过港股通机制投资港股，本基金可根据投资策略需要或不同配置地市场环境的变化，选择将部分基金资产投资于港股或选择不将基金资产投资于港股，基金资产并非必然投资港股。</w:t>
      </w:r>
    </w:p>
    <w:p w14:paraId="63DB442F"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（2）中小企业私募债券投资风险</w:t>
      </w:r>
    </w:p>
    <w:p w14:paraId="6DD39C0F"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中小企业私募债券，中小企业私募债是根据相关法律法规由非上市中小企业采用非公开方式发行的债券。中小企业私募债的风险主要包括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可能会给基金净值带来一定的负面影响和损失。</w:t>
      </w:r>
    </w:p>
    <w:p w14:paraId="6A16D53F"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（3）股指期货投资风险</w:t>
      </w:r>
    </w:p>
    <w:p w14:paraId="08FFBE03"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14:paraId="562930B0"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（4）投资于存托凭证的风险</w:t>
      </w:r>
    </w:p>
    <w:p w14:paraId="053DA13D"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285F57B6"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58D92A20" w14:textId="77777777" w:rsidR="00574193" w:rsidRDefault="00392803">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1E31FBB2"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14:paraId="6CB49D95"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lastRenderedPageBreak/>
        <w:t>基金管理人依照恪尽职守、诚实信用、谨慎勤勉的原则管理和运用基金财产，但不保证基金一定盈利，也不保证最低收益</w:t>
      </w:r>
    </w:p>
    <w:p w14:paraId="680E4D5F"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07BB1340"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7E91AEFB" w14:textId="77777777" w:rsidR="00574193" w:rsidRDefault="00574193">
      <w:pPr>
        <w:autoSpaceDE w:val="0"/>
        <w:autoSpaceDN w:val="0"/>
        <w:adjustRightInd w:val="0"/>
        <w:spacing w:line="280" w:lineRule="exact"/>
        <w:jc w:val="left"/>
        <w:rPr>
          <w:rFonts w:ascii="方正仿宋简体" w:eastAsia="方正仿宋简体"/>
        </w:rPr>
      </w:pPr>
    </w:p>
    <w:p w14:paraId="35F2D2CA"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3F8D4FBF"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2EDE3AA5"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1E7C8EDB"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2B8122E7"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1424CC5D"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62C0DA75"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2B392D5A" w14:textId="77777777" w:rsidR="00574193" w:rsidRDefault="00574193">
      <w:pPr>
        <w:autoSpaceDE w:val="0"/>
        <w:autoSpaceDN w:val="0"/>
        <w:adjustRightInd w:val="0"/>
        <w:spacing w:line="280" w:lineRule="exact"/>
        <w:jc w:val="left"/>
        <w:rPr>
          <w:rFonts w:ascii="方正仿宋简体" w:eastAsia="方正仿宋简体"/>
        </w:rPr>
      </w:pPr>
    </w:p>
    <w:p w14:paraId="4B8D9CCD"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12C54CC7"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争议解决方式：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1B89B012" w14:textId="77777777" w:rsidR="00574193" w:rsidRDefault="00574193">
      <w:pPr>
        <w:spacing w:line="320" w:lineRule="exact"/>
        <w:ind w:firstLine="420"/>
        <w:rPr>
          <w:rFonts w:ascii="方正仿宋简体" w:eastAsia="方正仿宋简体" w:hAnsi="方正仿宋简体" w:cs="方正仿宋简体"/>
          <w:iCs/>
        </w:rPr>
      </w:pPr>
    </w:p>
    <w:p w14:paraId="0C3455CB" w14:textId="77777777" w:rsidR="00574193" w:rsidRDefault="00574193">
      <w:pPr>
        <w:spacing w:line="320" w:lineRule="exact"/>
        <w:ind w:firstLine="420"/>
        <w:rPr>
          <w:rFonts w:ascii="方正仿宋简体" w:eastAsia="方正仿宋简体" w:hAnsi="方正仿宋简体" w:cs="方正仿宋简体"/>
          <w:iCs/>
        </w:rPr>
      </w:pPr>
    </w:p>
    <w:p w14:paraId="4ECC0983" w14:textId="77777777" w:rsidR="00574193" w:rsidRDefault="00574193">
      <w:pPr>
        <w:spacing w:line="320" w:lineRule="exact"/>
        <w:ind w:firstLine="420"/>
        <w:rPr>
          <w:rFonts w:ascii="方正仿宋简体" w:eastAsia="方正仿宋简体" w:hAnsi="方正仿宋简体" w:cs="方正仿宋简体"/>
          <w:iCs/>
        </w:rPr>
      </w:pPr>
    </w:p>
    <w:p w14:paraId="0495CC59" w14:textId="77777777" w:rsidR="00574193" w:rsidRDefault="00574193">
      <w:pPr>
        <w:spacing w:line="320" w:lineRule="exact"/>
        <w:ind w:firstLine="420"/>
        <w:rPr>
          <w:rFonts w:ascii="方正仿宋简体" w:eastAsia="方正仿宋简体" w:hAnsi="方正仿宋简体" w:cs="方正仿宋简体"/>
          <w:iCs/>
        </w:rPr>
      </w:pPr>
    </w:p>
    <w:p w14:paraId="361F1BC6" w14:textId="77777777" w:rsidR="00574193" w:rsidRDefault="00574193">
      <w:pPr>
        <w:autoSpaceDE w:val="0"/>
        <w:autoSpaceDN w:val="0"/>
        <w:adjustRightInd w:val="0"/>
        <w:spacing w:line="280" w:lineRule="exact"/>
        <w:jc w:val="left"/>
      </w:pPr>
    </w:p>
    <w:sectPr w:rsidR="00574193" w:rsidSect="00B72E85">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4F09B" w14:textId="77777777" w:rsidR="00CF4D28" w:rsidRDefault="00CF4D28" w:rsidP="0092395F">
      <w:r>
        <w:separator/>
      </w:r>
    </w:p>
  </w:endnote>
  <w:endnote w:type="continuationSeparator" w:id="0">
    <w:p w14:paraId="6F04A7AE" w14:textId="77777777" w:rsidR="00CF4D28" w:rsidRDefault="00CF4D28"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65937DC3" w14:textId="32EA97AB" w:rsidR="005C64D0" w:rsidRDefault="005C64D0"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73A7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73A7F">
              <w:rPr>
                <w:b/>
                <w:bCs/>
                <w:noProof/>
              </w:rPr>
              <w:t>5</w:t>
            </w:r>
            <w:r>
              <w:rPr>
                <w:b/>
                <w:bCs/>
                <w:sz w:val="24"/>
                <w:szCs w:val="24"/>
              </w:rPr>
              <w:fldChar w:fldCharType="end"/>
            </w:r>
          </w:p>
        </w:sdtContent>
      </w:sdt>
    </w:sdtContent>
  </w:sdt>
  <w:p w14:paraId="664C972D" w14:textId="77777777" w:rsidR="005C64D0" w:rsidRDefault="005C64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09D1" w14:textId="77777777" w:rsidR="00CF4D28" w:rsidRDefault="00CF4D28" w:rsidP="0092395F">
      <w:r>
        <w:separator/>
      </w:r>
    </w:p>
  </w:footnote>
  <w:footnote w:type="continuationSeparator" w:id="0">
    <w:p w14:paraId="492DF488" w14:textId="77777777" w:rsidR="00CF4D28" w:rsidRDefault="00CF4D28"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B1268D"/>
    <w:multiLevelType w:val="hybridMultilevel"/>
    <w:tmpl w:val="B9487AA4"/>
    <w:lvl w:ilvl="0" w:tplc="7B18DF2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C21FE0E"/>
    <w:multiLevelType w:val="singleLevel"/>
    <w:tmpl w:val="5C21FE0E"/>
    <w:lvl w:ilvl="0">
      <w:start w:val="2"/>
      <w:numFmt w:val="chineseCounting"/>
      <w:suff w:val="nothing"/>
      <w:lvlText w:val="（%1）"/>
      <w:lvlJc w:val="left"/>
    </w:lvl>
  </w:abstractNum>
  <w:abstractNum w:abstractNumId="16"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3"/>
  </w:num>
  <w:num w:numId="14">
    <w:abstractNumId w:val="4"/>
  </w:num>
  <w:num w:numId="15">
    <w:abstractNumId w:val="21"/>
  </w:num>
  <w:num w:numId="16">
    <w:abstractNumId w:val="7"/>
  </w:num>
  <w:num w:numId="17">
    <w:abstractNumId w:val="16"/>
  </w:num>
  <w:num w:numId="18">
    <w:abstractNumId w:val="9"/>
  </w:num>
  <w:num w:numId="19">
    <w:abstractNumId w:val="12"/>
  </w:num>
  <w:num w:numId="20">
    <w:abstractNumId w:val="1"/>
  </w:num>
  <w:num w:numId="21">
    <w:abstractNumId w:val="6"/>
  </w:num>
  <w:num w:numId="22">
    <w:abstractNumId w:val="11"/>
  </w:num>
  <w:num w:numId="23">
    <w:abstractNumId w:val="17"/>
  </w:num>
  <w:num w:numId="24">
    <w:abstractNumId w:val="19"/>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2803"/>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3A7F"/>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4193"/>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90B"/>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47D"/>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259"/>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69F8"/>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426"/>
    <w:rsid w:val="00B67B4E"/>
    <w:rsid w:val="00B67BD4"/>
    <w:rsid w:val="00B70E27"/>
    <w:rsid w:val="00B72E85"/>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6D57"/>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104E"/>
    <w:rsid w:val="00CF233D"/>
    <w:rsid w:val="00CF3DA5"/>
    <w:rsid w:val="00CF402B"/>
    <w:rsid w:val="00CF4D28"/>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A76DD"/>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2643B"/>
  <w15:docId w15:val="{182ECD05-85EC-4F77-A885-A6B2E22E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17557"/>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0E8E"/>
    <w:rsid w:val="00CB1B6B"/>
    <w:rsid w:val="00CC1AAA"/>
    <w:rsid w:val="00CE6AB0"/>
    <w:rsid w:val="00CF0507"/>
    <w:rsid w:val="00CF5CDA"/>
    <w:rsid w:val="00D0728A"/>
    <w:rsid w:val="00D260CA"/>
    <w:rsid w:val="00D30032"/>
    <w:rsid w:val="00D376AC"/>
    <w:rsid w:val="00D407BB"/>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B2D5-5039-49ED-BF4A-BEE7D7DD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3819</Characters>
  <Application>Microsoft Office Word</Application>
  <DocSecurity>0</DocSecurity>
  <Lines>31</Lines>
  <Paragraphs>8</Paragraphs>
  <ScaleCrop>false</ScaleCrop>
  <Company>shenduxitong</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钱令希</cp:lastModifiedBy>
  <cp:revision>4</cp:revision>
  <dcterms:created xsi:type="dcterms:W3CDTF">2020-09-04T10:05:00Z</dcterms:created>
  <dcterms:modified xsi:type="dcterms:W3CDTF">2020-10-15T07:23:00Z</dcterms:modified>
</cp:coreProperties>
</file>