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博时量化平衡混合型证券投资基金基金产品资料概要更新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作出投资决定前，请阅读完整的招募说明书等销售文件。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博时量化平衡混合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004495</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中国工商银行股份有限公司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2017-05-04</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黄瑞庆</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2017-05-04</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2002-07-01</w:t>
            </w:r>
          </w:p>
        </w:tc>
      </w:tr>
      <w:tr w:rsidR="005D6F21" w14:paraId="5FBB3A27" w14:textId="77777777" w:rsidTr="005F360D">
        <w:trPr>
          <w:trHeight w:val="454"/>
        </w:trPr>
        <w:tc>
          <w:tcPr>
            <w:tcW w:w="1145" w:type="pct"/>
            <w:vMerge/>
            <w:vAlign w:val="center"/>
          </w:tcPr>
          <w:p w14:paraId="0863858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6D055C5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林景艺</w:t>
            </w:r>
          </w:p>
        </w:tc>
        <w:tc>
          <w:tcPr>
            <w:tcW w:w="999" w:type="pct"/>
            <w:vAlign w:val="center"/>
          </w:tcPr>
          <w:p w14:paraId="01B42B1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77E678F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2017-05-04</w:t>
            </w:r>
          </w:p>
        </w:tc>
      </w:tr>
      <w:tr w:rsidR="005D6F21" w14:paraId="5838E203" w14:textId="77777777" w:rsidTr="005F360D">
        <w:trPr>
          <w:trHeight w:val="454"/>
        </w:trPr>
        <w:tc>
          <w:tcPr>
            <w:tcW w:w="1145" w:type="pct"/>
            <w:vMerge/>
            <w:vAlign w:val="center"/>
          </w:tcPr>
          <w:p w14:paraId="2CB2D159"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6315FB60"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D598CF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4F8263B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2010-07-12</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本基金采用平衡型配置，严格控制最大回撤，基于多个逻辑不同的量化择时策略，最大程度地去过滤下跌，减少回撤，力争获取长期相对稳定的收益。</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A0167EF"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于依法发行或上市的股票（包含中小板、创业板及其他经中国证监会核准上市的股票、存托凭证）、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w:t>
            </w:r>
          </w:p>
          <w:p w14:paraId="74336646"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bookmarkStart w:id="0" w:name="_GoBack"/>
            <w:bookmarkEnd w:id="0"/>
            <w:r>
              <w:rPr>
                <w:rFonts w:ascii="方正仿宋简体" w:eastAsia="方正仿宋简体" w:hAnsiTheme="minorEastAsia" w:cs="仿宋_GB2312" w:hint="eastAsia"/>
                <w:kern w:val="0"/>
                <w:szCs w:val="24"/>
              </w:rPr>
              <w:t>基金的投资组合比例为：股票（含存托凭证）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w:t>
            </w:r>
          </w:p>
          <w:p w14:paraId="72E778BF"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量化多策略体系是在大类资产配置策略的基础之上，基于多因子模型、事件驱动类策略以及量化择时模型等多种量化策略进行择时和选股，并同时运用股指期货进行适量系统性风险对冲的绝对收益策略体系。主要包括：1、大类资产配置策略，本基金的大类资产配置策略主要是基于对宏观经济周期运行规律的研究予以决策，根据经济周期决定股票资产和债券资产的投资比例，以实现股债的平衡配置；2、量化择时</w:t>
            </w:r>
            <w:r>
              <w:rPr>
                <w:rFonts w:ascii="方正仿宋简体" w:eastAsia="方正仿宋简体" w:hAnsiTheme="minorEastAsia" w:cs="仿宋_GB2312" w:hint="eastAsia"/>
                <w:kern w:val="0"/>
                <w:szCs w:val="24"/>
              </w:rPr>
              <w:lastRenderedPageBreak/>
              <w:t>策略，博时基金的量化多策略择时体系以择时策略的多逻辑、多期限以及多品种为目标进行设计和开发，在各品种上综合考虑基本面和市场面的择时模型，从而形成对品种的长、中、短期趋势和方向的判断。基金经理根据市场的实际情况，综合前瞻性地运用各种择时策略进行操作；3、量化选股策略，博时的量化选股策略体系包括基本面策略、市场面策略以及基本面和市场面结合的策略，各个策略自成体系，具有各自的投资逻辑和风险特征；4、其他投资策略包括：债券投资策略、权证投资策略、资产支持证券的投资策略、股指期货投资策略、国债期货投资策略、融资融券交易策略、存托凭证投资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沪深300指数收益率×20%+中债综合指数（总财富）收益率×80%。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本基金是混合型证券投资基金，其预期收益和预期风险水平高于债券型基金产品和货币市场基金，低于股票型基金，属于中高预期风险、中高预期收益的基金产品。</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7DEAAB4C"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35103830"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本基金的基金合同于2017年5月4日生效，合同生效当年按实际存续期计算，不按整个自然年度进行折算。</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4FA73E6B" w14:textId="77777777" w:rsidTr="0074096A">
        <w:trPr>
          <w:trHeight w:val="454"/>
        </w:trPr>
        <w:tc>
          <w:tcPr>
            <w:tcW w:w="1371" w:type="pct"/>
            <w:vMerge/>
            <w:vAlign w:val="center"/>
          </w:tcPr>
          <w:p w14:paraId="4A486C91"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779DC6D"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790A350F"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17A27D22" w14:textId="77777777" w:rsidR="005D6F21" w:rsidRDefault="005D6F21">
            <w:pPr>
              <w:spacing w:line="320" w:lineRule="exact"/>
              <w:jc w:val="center"/>
              <w:rPr>
                <w:rFonts w:ascii="方正仿宋简体" w:eastAsia="方正仿宋简体" w:hAnsi="宋体"/>
                <w:color w:val="0000FF"/>
                <w:kern w:val="0"/>
              </w:rPr>
            </w:pPr>
          </w:p>
        </w:tc>
      </w:tr>
      <w:tr w:rsidR="005D6F21" w14:paraId="552D014B" w14:textId="77777777" w:rsidTr="0074096A">
        <w:trPr>
          <w:trHeight w:val="454"/>
        </w:trPr>
        <w:tc>
          <w:tcPr>
            <w:tcW w:w="1371" w:type="pct"/>
            <w:vMerge/>
            <w:vAlign w:val="center"/>
          </w:tcPr>
          <w:p w14:paraId="5E126A2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37E7D5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500万元 ≤ M &lt; 1,000万元</w:t>
            </w:r>
          </w:p>
        </w:tc>
        <w:tc>
          <w:tcPr>
            <w:tcW w:w="1164" w:type="pct"/>
            <w:vAlign w:val="center"/>
          </w:tcPr>
          <w:p w14:paraId="269AFDB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0.80%  </w:t>
            </w:r>
          </w:p>
        </w:tc>
        <w:tc>
          <w:tcPr>
            <w:tcW w:w="503" w:type="pct"/>
            <w:vAlign w:val="center"/>
          </w:tcPr>
          <w:p w14:paraId="23036B02" w14:textId="77777777" w:rsidR="005D6F21" w:rsidRDefault="005D6F21">
            <w:pPr>
              <w:spacing w:line="320" w:lineRule="exact"/>
              <w:jc w:val="center"/>
              <w:rPr>
                <w:rFonts w:ascii="方正仿宋简体" w:eastAsia="方正仿宋简体" w:hAnsi="宋体"/>
                <w:color w:val="0000FF"/>
                <w:kern w:val="0"/>
              </w:rPr>
            </w:pPr>
          </w:p>
        </w:tc>
      </w:tr>
      <w:tr w:rsidR="005D6F21" w14:paraId="42E9B293" w14:textId="77777777" w:rsidTr="0074096A">
        <w:trPr>
          <w:trHeight w:val="454"/>
        </w:trPr>
        <w:tc>
          <w:tcPr>
            <w:tcW w:w="1371" w:type="pct"/>
            <w:vMerge/>
            <w:vAlign w:val="center"/>
          </w:tcPr>
          <w:p w14:paraId="3A9784B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61CB64F4"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1,000万元</w:t>
            </w:r>
          </w:p>
        </w:tc>
        <w:tc>
          <w:tcPr>
            <w:tcW w:w="1164" w:type="pct"/>
            <w:vAlign w:val="center"/>
          </w:tcPr>
          <w:p w14:paraId="52ECC3E0"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60233D0B"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30天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430C64F6" w14:textId="77777777" w:rsidTr="0074096A">
        <w:trPr>
          <w:trHeight w:val="454"/>
        </w:trPr>
        <w:tc>
          <w:tcPr>
            <w:tcW w:w="1371" w:type="pct"/>
            <w:vMerge/>
            <w:vAlign w:val="center"/>
          </w:tcPr>
          <w:p w14:paraId="1A749A9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065BE0B0"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90天 </w:t>
            </w:r>
          </w:p>
        </w:tc>
        <w:tc>
          <w:tcPr>
            <w:tcW w:w="1164" w:type="pct"/>
            <w:vAlign w:val="center"/>
          </w:tcPr>
          <w:p w14:paraId="0DC7722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37729D61"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至少75%计入资产</w:t>
            </w:r>
          </w:p>
        </w:tc>
      </w:tr>
      <w:tr w:rsidR="005D6F21" w14:paraId="3ADFDF69" w14:textId="77777777" w:rsidTr="0074096A">
        <w:trPr>
          <w:trHeight w:val="454"/>
        </w:trPr>
        <w:tc>
          <w:tcPr>
            <w:tcW w:w="1371" w:type="pct"/>
            <w:vMerge/>
            <w:vAlign w:val="center"/>
          </w:tcPr>
          <w:p w14:paraId="4D89F939"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12AE0F7"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90天 ≤ N &lt; 180天 </w:t>
            </w:r>
          </w:p>
        </w:tc>
        <w:tc>
          <w:tcPr>
            <w:tcW w:w="1164" w:type="pct"/>
            <w:vAlign w:val="center"/>
          </w:tcPr>
          <w:p w14:paraId="250534BB"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53C4AAF8"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至少50%计入资产</w:t>
            </w:r>
          </w:p>
        </w:tc>
      </w:tr>
      <w:tr w:rsidR="005D6F21" w14:paraId="13249376" w14:textId="77777777" w:rsidTr="0074096A">
        <w:trPr>
          <w:trHeight w:val="454"/>
        </w:trPr>
        <w:tc>
          <w:tcPr>
            <w:tcW w:w="1371" w:type="pct"/>
            <w:vMerge/>
            <w:vAlign w:val="center"/>
          </w:tcPr>
          <w:p w14:paraId="398A878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27E0B5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180天 ≤ N &lt; 365天 </w:t>
            </w:r>
          </w:p>
        </w:tc>
        <w:tc>
          <w:tcPr>
            <w:tcW w:w="1164" w:type="pct"/>
            <w:vAlign w:val="center"/>
          </w:tcPr>
          <w:p w14:paraId="0886563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24A61948"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5A678CF3" w14:textId="77777777" w:rsidTr="0074096A">
        <w:trPr>
          <w:trHeight w:val="454"/>
        </w:trPr>
        <w:tc>
          <w:tcPr>
            <w:tcW w:w="1371" w:type="pct"/>
            <w:vMerge/>
            <w:vAlign w:val="center"/>
          </w:tcPr>
          <w:p w14:paraId="7D39C119"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BB1D4DE"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365天 ≤ N &lt; 730天 </w:t>
            </w:r>
          </w:p>
        </w:tc>
        <w:tc>
          <w:tcPr>
            <w:tcW w:w="1164" w:type="pct"/>
            <w:vAlign w:val="center"/>
          </w:tcPr>
          <w:p w14:paraId="60401AFE"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16587404"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7B38086C" w14:textId="77777777" w:rsidTr="0074096A">
        <w:trPr>
          <w:trHeight w:val="454"/>
        </w:trPr>
        <w:tc>
          <w:tcPr>
            <w:tcW w:w="1371" w:type="pct"/>
            <w:vMerge/>
            <w:vAlign w:val="center"/>
          </w:tcPr>
          <w:p w14:paraId="51973BC4"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31DCA0DA"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730天 </w:t>
            </w:r>
          </w:p>
        </w:tc>
        <w:tc>
          <w:tcPr>
            <w:tcW w:w="1164" w:type="pct"/>
            <w:vAlign w:val="center"/>
          </w:tcPr>
          <w:p w14:paraId="78138C15"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20F1E702"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期货交易费用；基金的银行汇划费用；账户开户费用、账户维护费用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2FA8092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5C72EE0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（1）股指期货投资风险</w:t>
      </w:r>
    </w:p>
    <w:p w14:paraId="4023A2B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14:paraId="32255A0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（2）资产支持证券（ABS）的风险</w:t>
      </w:r>
    </w:p>
    <w:p w14:paraId="5DFCD1A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4703FC9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（3）国债期货投资风险</w:t>
      </w:r>
    </w:p>
    <w:p w14:paraId="7EFCF4A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14:paraId="4943A548"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（4）投资于存托凭证的风险</w:t>
      </w:r>
    </w:p>
    <w:p w14:paraId="43288E8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5F1976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混合型基金的共有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204B397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00E96B2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15C0322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0950AF2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775B435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03343C1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05F1EC7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2D08535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3372FCFB" w14:textId="77777777" w:rsidR="005D6F21" w:rsidRDefault="005D6F21">
      <w:pPr>
        <w:spacing w:line="320" w:lineRule="exact"/>
        <w:ind w:firstLine="420"/>
        <w:rPr>
          <w:rFonts w:ascii="方正仿宋简体" w:eastAsia="方正仿宋简体" w:hAnsi="方正仿宋简体" w:cs="方正仿宋简体"/>
          <w:iCs/>
        </w:rPr>
      </w:pPr>
    </w:p>
    <w:p w14:paraId="5D5FEA7B"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p>
    <w:sectPr w:rsidR="005D6F21" w:rsidSect="00461A7D">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4B25" w14:textId="77777777" w:rsidR="000B0831" w:rsidRDefault="000B0831" w:rsidP="0092395F">
      <w:r>
        <w:separator/>
      </w:r>
    </w:p>
  </w:endnote>
  <w:endnote w:type="continuationSeparator" w:id="0">
    <w:p w14:paraId="1F251D27" w14:textId="77777777" w:rsidR="000B0831" w:rsidRDefault="000B083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5FB77492" w:rsidR="00461A7D" w:rsidRDefault="00461A7D"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793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793B">
              <w:rPr>
                <w:b/>
                <w:bCs/>
                <w:noProof/>
              </w:rPr>
              <w:t>5</w:t>
            </w:r>
            <w:r>
              <w:rPr>
                <w:b/>
                <w:bCs/>
                <w:sz w:val="24"/>
                <w:szCs w:val="24"/>
              </w:rPr>
              <w:fldChar w:fldCharType="end"/>
            </w:r>
          </w:p>
        </w:sdtContent>
      </w:sdt>
    </w:sdtContent>
  </w:sdt>
  <w:p w14:paraId="30F8E9BC" w14:textId="77777777" w:rsidR="00461A7D" w:rsidRDefault="00461A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FAE3" w14:textId="77777777" w:rsidR="000B0831" w:rsidRDefault="000B0831" w:rsidP="0092395F">
      <w:r>
        <w:separator/>
      </w:r>
    </w:p>
  </w:footnote>
  <w:footnote w:type="continuationSeparator" w:id="0">
    <w:p w14:paraId="100E46A2" w14:textId="77777777" w:rsidR="000B0831" w:rsidRDefault="000B0831"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0831"/>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3B"/>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15:docId w15:val="{D67FA522-98F1-4B9B-AD41-69587963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B2F5E"/>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903F-1BA4-4D78-8AB1-8639F7FE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3551</Characters>
  <Application>Microsoft Office Word</Application>
  <DocSecurity>0</DocSecurity>
  <Lines>29</Lines>
  <Paragraphs>8</Paragraphs>
  <ScaleCrop>false</ScaleCrop>
  <Company>shenduxitong</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付雪军</cp:lastModifiedBy>
  <cp:revision>4</cp:revision>
  <dcterms:created xsi:type="dcterms:W3CDTF">2020-09-04T09:43:00Z</dcterms:created>
  <dcterms:modified xsi:type="dcterms:W3CDTF">2020-10-15T09:21:00Z</dcterms:modified>
</cp:coreProperties>
</file>