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3CE70" w14:textId="77777777" w:rsidR="005D6F21" w:rsidRDefault="00043615">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博时新兴消费主题混合型证券投资基金基金产品资料概要更新</w:t>
      </w:r>
    </w:p>
    <w:p w14:paraId="4FD34709" w14:textId="77777777" w:rsidR="005D6F21" w:rsidRDefault="00043615">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编制日期：2020年10月15日</w:t>
      </w:r>
    </w:p>
    <w:p w14:paraId="77590A22" w14:textId="77777777" w:rsidR="005D6F21" w:rsidRDefault="00043615">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送出日期：2020年10月19日</w:t>
      </w:r>
    </w:p>
    <w:p w14:paraId="2DE6BC0E"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07C928C0"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proofErr w:type="gramStart"/>
      <w:r>
        <w:rPr>
          <w:rFonts w:ascii="方正黑体简体" w:eastAsia="方正黑体简体" w:cs="黑体" w:hint="eastAsia"/>
          <w:kern w:val="0"/>
          <w:sz w:val="28"/>
          <w:szCs w:val="28"/>
        </w:rPr>
        <w:t>作出</w:t>
      </w:r>
      <w:proofErr w:type="gramEnd"/>
      <w:r>
        <w:rPr>
          <w:rFonts w:ascii="方正黑体简体" w:eastAsia="方正黑体简体" w:cs="黑体" w:hint="eastAsia"/>
          <w:kern w:val="0"/>
          <w:sz w:val="28"/>
          <w:szCs w:val="28"/>
        </w:rPr>
        <w:t>投资决定前，请阅读完整的招募说明书等销售文件。</w:t>
      </w:r>
    </w:p>
    <w:p w14:paraId="4B2D020D"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D6F21" w14:paraId="2EBD8FAC" w14:textId="77777777" w:rsidTr="00584DC5">
        <w:trPr>
          <w:trHeight w:val="454"/>
        </w:trPr>
        <w:tc>
          <w:tcPr>
            <w:tcW w:w="1145" w:type="pct"/>
            <w:vMerge w:val="restart"/>
            <w:vAlign w:val="center"/>
          </w:tcPr>
          <w:p w14:paraId="18B47E53"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5F5EE23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博时新兴消费主题混合</w:t>
            </w:r>
          </w:p>
        </w:tc>
        <w:tc>
          <w:tcPr>
            <w:tcW w:w="999" w:type="pct"/>
            <w:vMerge w:val="restart"/>
            <w:vAlign w:val="center"/>
          </w:tcPr>
          <w:p w14:paraId="561903F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B9E61C"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004505</w:t>
            </w:r>
          </w:p>
        </w:tc>
      </w:tr>
      <w:tr w:rsidR="005D6F21" w14:paraId="2E767565" w14:textId="77777777" w:rsidTr="005F360D">
        <w:trPr>
          <w:trHeight w:val="454"/>
        </w:trPr>
        <w:tc>
          <w:tcPr>
            <w:tcW w:w="1145" w:type="pct"/>
            <w:vAlign w:val="center"/>
          </w:tcPr>
          <w:p w14:paraId="2E1E6AC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FF207A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31CDC4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53B4943"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中国银行股份有限公司 </w:t>
            </w:r>
          </w:p>
        </w:tc>
      </w:tr>
      <w:tr w:rsidR="005D6F21" w14:paraId="1172A804" w14:textId="77777777" w:rsidTr="005F360D">
        <w:trPr>
          <w:trHeight w:val="454"/>
        </w:trPr>
        <w:tc>
          <w:tcPr>
            <w:tcW w:w="1145" w:type="pct"/>
            <w:vMerge w:val="restart"/>
            <w:vAlign w:val="center"/>
          </w:tcPr>
          <w:p w14:paraId="23AC754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2A1C81E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2017-06-05</w:t>
            </w:r>
          </w:p>
        </w:tc>
        <w:tc>
          <w:tcPr>
            <w:tcW w:w="999" w:type="pct"/>
            <w:vMerge w:val="restart"/>
            <w:vAlign w:val="center"/>
          </w:tcPr>
          <w:p w14:paraId="22B07BF2" w14:textId="77777777" w:rsidR="005D6F21" w:rsidRDefault="005D6F21">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678FC482"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5D6F21" w14:paraId="27B7B039" w14:textId="77777777" w:rsidTr="005F360D">
        <w:trPr>
          <w:trHeight w:val="454"/>
        </w:trPr>
        <w:tc>
          <w:tcPr>
            <w:tcW w:w="1145" w:type="pct"/>
            <w:vAlign w:val="center"/>
          </w:tcPr>
          <w:p w14:paraId="27979F2C"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EC21307"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7660EEA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7FB040ED"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5D6F21" w14:paraId="4B8E08BB" w14:textId="77777777" w:rsidTr="005F360D">
        <w:trPr>
          <w:trHeight w:val="454"/>
        </w:trPr>
        <w:tc>
          <w:tcPr>
            <w:tcW w:w="1145" w:type="pct"/>
            <w:vAlign w:val="center"/>
          </w:tcPr>
          <w:p w14:paraId="4CF03261"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35C98B81"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FF9ACA8"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786165DF"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D6F21" w14:paraId="4FCB5B9E" w14:textId="77777777" w:rsidTr="005F360D">
        <w:trPr>
          <w:trHeight w:val="454"/>
        </w:trPr>
        <w:tc>
          <w:tcPr>
            <w:tcW w:w="1145" w:type="pct"/>
            <w:vMerge w:val="restart"/>
            <w:vAlign w:val="center"/>
          </w:tcPr>
          <w:p w14:paraId="22F1DD5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3C5A35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王诗瑶</w:t>
            </w:r>
          </w:p>
        </w:tc>
        <w:tc>
          <w:tcPr>
            <w:tcW w:w="999" w:type="pct"/>
            <w:vAlign w:val="center"/>
          </w:tcPr>
          <w:p w14:paraId="4018B5D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F050CDE"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2017-06-05</w:t>
            </w:r>
          </w:p>
        </w:tc>
      </w:tr>
      <w:tr w:rsidR="005D6F21" w14:paraId="24127947" w14:textId="77777777" w:rsidTr="005F360D">
        <w:trPr>
          <w:trHeight w:val="454"/>
        </w:trPr>
        <w:tc>
          <w:tcPr>
            <w:tcW w:w="1145" w:type="pct"/>
            <w:vMerge/>
            <w:vAlign w:val="center"/>
          </w:tcPr>
          <w:p w14:paraId="4786945D"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10F69711"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F0E348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3F00FDB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2012-07-13</w:t>
            </w:r>
          </w:p>
        </w:tc>
      </w:tr>
      <w:tr w:rsidR="005D6F21" w14:paraId="7CB624A0" w14:textId="77777777" w:rsidTr="005F360D">
        <w:trPr>
          <w:trHeight w:val="454"/>
        </w:trPr>
        <w:tc>
          <w:tcPr>
            <w:tcW w:w="1145" w:type="pct"/>
            <w:vMerge/>
            <w:vAlign w:val="center"/>
          </w:tcPr>
          <w:p w14:paraId="69AEAE4F"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6D61EF87"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王俊</w:t>
            </w:r>
          </w:p>
        </w:tc>
        <w:tc>
          <w:tcPr>
            <w:tcW w:w="999" w:type="pct"/>
            <w:vAlign w:val="center"/>
          </w:tcPr>
          <w:p w14:paraId="612EFE4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62DE141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2017-06-05</w:t>
            </w:r>
          </w:p>
        </w:tc>
      </w:tr>
      <w:tr w:rsidR="005D6F21" w14:paraId="0C39A30D" w14:textId="77777777" w:rsidTr="005F360D">
        <w:trPr>
          <w:trHeight w:val="454"/>
        </w:trPr>
        <w:tc>
          <w:tcPr>
            <w:tcW w:w="1145" w:type="pct"/>
            <w:vMerge/>
            <w:vAlign w:val="center"/>
          </w:tcPr>
          <w:p w14:paraId="72A7FFA3"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3207179D"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5219E34"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05BF0544"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2008-04-07</w:t>
            </w:r>
          </w:p>
        </w:tc>
      </w:tr>
    </w:tbl>
    <w:p w14:paraId="3AF1F094" w14:textId="77777777" w:rsidR="005D6F21" w:rsidRDefault="005D6F21">
      <w:pPr>
        <w:spacing w:line="280" w:lineRule="exact"/>
        <w:rPr>
          <w:rFonts w:ascii="方正仿宋简体" w:eastAsia="方正仿宋简体" w:hAnsiTheme="minorEastAsia" w:cs="仿宋_GB2312"/>
          <w:b/>
          <w:kern w:val="0"/>
          <w:szCs w:val="24"/>
        </w:rPr>
      </w:pPr>
    </w:p>
    <w:p w14:paraId="6EA71FB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1C78103D" w14:textId="77777777" w:rsidR="005D6F21" w:rsidRDefault="00043615">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4513B187"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D6F21" w14:paraId="0D39348D" w14:textId="77777777" w:rsidTr="0074096A">
        <w:trPr>
          <w:trHeight w:val="454"/>
        </w:trPr>
        <w:tc>
          <w:tcPr>
            <w:tcW w:w="1228" w:type="pct"/>
            <w:vAlign w:val="center"/>
          </w:tcPr>
          <w:p w14:paraId="1F8E58D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F21C6C"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本基金通过精选新兴消费主题的优质上市公司进行投资，力求获得超越业绩比较基准的投资回报。</w:t>
            </w:r>
          </w:p>
        </w:tc>
      </w:tr>
      <w:tr w:rsidR="005D6F21" w14:paraId="5554EB8D" w14:textId="77777777" w:rsidTr="0074096A">
        <w:trPr>
          <w:trHeight w:val="454"/>
        </w:trPr>
        <w:tc>
          <w:tcPr>
            <w:tcW w:w="1228" w:type="pct"/>
            <w:vAlign w:val="center"/>
          </w:tcPr>
          <w:p w14:paraId="66A1CC7A"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5EA8AA73"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对象是具有良好流动性的金融工具，包括国内依法发行上市的股票（包括中小板、创业板及其他经中国证监会核准上市的股票、存托凭证）、权证、股指期货等权益类金融工具，以及债券等固定收益类金融工具（包括国债、金融债、央行票据、地方政府债、企业债、公司债、可交换公司债券、可转换公司债</w:t>
            </w:r>
            <w:proofErr w:type="gramStart"/>
            <w:r>
              <w:rPr>
                <w:rFonts w:ascii="方正仿宋简体" w:eastAsia="方正仿宋简体" w:hAnsiTheme="minorEastAsia" w:cs="仿宋_GB2312" w:hint="eastAsia"/>
                <w:kern w:val="0"/>
                <w:szCs w:val="24"/>
              </w:rPr>
              <w:t>券</w:t>
            </w:r>
            <w:proofErr w:type="gramEnd"/>
            <w:r>
              <w:rPr>
                <w:rFonts w:ascii="方正仿宋简体" w:eastAsia="方正仿宋简体" w:hAnsiTheme="minorEastAsia" w:cs="仿宋_GB2312" w:hint="eastAsia"/>
                <w:kern w:val="0"/>
                <w:szCs w:val="24"/>
              </w:rPr>
              <w:t>（</w:t>
            </w:r>
            <w:proofErr w:type="gramStart"/>
            <w:r>
              <w:rPr>
                <w:rFonts w:ascii="方正仿宋简体" w:eastAsia="方正仿宋简体" w:hAnsiTheme="minorEastAsia" w:cs="仿宋_GB2312" w:hint="eastAsia"/>
                <w:kern w:val="0"/>
                <w:szCs w:val="24"/>
              </w:rPr>
              <w:t>含可分离</w:t>
            </w:r>
            <w:proofErr w:type="gramEnd"/>
            <w:r>
              <w:rPr>
                <w:rFonts w:ascii="方正仿宋简体" w:eastAsia="方正仿宋简体" w:hAnsiTheme="minorEastAsia" w:cs="仿宋_GB2312" w:hint="eastAsia"/>
                <w:kern w:val="0"/>
                <w:szCs w:val="24"/>
              </w:rPr>
              <w:t>交易可转债）、中小企业私募债券、中期票据、短期融资</w:t>
            </w:r>
            <w:proofErr w:type="gramStart"/>
            <w:r>
              <w:rPr>
                <w:rFonts w:ascii="方正仿宋简体" w:eastAsia="方正仿宋简体" w:hAnsiTheme="minorEastAsia" w:cs="仿宋_GB2312" w:hint="eastAsia"/>
                <w:kern w:val="0"/>
                <w:szCs w:val="24"/>
              </w:rPr>
              <w:t>券</w:t>
            </w:r>
            <w:proofErr w:type="gramEnd"/>
            <w:r>
              <w:rPr>
                <w:rFonts w:ascii="方正仿宋简体" w:eastAsia="方正仿宋简体" w:hAnsiTheme="minorEastAsia" w:cs="仿宋_GB2312" w:hint="eastAsia"/>
                <w:kern w:val="0"/>
                <w:szCs w:val="24"/>
              </w:rPr>
              <w:t>、超级短期融资</w:t>
            </w:r>
            <w:proofErr w:type="gramStart"/>
            <w:r>
              <w:rPr>
                <w:rFonts w:ascii="方正仿宋简体" w:eastAsia="方正仿宋简体" w:hAnsiTheme="minorEastAsia" w:cs="仿宋_GB2312" w:hint="eastAsia"/>
                <w:kern w:val="0"/>
                <w:szCs w:val="24"/>
              </w:rPr>
              <w:t>券</w:t>
            </w:r>
            <w:proofErr w:type="gramEnd"/>
            <w:r>
              <w:rPr>
                <w:rFonts w:ascii="方正仿宋简体" w:eastAsia="方正仿宋简体" w:hAnsiTheme="minorEastAsia" w:cs="仿宋_GB2312" w:hint="eastAsia"/>
                <w:kern w:val="0"/>
                <w:szCs w:val="24"/>
              </w:rPr>
              <w:t>、资产支持证券、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w:t>
            </w:r>
          </w:p>
          <w:p w14:paraId="726F393B"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bookmarkStart w:id="0" w:name="_GoBack"/>
            <w:bookmarkEnd w:id="0"/>
            <w:r>
              <w:rPr>
                <w:rFonts w:ascii="方正仿宋简体" w:eastAsia="方正仿宋简体" w:hAnsiTheme="minorEastAsia" w:cs="仿宋_GB2312" w:hint="eastAsia"/>
                <w:kern w:val="0"/>
                <w:szCs w:val="24"/>
              </w:rPr>
              <w:t>基金的投资组合比例为：股票资产（</w:t>
            </w:r>
            <w:proofErr w:type="gramStart"/>
            <w:r>
              <w:rPr>
                <w:rFonts w:ascii="方正仿宋简体" w:eastAsia="方正仿宋简体" w:hAnsiTheme="minorEastAsia" w:cs="仿宋_GB2312" w:hint="eastAsia"/>
                <w:kern w:val="0"/>
                <w:szCs w:val="24"/>
              </w:rPr>
              <w:t>含存托</w:t>
            </w:r>
            <w:proofErr w:type="gramEnd"/>
            <w:r>
              <w:rPr>
                <w:rFonts w:ascii="方正仿宋简体" w:eastAsia="方正仿宋简体" w:hAnsiTheme="minorEastAsia" w:cs="仿宋_GB2312" w:hint="eastAsia"/>
                <w:kern w:val="0"/>
                <w:szCs w:val="24"/>
              </w:rPr>
              <w:t>凭证）占基金资产的60%-95%，其中投资于本基金所界定的新兴消费主题证券的比例不低于非现金资产的80%；中小企业</w:t>
            </w:r>
            <w:proofErr w:type="gramStart"/>
            <w:r>
              <w:rPr>
                <w:rFonts w:ascii="方正仿宋简体" w:eastAsia="方正仿宋简体" w:hAnsiTheme="minorEastAsia" w:cs="仿宋_GB2312" w:hint="eastAsia"/>
                <w:kern w:val="0"/>
                <w:szCs w:val="24"/>
              </w:rPr>
              <w:t>私募债占基金</w:t>
            </w:r>
            <w:proofErr w:type="gramEnd"/>
            <w:r>
              <w:rPr>
                <w:rFonts w:ascii="方正仿宋简体" w:eastAsia="方正仿宋简体" w:hAnsiTheme="minorEastAsia" w:cs="仿宋_GB2312" w:hint="eastAsia"/>
                <w:kern w:val="0"/>
                <w:szCs w:val="24"/>
              </w:rPr>
              <w:t>资产净值的比例不高于20%；每个交易日日终在扣除股指期货保证金以后，本基金保留的现金及到期日在一年以内的政府债券不低于基金资产净值的5%，其中，现金不包括结算备付金、存出保证金、应收申购款等；权证投资占基金资产净值的0-3%。股指期货的投资比例依照法律法规或监管机构的规定执行。</w:t>
            </w:r>
          </w:p>
          <w:p w14:paraId="2FF3745C"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如果法律法规或中国证监会变更投资品种的投资比例限制，基金管理人在履行适当程序后，可以调整上述投资品种的投资比例。</w:t>
            </w:r>
          </w:p>
        </w:tc>
      </w:tr>
      <w:tr w:rsidR="005D6F21" w14:paraId="4AD66605" w14:textId="77777777" w:rsidTr="0074096A">
        <w:trPr>
          <w:trHeight w:val="454"/>
        </w:trPr>
        <w:tc>
          <w:tcPr>
            <w:tcW w:w="1228" w:type="pct"/>
            <w:vAlign w:val="center"/>
          </w:tcPr>
          <w:p w14:paraId="35DD64A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主要投资策略</w:t>
            </w:r>
          </w:p>
        </w:tc>
        <w:tc>
          <w:tcPr>
            <w:tcW w:w="3772" w:type="pct"/>
            <w:vAlign w:val="center"/>
          </w:tcPr>
          <w:p w14:paraId="096A3741"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策略主要包括大类资产配置策略、股票投资策略、其他资产投资策略三个部分。其中，大类资产配置策略主要是通过自上而下和自下而上相结合、定性分析和定量分析互相补充的方法，在股票、债券和现金等资产类之间进行相对稳定的适度配置，强调通过自上而下的宏观分析与自下而上的市场趋势分析有机结合进行前瞻性的决策。股票投资策略方面，基于对海外发达国家大消费行业发展趋势的深度研究，结合中国目前经济环境及大消费行业发展现状，参考国内权威机构wind的行业分类，本基金将新兴消费划分为可选消费、日常消费、医疗保健和其他消费四大类别；基于宏观环境和消费子行业周期性和景气度因素，对组合中必选消费和可选消费行业的进行配置并动态调整；在股票投资方面以深入的基本面研究作为指导原则，通过盈利能力、财务状况、估值安全等多个标准对个股进行严格筛选。其他资产投资策略有债券投资策略、权证投资策略、股指期货投资策略，其中，债券投资策略包括期限结构策略、信用策略、互换策略、息差策略、可转换债券投资策略。</w:t>
            </w:r>
          </w:p>
        </w:tc>
      </w:tr>
      <w:tr w:rsidR="005D6F21" w14:paraId="709EEF9F" w14:textId="77777777" w:rsidTr="0074096A">
        <w:trPr>
          <w:trHeight w:val="454"/>
        </w:trPr>
        <w:tc>
          <w:tcPr>
            <w:tcW w:w="1228" w:type="pct"/>
            <w:vAlign w:val="center"/>
          </w:tcPr>
          <w:p w14:paraId="1E14AA8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19DDE4CB"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沪深300指数收益率×70%+中国债券总指数收益率×30%。</w:t>
            </w:r>
          </w:p>
        </w:tc>
      </w:tr>
      <w:tr w:rsidR="005D6F21" w14:paraId="3CFE39B9" w14:textId="77777777" w:rsidTr="0074096A">
        <w:trPr>
          <w:trHeight w:val="454"/>
        </w:trPr>
        <w:tc>
          <w:tcPr>
            <w:tcW w:w="1228" w:type="pct"/>
            <w:vAlign w:val="center"/>
          </w:tcPr>
          <w:p w14:paraId="1C5BA997"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0385BF0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本基金为混合型基金，预期风险和预期收益高于货币市场基金、债券型基金，低于股票型基金，属于证券投资基金中的中高风险/收益品种。</w:t>
            </w:r>
          </w:p>
        </w:tc>
      </w:tr>
    </w:tbl>
    <w:p w14:paraId="184B11AC" w14:textId="77777777" w:rsidR="005D6F21" w:rsidRDefault="005D6F21">
      <w:pPr>
        <w:spacing w:line="320" w:lineRule="exact"/>
        <w:rPr>
          <w:rFonts w:ascii="方正仿宋简体" w:eastAsia="方正仿宋简体" w:hAnsiTheme="minorEastAsia" w:cs="仿宋_GB2312"/>
          <w:kern w:val="0"/>
          <w:szCs w:val="24"/>
        </w:rPr>
      </w:pPr>
    </w:p>
    <w:p w14:paraId="12F1C024"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5F64D195" w14:textId="77777777" w:rsidR="005D6F21" w:rsidRDefault="00043615">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9C93D49" w14:textId="77777777" w:rsidR="005D6F21" w:rsidRDefault="00043615">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32E2EF0E" wp14:editId="46F9C121">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7DEAAB4C"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27FA6C73" w14:textId="77777777" w:rsidR="005D6F21" w:rsidRDefault="00043615">
      <w:pPr>
        <w:jc w:val="center"/>
        <w:rPr>
          <w:rFonts w:ascii="方正仿宋简体" w:eastAsia="方正仿宋简体" w:hAnsiTheme="minorEastAsia"/>
          <w:sz w:val="24"/>
        </w:rPr>
      </w:pPr>
      <w:r>
        <w:rPr>
          <w:rFonts w:ascii="方正仿宋简体" w:eastAsia="方正仿宋简体" w:hAnsiTheme="minorEastAsia" w:hint="eastAsia"/>
          <w:noProof/>
          <w:sz w:val="24"/>
        </w:rPr>
        <w:drawing>
          <wp:inline distT="0" distB="0" distL="0" distR="0" wp14:anchorId="6EB72923" wp14:editId="03B20666">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063876E"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注：基金的过往业绩不代表未来表现。</w:t>
      </w:r>
    </w:p>
    <w:p w14:paraId="29C3C4DD"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本基金的基金合同于2017年6月5日生效，合同生效当年按实际存续期计算，不按整个自然年度进行折算。</w:t>
      </w:r>
    </w:p>
    <w:p w14:paraId="20E0D045" w14:textId="77777777" w:rsidR="005D6F21" w:rsidRDefault="005D6F21">
      <w:pPr>
        <w:spacing w:line="280" w:lineRule="exact"/>
        <w:ind w:firstLine="420"/>
        <w:rPr>
          <w:rFonts w:ascii="方正仿宋简体" w:eastAsia="方正仿宋简体" w:hAnsi="方正仿宋简体" w:cs="方正仿宋简体"/>
          <w:iCs/>
        </w:rPr>
      </w:pPr>
    </w:p>
    <w:p w14:paraId="6BA2B64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lastRenderedPageBreak/>
        <w:t>投资本基金涉及的费用</w:t>
      </w:r>
    </w:p>
    <w:p w14:paraId="5C372851" w14:textId="77777777" w:rsidR="005D6F21" w:rsidRDefault="00043615">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4B128E8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28"/>
        <w:gridCol w:w="4192"/>
        <w:gridCol w:w="2487"/>
        <w:gridCol w:w="1075"/>
      </w:tblGrid>
      <w:tr w:rsidR="005D6F21" w14:paraId="174A5F0B" w14:textId="77777777" w:rsidTr="0074096A">
        <w:trPr>
          <w:trHeight w:val="454"/>
        </w:trPr>
        <w:tc>
          <w:tcPr>
            <w:tcW w:w="1371" w:type="pct"/>
            <w:vAlign w:val="center"/>
          </w:tcPr>
          <w:p w14:paraId="21F3C35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1F99ADB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65A9CF1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3E79C8F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611FAD5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D6F21" w14:paraId="5FBE9F6F" w14:textId="77777777" w:rsidTr="0074096A">
        <w:trPr>
          <w:trHeight w:val="454"/>
        </w:trPr>
        <w:tc>
          <w:tcPr>
            <w:tcW w:w="1371" w:type="pct"/>
            <w:vMerge w:val="restart"/>
            <w:vAlign w:val="center"/>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&lt; 50万元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FB6B806" w14:textId="77777777" w:rsidR="005D6F21" w:rsidRDefault="005D6F21">
            <w:pPr>
              <w:spacing w:line="320" w:lineRule="exact"/>
              <w:jc w:val="center"/>
              <w:rPr>
                <w:rFonts w:ascii="方正仿宋简体" w:eastAsia="方正仿宋简体" w:hAnsi="宋体"/>
                <w:color w:val="0000FF"/>
                <w:kern w:val="0"/>
              </w:rPr>
            </w:pPr>
          </w:p>
        </w:tc>
      </w:tr>
      <w:tr w:rsidR="005D6F21" w14:paraId="33B24507" w14:textId="77777777" w:rsidTr="0074096A">
        <w:trPr>
          <w:trHeight w:val="454"/>
        </w:trPr>
        <w:tc>
          <w:tcPr>
            <w:tcW w:w="1371" w:type="pct"/>
            <w:vMerge/>
            <w:vAlign w:val="center"/>
          </w:tcPr>
          <w:p w14:paraId="56642B2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5BD83AFA"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50万元 ≤ M &lt; 100万元</w:t>
            </w:r>
          </w:p>
        </w:tc>
        <w:tc>
          <w:tcPr>
            <w:tcW w:w="1164" w:type="pct"/>
            <w:vAlign w:val="center"/>
          </w:tcPr>
          <w:p w14:paraId="115B716C"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1.00%  </w:t>
            </w:r>
          </w:p>
        </w:tc>
        <w:tc>
          <w:tcPr>
            <w:tcW w:w="503" w:type="pct"/>
            <w:vAlign w:val="center"/>
          </w:tcPr>
          <w:p w14:paraId="7C1B0596" w14:textId="77777777" w:rsidR="005D6F21" w:rsidRDefault="005D6F21">
            <w:pPr>
              <w:spacing w:line="320" w:lineRule="exact"/>
              <w:jc w:val="center"/>
              <w:rPr>
                <w:rFonts w:ascii="方正仿宋简体" w:eastAsia="方正仿宋简体" w:hAnsi="宋体"/>
                <w:color w:val="0000FF"/>
                <w:kern w:val="0"/>
              </w:rPr>
            </w:pPr>
          </w:p>
        </w:tc>
      </w:tr>
      <w:tr w:rsidR="005D6F21" w14:paraId="22717E1F" w14:textId="77777777" w:rsidTr="0074096A">
        <w:trPr>
          <w:trHeight w:val="454"/>
        </w:trPr>
        <w:tc>
          <w:tcPr>
            <w:tcW w:w="1371" w:type="pct"/>
            <w:vMerge/>
            <w:vAlign w:val="center"/>
          </w:tcPr>
          <w:p w14:paraId="590EE8D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C07955D"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100万元 ≤ M &lt; 1,000万元</w:t>
            </w:r>
          </w:p>
        </w:tc>
        <w:tc>
          <w:tcPr>
            <w:tcW w:w="1164" w:type="pct"/>
            <w:vAlign w:val="center"/>
          </w:tcPr>
          <w:p w14:paraId="39F9E408"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0.80%  </w:t>
            </w:r>
          </w:p>
        </w:tc>
        <w:tc>
          <w:tcPr>
            <w:tcW w:w="503" w:type="pct"/>
            <w:vAlign w:val="center"/>
          </w:tcPr>
          <w:p w14:paraId="42ADD92D" w14:textId="77777777" w:rsidR="005D6F21" w:rsidRDefault="005D6F21">
            <w:pPr>
              <w:spacing w:line="320" w:lineRule="exact"/>
              <w:jc w:val="center"/>
              <w:rPr>
                <w:rFonts w:ascii="方正仿宋简体" w:eastAsia="方正仿宋简体" w:hAnsi="宋体"/>
                <w:color w:val="0000FF"/>
                <w:kern w:val="0"/>
              </w:rPr>
            </w:pPr>
          </w:p>
        </w:tc>
      </w:tr>
      <w:tr w:rsidR="005D6F21" w14:paraId="4BBAC530" w14:textId="77777777" w:rsidTr="0074096A">
        <w:trPr>
          <w:trHeight w:val="454"/>
        </w:trPr>
        <w:tc>
          <w:tcPr>
            <w:tcW w:w="1371" w:type="pct"/>
            <w:vMerge/>
            <w:vAlign w:val="center"/>
          </w:tcPr>
          <w:p w14:paraId="77003EE1"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5F7932DA"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 1,000万元</w:t>
            </w:r>
          </w:p>
        </w:tc>
        <w:tc>
          <w:tcPr>
            <w:tcW w:w="1164" w:type="pct"/>
            <w:vAlign w:val="center"/>
          </w:tcPr>
          <w:p w14:paraId="47A0AB70"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1000元/笔</w:t>
            </w:r>
          </w:p>
        </w:tc>
        <w:tc>
          <w:tcPr>
            <w:tcW w:w="503" w:type="pct"/>
            <w:vAlign w:val="center"/>
          </w:tcPr>
          <w:p w14:paraId="79DDC425" w14:textId="77777777" w:rsidR="005D6F21" w:rsidRDefault="005D6F21">
            <w:pPr>
              <w:spacing w:line="320" w:lineRule="exact"/>
              <w:jc w:val="center"/>
              <w:rPr>
                <w:rFonts w:ascii="方正仿宋简体" w:eastAsia="方正仿宋简体" w:hAnsi="宋体"/>
                <w:color w:val="0000FF"/>
                <w:kern w:val="0"/>
              </w:rPr>
            </w:pPr>
          </w:p>
        </w:tc>
      </w:tr>
      <w:tr w:rsidR="005D6F21" w14:paraId="67C990D2" w14:textId="77777777" w:rsidTr="0074096A">
        <w:trPr>
          <w:trHeight w:val="454"/>
        </w:trPr>
        <w:tc>
          <w:tcPr>
            <w:tcW w:w="1371" w:type="pct"/>
            <w:vMerge w:val="restart"/>
            <w:vAlign w:val="center"/>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&lt; 7天 </w:t>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3952BB34" w14:textId="77777777" w:rsidTr="0074096A">
        <w:trPr>
          <w:trHeight w:val="454"/>
        </w:trPr>
        <w:tc>
          <w:tcPr>
            <w:tcW w:w="1371" w:type="pct"/>
            <w:vMerge/>
            <w:vAlign w:val="center"/>
          </w:tcPr>
          <w:p w14:paraId="572BA51E"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06A5234"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7天 ≤ N &lt; 30天 </w:t>
            </w:r>
          </w:p>
        </w:tc>
        <w:tc>
          <w:tcPr>
            <w:tcW w:w="1164" w:type="pct"/>
            <w:vAlign w:val="center"/>
          </w:tcPr>
          <w:p w14:paraId="49E07AB8"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0.75%  </w:t>
            </w:r>
          </w:p>
        </w:tc>
        <w:tc>
          <w:tcPr>
            <w:tcW w:w="503" w:type="pct"/>
            <w:vAlign w:val="center"/>
          </w:tcPr>
          <w:p w14:paraId="43D0B8EA"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65D10B71" w14:textId="77777777" w:rsidTr="0074096A">
        <w:trPr>
          <w:trHeight w:val="454"/>
        </w:trPr>
        <w:tc>
          <w:tcPr>
            <w:tcW w:w="1371" w:type="pct"/>
            <w:vMerge/>
            <w:vAlign w:val="center"/>
          </w:tcPr>
          <w:p w14:paraId="35E49DB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1E828D68"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30天 ≤ N &lt; 90天 </w:t>
            </w:r>
          </w:p>
        </w:tc>
        <w:tc>
          <w:tcPr>
            <w:tcW w:w="1164" w:type="pct"/>
            <w:vAlign w:val="center"/>
          </w:tcPr>
          <w:p w14:paraId="11779D29"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34D4E139"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至少75%计入资产</w:t>
            </w:r>
          </w:p>
        </w:tc>
      </w:tr>
      <w:tr w:rsidR="005D6F21" w14:paraId="1FEBBA37" w14:textId="77777777" w:rsidTr="0074096A">
        <w:trPr>
          <w:trHeight w:val="454"/>
        </w:trPr>
        <w:tc>
          <w:tcPr>
            <w:tcW w:w="1371" w:type="pct"/>
            <w:vMerge/>
            <w:vAlign w:val="center"/>
          </w:tcPr>
          <w:p w14:paraId="1FB0CFAF"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5D1C3A0C"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90天 ≤ N &lt; 180天 </w:t>
            </w:r>
          </w:p>
        </w:tc>
        <w:tc>
          <w:tcPr>
            <w:tcW w:w="1164" w:type="pct"/>
            <w:vAlign w:val="center"/>
          </w:tcPr>
          <w:p w14:paraId="1EEBD785"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58B7D824"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至少50%计入资产</w:t>
            </w:r>
          </w:p>
        </w:tc>
      </w:tr>
      <w:tr w:rsidR="005D6F21" w14:paraId="75366085" w14:textId="77777777" w:rsidTr="0074096A">
        <w:trPr>
          <w:trHeight w:val="454"/>
        </w:trPr>
        <w:tc>
          <w:tcPr>
            <w:tcW w:w="1371" w:type="pct"/>
            <w:vMerge/>
            <w:vAlign w:val="center"/>
          </w:tcPr>
          <w:p w14:paraId="3153A15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7061DD92"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180天 ≤ N &lt; 730天 </w:t>
            </w:r>
          </w:p>
        </w:tc>
        <w:tc>
          <w:tcPr>
            <w:tcW w:w="1164" w:type="pct"/>
            <w:vAlign w:val="center"/>
          </w:tcPr>
          <w:p w14:paraId="757E2F1C"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04E235CB"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50B3F166" w14:textId="77777777" w:rsidTr="0074096A">
        <w:trPr>
          <w:trHeight w:val="454"/>
        </w:trPr>
        <w:tc>
          <w:tcPr>
            <w:tcW w:w="1371" w:type="pct"/>
            <w:vMerge/>
            <w:vAlign w:val="center"/>
          </w:tcPr>
          <w:p w14:paraId="4221BBDD"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330D631"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730天 ≤ N &lt; 1095天 </w:t>
            </w:r>
          </w:p>
        </w:tc>
        <w:tc>
          <w:tcPr>
            <w:tcW w:w="1164" w:type="pct"/>
            <w:vAlign w:val="center"/>
          </w:tcPr>
          <w:p w14:paraId="2395E587"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0.25%  </w:t>
            </w:r>
          </w:p>
        </w:tc>
        <w:tc>
          <w:tcPr>
            <w:tcW w:w="503" w:type="pct"/>
            <w:vAlign w:val="center"/>
          </w:tcPr>
          <w:p w14:paraId="489329B5"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0AEC413E" w14:textId="77777777" w:rsidTr="0074096A">
        <w:trPr>
          <w:trHeight w:val="454"/>
        </w:trPr>
        <w:tc>
          <w:tcPr>
            <w:tcW w:w="1371" w:type="pct"/>
            <w:vMerge/>
            <w:vAlign w:val="center"/>
          </w:tcPr>
          <w:p w14:paraId="2240BE6F"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8D65CC7"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 1095天 </w:t>
            </w:r>
          </w:p>
        </w:tc>
        <w:tc>
          <w:tcPr>
            <w:tcW w:w="1164" w:type="pct"/>
            <w:vAlign w:val="center"/>
          </w:tcPr>
          <w:p w14:paraId="42B1F777"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  </w:t>
            </w:r>
          </w:p>
        </w:tc>
        <w:tc>
          <w:tcPr>
            <w:tcW w:w="503" w:type="pct"/>
            <w:vAlign w:val="center"/>
          </w:tcPr>
          <w:p w14:paraId="406F5A69" w14:textId="77777777" w:rsidR="005D6F21" w:rsidRDefault="005D6F21">
            <w:pPr>
              <w:spacing w:line="320" w:lineRule="exact"/>
              <w:jc w:val="center"/>
              <w:rPr>
                <w:rFonts w:ascii="方正仿宋简体" w:eastAsia="方正仿宋简体" w:hAnsi="宋体"/>
                <w:kern w:val="0"/>
              </w:rPr>
            </w:pPr>
          </w:p>
        </w:tc>
      </w:tr>
    </w:tbl>
    <w:p w14:paraId="3AC5BB9B"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注：对于通过基金管理人直销渠道申购的养老金客户，享受申购费率1折优惠。对于通过基金管理人直销渠道赎回的养老金客户，将不计入基金资产部分的赎回费免除。</w:t>
      </w:r>
    </w:p>
    <w:p w14:paraId="6C5A3561" w14:textId="77777777" w:rsidR="005D6F21" w:rsidRDefault="005D6F21">
      <w:pPr>
        <w:spacing w:line="320" w:lineRule="exact"/>
        <w:rPr>
          <w:rFonts w:ascii="方正仿宋简体" w:eastAsia="方正仿宋简体" w:hAnsiTheme="minorEastAsia" w:cs="方正仿宋简体"/>
          <w:b/>
          <w:iCs/>
          <w:sz w:val="24"/>
          <w:szCs w:val="24"/>
        </w:rPr>
      </w:pPr>
    </w:p>
    <w:p w14:paraId="5BBEACC5" w14:textId="77777777" w:rsidR="005D6F21" w:rsidRDefault="00043615">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3CF6D603"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D6F21" w14:paraId="2BAA3609" w14:textId="77777777" w:rsidTr="00A1474F">
        <w:trPr>
          <w:trHeight w:val="454"/>
        </w:trPr>
        <w:tc>
          <w:tcPr>
            <w:tcW w:w="1477" w:type="pct"/>
            <w:vAlign w:val="center"/>
          </w:tcPr>
          <w:p w14:paraId="647CFFC3" w14:textId="77777777" w:rsidR="005D6F21" w:rsidRDefault="00043615">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A6CD16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5D6F21" w14:paraId="7164EA47" w14:textId="77777777" w:rsidTr="00A1474F">
        <w:trPr>
          <w:trHeight w:val="454"/>
        </w:trPr>
        <w:tc>
          <w:tcPr>
            <w:tcW w:w="1477" w:type="pct"/>
            <w:vAlign w:val="center"/>
          </w:tcPr>
          <w:p w14:paraId="3BE7B409" w14:textId="77777777" w:rsidR="005D6F21" w:rsidRDefault="00043615">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42F2A306" w14:textId="77777777" w:rsidR="005D6F21" w:rsidRDefault="00043615">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5D6F21" w14:paraId="5D349D7A" w14:textId="77777777" w:rsidTr="00A1474F">
        <w:trPr>
          <w:trHeight w:val="454"/>
        </w:trPr>
        <w:tc>
          <w:tcPr>
            <w:tcW w:w="1477" w:type="pct"/>
            <w:vAlign w:val="center"/>
          </w:tcPr>
          <w:p w14:paraId="4775F80D"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3B9E28B"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r w:rsidR="005D6F21" w14:paraId="1F7048E1" w14:textId="77777777" w:rsidTr="00A1474F">
        <w:trPr>
          <w:trHeight w:val="454"/>
        </w:trPr>
        <w:tc>
          <w:tcPr>
            <w:tcW w:w="1477" w:type="pct"/>
            <w:vAlign w:val="center"/>
          </w:tcPr>
          <w:p w14:paraId="5E872F1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3278D9C"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合同》生效后与基金相关的信息披露费用；《基金合同》生效后与基金相关的会计师费、律师费和诉讼费；基金份额持有人大会费用；基金的证券、期货交易费用；基金的银行汇划费用；账户开户费用、账户维护费用等。 </w:t>
            </w:r>
          </w:p>
        </w:tc>
      </w:tr>
    </w:tbl>
    <w:p w14:paraId="31A8A3DA"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本基金交易证券、基金等产生的费用和税负，按实际发生额从基金资产扣除。</w:t>
      </w:r>
    </w:p>
    <w:p w14:paraId="2DA2B0F2" w14:textId="77777777" w:rsidR="005D6F21" w:rsidRDefault="005D6F21">
      <w:pPr>
        <w:autoSpaceDE w:val="0"/>
        <w:autoSpaceDN w:val="0"/>
        <w:adjustRightInd w:val="0"/>
        <w:spacing w:line="280" w:lineRule="exact"/>
        <w:jc w:val="left"/>
        <w:rPr>
          <w:rFonts w:ascii="方正仿宋简体" w:eastAsia="方正仿宋简体" w:hAnsiTheme="minorEastAsia" w:cs="仿宋_GB2312"/>
          <w:kern w:val="0"/>
          <w:szCs w:val="24"/>
        </w:rPr>
      </w:pPr>
    </w:p>
    <w:p w14:paraId="556B0A15"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066E9D20" w14:textId="439342A8" w:rsidR="005D6F21" w:rsidRDefault="00043615">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7DC888F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29DDF881" w14:textId="113B5CCD"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w:t>
      </w:r>
      <w:r>
        <w:rPr>
          <w:rFonts w:ascii="方正仿宋简体" w:eastAsia="方正仿宋简体" w:hAnsi="方正仿宋简体" w:cs="方正仿宋简体" w:hint="eastAsia"/>
          <w:iCs/>
        </w:rPr>
        <w:lastRenderedPageBreak/>
        <w:t>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248FABDC"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1、本基金特有风险揭示</w:t>
      </w:r>
    </w:p>
    <w:p w14:paraId="36C0E393"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（1）本基金特定投资策略带来的风险</w:t>
      </w:r>
    </w:p>
    <w:p w14:paraId="20E7514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作为主要投资于新兴消费主题相关行业的混合型基金，投资集中度比较明显，不仅受股票市场系统性风险影响较大，还受新兴消费主题相关行业的行业风险影响。当新兴消费主题相关行业股票整体表现较差时，本基金的净值增长率可能低于主要投资对象非新兴消费主题相关行业股票的基金。如果管理人投资失误，本基金投资回报可能低于业绩比较基准。</w:t>
      </w:r>
    </w:p>
    <w:p w14:paraId="6525C038"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w:t>
      </w:r>
    </w:p>
    <w:p w14:paraId="744C23B8"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14:paraId="280341F5"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0060E13"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2356BFFA"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普通风险：市场风险（政策风险、经济周期风险、收益波动风险、利率风险、通货膨胀风险、再投资风险等）、管理风险（决策风险、操作风险、技术风险、估值风险等）、信用风险、流动性风险、合规风险和其他风险。</w:t>
      </w:r>
    </w:p>
    <w:p w14:paraId="647AEE6F" w14:textId="77777777" w:rsidR="005D6F21" w:rsidRDefault="00043615">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基金管理人依照恪尽职守、诚实信用、谨慎勤勉的原则管理和运用基金财产，但不保证基金一定盈利，也不保证最低收益。基金投资者自依基金合同取得基金份额，即成为基金份额持有人和基金合同的当事人。</w:t>
      </w:r>
    </w:p>
    <w:p w14:paraId="520FA1D3"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E2C9E45" w14:textId="77777777" w:rsidR="005D6F21" w:rsidRDefault="005D6F21">
      <w:pPr>
        <w:autoSpaceDE w:val="0"/>
        <w:autoSpaceDN w:val="0"/>
        <w:adjustRightInd w:val="0"/>
        <w:spacing w:line="280" w:lineRule="exact"/>
        <w:jc w:val="left"/>
        <w:rPr>
          <w:rFonts w:ascii="方正仿宋简体" w:eastAsia="方正仿宋简体"/>
        </w:rPr>
      </w:pPr>
    </w:p>
    <w:p w14:paraId="60C06886"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3CC00AD9"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2E6CEF9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243035A5"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6886C0D9"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14A130BB"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lastRenderedPageBreak/>
        <w:t>(5)其他重要资料</w:t>
      </w:r>
    </w:p>
    <w:p w14:paraId="774A46B5" w14:textId="77777777" w:rsidR="005D6F21" w:rsidRDefault="005D6F21">
      <w:pPr>
        <w:autoSpaceDE w:val="0"/>
        <w:autoSpaceDN w:val="0"/>
        <w:adjustRightInd w:val="0"/>
        <w:spacing w:line="280" w:lineRule="exact"/>
        <w:jc w:val="left"/>
        <w:rPr>
          <w:rFonts w:ascii="方正仿宋简体" w:eastAsia="方正仿宋简体"/>
        </w:rPr>
      </w:pPr>
    </w:p>
    <w:p w14:paraId="7787809E"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争议解决方式：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14:paraId="06D73EFE" w14:textId="77777777" w:rsidR="005D6F21" w:rsidRDefault="005D6F21">
      <w:pPr>
        <w:spacing w:line="320" w:lineRule="exact"/>
        <w:ind w:firstLine="420"/>
        <w:rPr>
          <w:rFonts w:ascii="方正仿宋简体" w:eastAsia="方正仿宋简体" w:hAnsi="方正仿宋简体" w:cs="方正仿宋简体"/>
          <w:iCs/>
        </w:rPr>
      </w:pPr>
    </w:p>
    <w:p w14:paraId="48E922A5" w14:textId="77777777" w:rsidR="005D6F21" w:rsidRDefault="005D6F21">
      <w:pPr>
        <w:autoSpaceDE w:val="0"/>
        <w:autoSpaceDN w:val="0"/>
        <w:adjustRightInd w:val="0"/>
        <w:spacing w:line="280" w:lineRule="exact"/>
        <w:jc w:val="left"/>
      </w:pPr>
    </w:p>
    <w:sectPr w:rsidR="005D6F21" w:rsidSect="00461A7D">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E0D78" w14:textId="77777777" w:rsidR="005B732D" w:rsidRDefault="005B732D" w:rsidP="0092395F">
      <w:r>
        <w:separator/>
      </w:r>
    </w:p>
  </w:endnote>
  <w:endnote w:type="continuationSeparator" w:id="0">
    <w:p w14:paraId="70461474" w14:textId="77777777" w:rsidR="005B732D" w:rsidRDefault="005B732D"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3CD0CA97" w14:textId="77777777" w:rsidR="00461A7D" w:rsidRDefault="00461A7D"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7765E">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7765E">
              <w:rPr>
                <w:b/>
                <w:bCs/>
                <w:noProof/>
              </w:rPr>
              <w:t>5</w:t>
            </w:r>
            <w:r>
              <w:rPr>
                <w:b/>
                <w:bCs/>
                <w:sz w:val="24"/>
                <w:szCs w:val="24"/>
              </w:rPr>
              <w:fldChar w:fldCharType="end"/>
            </w:r>
          </w:p>
        </w:sdtContent>
      </w:sdt>
    </w:sdtContent>
  </w:sdt>
  <w:p w14:paraId="30F8E9BC" w14:textId="77777777" w:rsidR="00461A7D" w:rsidRDefault="00461A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3A32" w14:textId="77777777" w:rsidR="005B732D" w:rsidRDefault="005B732D" w:rsidP="0092395F">
      <w:r>
        <w:separator/>
      </w:r>
    </w:p>
  </w:footnote>
  <w:footnote w:type="continuationSeparator" w:id="0">
    <w:p w14:paraId="2C7F53A5" w14:textId="77777777" w:rsidR="005B732D" w:rsidRDefault="005B732D"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370211B"/>
    <w:multiLevelType w:val="hybridMultilevel"/>
    <w:tmpl w:val="610EDC98"/>
    <w:lvl w:ilvl="0" w:tplc="22CC479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3615"/>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7765E"/>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1A7D"/>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32D"/>
    <w:rsid w:val="005B755C"/>
    <w:rsid w:val="005C1A5C"/>
    <w:rsid w:val="005C5197"/>
    <w:rsid w:val="005C64D0"/>
    <w:rsid w:val="005C65CA"/>
    <w:rsid w:val="005C6897"/>
    <w:rsid w:val="005C68EB"/>
    <w:rsid w:val="005C7259"/>
    <w:rsid w:val="005C75B8"/>
    <w:rsid w:val="005C77E0"/>
    <w:rsid w:val="005D013C"/>
    <w:rsid w:val="005D2905"/>
    <w:rsid w:val="005D45F5"/>
    <w:rsid w:val="005D6F21"/>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4BE"/>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D52AD"/>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174"/>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EE6"/>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274"/>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A31"/>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465"/>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16596"/>
    <w:rsid w:val="006340F8"/>
    <w:rsid w:val="00637E49"/>
    <w:rsid w:val="00656E21"/>
    <w:rsid w:val="00660FB7"/>
    <w:rsid w:val="00662A61"/>
    <w:rsid w:val="00666964"/>
    <w:rsid w:val="00672BB9"/>
    <w:rsid w:val="00680145"/>
    <w:rsid w:val="0069290D"/>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A44AF"/>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2630-524F-4CB8-A70E-BA116858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3852</Characters>
  <Application>Microsoft Office Word</Application>
  <DocSecurity>0</DocSecurity>
  <Lines>32</Lines>
  <Paragraphs>9</Paragraphs>
  <ScaleCrop>false</ScaleCrop>
  <Company>shenduxitong</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刘芳</cp:lastModifiedBy>
  <cp:revision>4</cp:revision>
  <dcterms:created xsi:type="dcterms:W3CDTF">2020-09-04T09:43:00Z</dcterms:created>
  <dcterms:modified xsi:type="dcterms:W3CDTF">2020-10-15T03:27:00Z</dcterms:modified>
</cp:coreProperties>
</file>