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spacing w:line="800" w:lineRule="exact"/>
        <w:jc w:val="center"/>
        <w:rPr>
          <w:rFonts w:ascii="宋体" w:hAnsi="宋体" w:eastAsia="宋体"/>
          <w:b/>
          <w:sz w:val="52"/>
        </w:rPr>
      </w:pPr>
      <w:r>
        <w:rPr>
          <w:rFonts w:hint="eastAsia" w:ascii="宋体" w:hAnsi="宋体" w:eastAsia="宋体"/>
          <w:b/>
          <w:sz w:val="52"/>
        </w:rPr>
        <w:t>博时逆向投资混合型证券投资基金</w:t>
      </w:r>
    </w:p>
    <w:p>
      <w:pPr>
        <w:widowControl/>
        <w:spacing w:line="800" w:lineRule="exact"/>
        <w:jc w:val="center"/>
        <w:rPr>
          <w:rFonts w:ascii="宋体" w:hAnsi="宋体" w:eastAsia="宋体"/>
          <w:b/>
          <w:sz w:val="52"/>
        </w:rPr>
      </w:pPr>
      <w:r>
        <w:rPr>
          <w:rFonts w:hint="eastAsia" w:ascii="宋体" w:hAnsi="宋体" w:eastAsia="宋体"/>
          <w:b/>
          <w:sz w:val="52"/>
        </w:rPr>
        <w:t>更新招募说明书</w:t>
      </w: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30"/>
        </w:rPr>
      </w:pPr>
      <w:r>
        <w:rPr>
          <w:rFonts w:hint="eastAsia" w:ascii="宋体" w:hAnsi="宋体" w:eastAsia="宋体"/>
          <w:b/>
          <w:sz w:val="30"/>
        </w:rPr>
        <w:t>基金管理人</w:t>
      </w:r>
      <w:r>
        <w:rPr>
          <w:rFonts w:ascii="宋体" w:hAnsi="宋体" w:eastAsia="宋体"/>
          <w:b/>
          <w:sz w:val="30"/>
        </w:rPr>
        <w:t>: 博时基金管理有限公司</w:t>
      </w:r>
    </w:p>
    <w:p>
      <w:pPr>
        <w:widowControl/>
        <w:spacing w:line="800" w:lineRule="exact"/>
        <w:jc w:val="center"/>
        <w:rPr>
          <w:rFonts w:ascii="宋体" w:hAnsi="宋体" w:eastAsia="宋体" w:cstheme="majorBidi"/>
          <w:b/>
          <w:bCs/>
          <w:sz w:val="30"/>
          <w:szCs w:val="32"/>
        </w:rPr>
      </w:pPr>
      <w:r>
        <w:rPr>
          <w:rFonts w:hint="eastAsia" w:ascii="宋体" w:hAnsi="宋体" w:eastAsia="宋体"/>
          <w:b/>
          <w:sz w:val="30"/>
        </w:rPr>
        <w:t>基金托管人</w:t>
      </w:r>
      <w:r>
        <w:rPr>
          <w:rFonts w:ascii="宋体" w:hAnsi="宋体" w:eastAsia="宋体"/>
          <w:b/>
          <w:sz w:val="30"/>
        </w:rPr>
        <w:t>: 中国银行股份有限公司</w:t>
      </w:r>
      <w:r>
        <w:rPr>
          <w:rFonts w:ascii="宋体" w:hAnsi="宋体" w:eastAsia="宋体"/>
          <w:b/>
          <w:sz w:val="30"/>
        </w:rPr>
        <w:br w:type="page"/>
      </w:r>
    </w:p>
    <w:p>
      <w:pPr>
        <w:pStyle w:val="2"/>
        <w:jc w:val="center"/>
        <w:rPr>
          <w:rFonts w:ascii="宋体" w:hAnsi="宋体" w:eastAsia="宋体"/>
          <w:sz w:val="30"/>
        </w:rPr>
      </w:pPr>
      <w:bookmarkStart w:id="0" w:name="_Toc113628531"/>
      <w:r>
        <w:rPr>
          <w:rFonts w:hint="eastAsia" w:ascii="宋体" w:hAnsi="宋体" w:eastAsia="宋体"/>
          <w:sz w:val="30"/>
        </w:rPr>
        <w:t>【重要提示】</w:t>
      </w:r>
      <w:bookmarkEnd w:id="0"/>
    </w:p>
    <w:p>
      <w:pPr>
        <w:pStyle w:val="7"/>
        <w:spacing w:before="0" w:beforeAutospacing="0" w:after="0" w:afterAutospacing="0" w:line="360" w:lineRule="auto"/>
        <w:ind w:firstLine="420"/>
        <w:rPr>
          <w:sz w:val="21"/>
          <w:szCs w:val="21"/>
        </w:rPr>
      </w:pPr>
      <w:r>
        <w:rPr>
          <w:rFonts w:hint="eastAsia"/>
          <w:sz w:val="21"/>
          <w:szCs w:val="21"/>
        </w:rPr>
        <w:t>本基金经中国证监会</w:t>
      </w:r>
      <w:bookmarkStart w:id="1" w:name="field_2343_approveddate_1"/>
      <w:r>
        <w:rPr>
          <w:sz w:val="21"/>
          <w:szCs w:val="21"/>
        </w:rPr>
        <w:t>2017年1月6日</w:t>
      </w:r>
      <w:bookmarkEnd w:id="1"/>
      <w:r>
        <w:rPr>
          <w:rFonts w:hint="eastAsia"/>
          <w:sz w:val="21"/>
          <w:szCs w:val="21"/>
        </w:rPr>
        <w:t>证监许可</w:t>
      </w:r>
      <w:bookmarkStart w:id="2" w:name="field_2343_lotnumber_1"/>
      <w:r>
        <w:rPr>
          <w:sz w:val="21"/>
          <w:szCs w:val="21"/>
        </w:rPr>
        <w:t>[2017]24</w:t>
      </w:r>
      <w:bookmarkEnd w:id="2"/>
      <w:r>
        <w:rPr>
          <w:rFonts w:hint="eastAsia"/>
          <w:sz w:val="21"/>
          <w:szCs w:val="21"/>
        </w:rPr>
        <w:t xml:space="preserve">号文准予注册。  </w:t>
      </w:r>
    </w:p>
    <w:p>
      <w:pPr>
        <w:pStyle w:val="7"/>
        <w:spacing w:before="0" w:beforeAutospacing="0" w:after="0" w:afterAutospacing="0" w:line="360" w:lineRule="auto"/>
        <w:ind w:firstLine="420"/>
        <w:rPr>
          <w:sz w:val="21"/>
          <w:szCs w:val="21"/>
        </w:rPr>
      </w:pPr>
      <w:r>
        <w:rPr>
          <w:rFonts w:hint="eastAsia"/>
          <w:sz w:val="21"/>
          <w:szCs w:val="21"/>
        </w:rPr>
        <w:t xml:space="preserve">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  </w:t>
      </w:r>
    </w:p>
    <w:p>
      <w:pPr>
        <w:pStyle w:val="7"/>
        <w:spacing w:before="0" w:beforeAutospacing="0" w:after="0" w:afterAutospacing="0" w:line="360" w:lineRule="auto"/>
        <w:ind w:firstLine="420"/>
        <w:rPr>
          <w:sz w:val="21"/>
          <w:szCs w:val="21"/>
        </w:rPr>
      </w:pPr>
      <w:r>
        <w:rPr>
          <w:rFonts w:hint="eastAsia"/>
          <w:sz w:val="21"/>
          <w:szCs w:val="21"/>
        </w:rPr>
        <w:t xml:space="preserve">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为混合型基金，属于中高收益/风险特征的基金，其预期收益及预期风险水平低于股票型基金，高于债券型基金及货币市场基金。  </w:t>
      </w:r>
    </w:p>
    <w:p>
      <w:pPr>
        <w:pStyle w:val="7"/>
        <w:spacing w:before="0" w:beforeAutospacing="0" w:after="0" w:afterAutospacing="0" w:line="360" w:lineRule="auto"/>
        <w:ind w:firstLine="420"/>
        <w:rPr>
          <w:sz w:val="21"/>
          <w:szCs w:val="21"/>
        </w:rPr>
      </w:pPr>
      <w:r>
        <w:rPr>
          <w:rFonts w:hint="eastAsia"/>
          <w:sz w:val="21"/>
          <w:szCs w:val="21"/>
        </w:rPr>
        <w:t xml:space="preserve">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本基金主要投资于具有良好流动性的金融工具，包括国内依法发行上市的股票（含存托凭证）、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pPr>
        <w:pStyle w:val="7"/>
        <w:spacing w:before="0" w:beforeAutospacing="0" w:after="0" w:afterAutospacing="0" w:line="360" w:lineRule="auto"/>
        <w:ind w:firstLine="420"/>
        <w:rPr>
          <w:sz w:val="21"/>
          <w:szCs w:val="21"/>
        </w:rPr>
      </w:pPr>
      <w:r>
        <w:rPr>
          <w:rFonts w:hint="eastAsia"/>
          <w:sz w:val="21"/>
          <w:szCs w:val="21"/>
        </w:rPr>
        <w:t>本基金以</w:t>
      </w:r>
      <w:bookmarkStart w:id="3" w:name="field_2343_facevalue_1"/>
      <w:r>
        <w:rPr>
          <w:sz w:val="21"/>
          <w:szCs w:val="21"/>
        </w:rPr>
        <w:t>1.00</w:t>
      </w:r>
      <w:bookmarkEnd w:id="3"/>
      <w:r>
        <w:rPr>
          <w:rFonts w:hint="eastAsia"/>
          <w:sz w:val="21"/>
          <w:szCs w:val="21"/>
        </w:rPr>
        <w:t xml:space="preserve">元初始面值募集基金份额，在市场波动等因素的影响下，基金投资有可能出现亏损或基金份额净值低于初始面值。  </w:t>
      </w:r>
    </w:p>
    <w:p>
      <w:pPr>
        <w:pStyle w:val="7"/>
        <w:spacing w:before="0" w:beforeAutospacing="0" w:after="0" w:afterAutospacing="0" w:line="360" w:lineRule="auto"/>
        <w:ind w:firstLine="420"/>
        <w:rPr>
          <w:sz w:val="21"/>
          <w:szCs w:val="21"/>
        </w:rPr>
      </w:pPr>
      <w:r>
        <w:rPr>
          <w:rFonts w:hint="eastAsia"/>
          <w:sz w:val="21"/>
          <w:szCs w:val="21"/>
        </w:rPr>
        <w:t xml:space="preserve">投资有风险，投资人认购（或申购）基金时应认真阅读基金合同、本招募说明书、基金产品资料概要等信息披露文件，自主判断基金的投资价值，自主做出投资决策，自行承担投资风险。基金的过往业绩并不预示其未来表现。基金管理人管理的其他基金的业绩并不构成新基金业绩表现的保证。  </w:t>
      </w:r>
    </w:p>
    <w:p>
      <w:pPr>
        <w:pStyle w:val="7"/>
        <w:spacing w:before="0" w:beforeAutospacing="0" w:after="0" w:afterAutospacing="0" w:line="360" w:lineRule="auto"/>
        <w:ind w:firstLine="420"/>
        <w:rPr>
          <w:sz w:val="21"/>
          <w:szCs w:val="21"/>
        </w:rPr>
      </w:pPr>
      <w:r>
        <w:rPr>
          <w:rFonts w:hint="eastAsia"/>
          <w:sz w:val="21"/>
          <w:szCs w:val="21"/>
        </w:rPr>
        <w:t xml:space="preserve">基金管理人依照恪尽职守、诚实信用、谨慎勤勉的原则管理和运用基金财产，但不保证基金一定盈利，也不保证最低收益。基金管理人提醒投资者基金投资的“买者自负”原则，在作出投资决策后，基金运营状况与基金净值变化引致的投资风险，由投资者自行承担。  </w:t>
      </w:r>
    </w:p>
    <w:p>
      <w:pPr>
        <w:pStyle w:val="7"/>
        <w:spacing w:before="0" w:beforeAutospacing="0" w:after="0" w:afterAutospacing="0" w:line="360" w:lineRule="auto"/>
        <w:ind w:firstLine="420"/>
        <w:rPr>
          <w:sz w:val="21"/>
          <w:szCs w:val="21"/>
        </w:rPr>
      </w:pPr>
      <w:r>
        <w:rPr>
          <w:rFonts w:hint="eastAsia"/>
          <w:sz w:val="21"/>
          <w:szCs w:val="21"/>
        </w:rPr>
        <w:t>本招募说明书（更新）所载内容截止日为</w:t>
      </w:r>
      <w:bookmarkStart w:id="4" w:name="field_2343_infoendday_1"/>
      <w:r>
        <w:rPr>
          <w:sz w:val="21"/>
          <w:szCs w:val="21"/>
        </w:rPr>
        <w:t>202</w:t>
      </w:r>
      <w:r>
        <w:rPr>
          <w:rFonts w:hint="eastAsia"/>
          <w:sz w:val="21"/>
          <w:szCs w:val="21"/>
        </w:rPr>
        <w:t>3</w:t>
      </w:r>
      <w:r>
        <w:rPr>
          <w:sz w:val="21"/>
          <w:szCs w:val="21"/>
        </w:rPr>
        <w:t>年</w:t>
      </w:r>
      <w:r>
        <w:rPr>
          <w:rFonts w:hint="eastAsia"/>
          <w:sz w:val="21"/>
          <w:szCs w:val="21"/>
        </w:rPr>
        <w:t>7</w:t>
      </w:r>
      <w:r>
        <w:rPr>
          <w:sz w:val="21"/>
          <w:szCs w:val="21"/>
        </w:rPr>
        <w:t>月</w:t>
      </w:r>
      <w:r>
        <w:rPr>
          <w:rFonts w:hint="eastAsia"/>
          <w:sz w:val="21"/>
          <w:szCs w:val="21"/>
        </w:rPr>
        <w:t>8</w:t>
      </w:r>
      <w:r>
        <w:rPr>
          <w:sz w:val="21"/>
          <w:szCs w:val="21"/>
        </w:rPr>
        <w:t>日</w:t>
      </w:r>
      <w:bookmarkEnd w:id="4"/>
      <w:r>
        <w:rPr>
          <w:rFonts w:hint="eastAsia"/>
          <w:sz w:val="21"/>
          <w:szCs w:val="21"/>
        </w:rPr>
        <w:t>，有关财务数据和净值表现截止日为</w:t>
      </w:r>
      <w:bookmarkStart w:id="5" w:name="field_2343_financeendday_1"/>
      <w:r>
        <w:rPr>
          <w:sz w:val="21"/>
          <w:szCs w:val="21"/>
        </w:rPr>
        <w:t>2022年6月30日</w:t>
      </w:r>
      <w:bookmarkEnd w:id="5"/>
      <w:r>
        <w:rPr>
          <w:rFonts w:hint="eastAsia"/>
          <w:sz w:val="21"/>
          <w:szCs w:val="21"/>
        </w:rPr>
        <w:t xml:space="preserve">（财务数据未经审计）。  </w:t>
      </w:r>
      <w:r>
        <w:rPr>
          <w:sz w:val="30"/>
        </w:rPr>
        <w:br w:type="page"/>
      </w:r>
    </w:p>
    <w:p>
      <w:pPr>
        <w:widowControl/>
        <w:jc w:val="center"/>
        <w:rPr>
          <w:rFonts w:ascii="宋体" w:hAnsi="宋体" w:eastAsia="宋体"/>
          <w:b/>
          <w:sz w:val="28"/>
        </w:rPr>
      </w:pPr>
      <w:r>
        <w:rPr>
          <w:rFonts w:hint="eastAsia" w:ascii="宋体" w:hAnsi="宋体" w:eastAsia="宋体"/>
          <w:b/>
          <w:sz w:val="28"/>
        </w:rPr>
        <w:t>目录</w:t>
      </w:r>
    </w:p>
    <w:p>
      <w:pPr>
        <w:pStyle w:val="6"/>
        <w:tabs>
          <w:tab w:val="right" w:leader="dot" w:pos="8290"/>
        </w:tabs>
        <w:spacing w:line="360" w:lineRule="auto"/>
        <w:rPr>
          <w:rFonts w:ascii="宋体" w:hAnsi="宋体" w:eastAsia="宋体"/>
        </w:rPr>
      </w:pPr>
      <w:r>
        <w:rPr>
          <w:rFonts w:ascii="宋体" w:hAnsi="宋体" w:eastAsia="宋体"/>
        </w:rPr>
        <w:fldChar w:fldCharType="begin"/>
      </w:r>
      <w:r>
        <w:rPr>
          <w:rFonts w:ascii="宋体" w:hAnsi="宋体" w:eastAsia="宋体"/>
        </w:rPr>
        <w:instrText xml:space="preserve"> TOC \o "1-2" \f 8 \h \t "2" </w:instrText>
      </w:r>
      <w:r>
        <w:rPr>
          <w:rFonts w:ascii="宋体" w:hAnsi="宋体" w:eastAsia="宋体"/>
        </w:rPr>
        <w:fldChar w:fldCharType="separate"/>
      </w:r>
      <w:r>
        <w:fldChar w:fldCharType="begin"/>
      </w:r>
      <w:r>
        <w:instrText xml:space="preserve"> HYPERLINK \l "_Toc113628531" </w:instrText>
      </w:r>
      <w:r>
        <w:fldChar w:fldCharType="separate"/>
      </w:r>
      <w:r>
        <w:rPr>
          <w:rStyle w:val="12"/>
          <w:rFonts w:hint="eastAsia" w:ascii="宋体" w:hAnsi="宋体" w:eastAsia="宋体"/>
          <w:u w:val="none"/>
        </w:rPr>
        <w:t>【重要提示】</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_Toc113628531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"_Toc113628532" </w:instrText>
      </w:r>
      <w:r>
        <w:fldChar w:fldCharType="separate"/>
      </w:r>
      <w:r>
        <w:rPr>
          <w:rStyle w:val="12"/>
          <w:rFonts w:hint="eastAsia" w:ascii="宋体" w:hAnsi="宋体" w:eastAsia="宋体"/>
          <w:u w:val="none"/>
        </w:rPr>
        <w:t>第一部分</w:t>
      </w:r>
      <w:r>
        <w:rPr>
          <w:rStyle w:val="12"/>
          <w:rFonts w:ascii="宋体" w:hAnsi="宋体" w:eastAsia="宋体"/>
          <w:u w:val="none"/>
        </w:rPr>
        <w:t xml:space="preserve">  </w:t>
      </w:r>
      <w:r>
        <w:rPr>
          <w:rStyle w:val="12"/>
          <w:rFonts w:hint="eastAsia" w:ascii="宋体" w:hAnsi="宋体" w:eastAsia="宋体"/>
          <w:u w:val="none"/>
        </w:rPr>
        <w:t>绪言</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_Toc113628532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"_Toc113628533" </w:instrText>
      </w:r>
      <w:r>
        <w:fldChar w:fldCharType="separate"/>
      </w:r>
      <w:r>
        <w:rPr>
          <w:rStyle w:val="12"/>
          <w:rFonts w:hint="eastAsia" w:ascii="宋体" w:hAnsi="宋体" w:eastAsia="宋体"/>
          <w:u w:val="none"/>
        </w:rPr>
        <w:t>第二部分</w:t>
      </w:r>
      <w:r>
        <w:rPr>
          <w:rStyle w:val="12"/>
          <w:rFonts w:ascii="宋体" w:hAnsi="宋体" w:eastAsia="宋体"/>
          <w:u w:val="none"/>
        </w:rPr>
        <w:t xml:space="preserve">  </w:t>
      </w:r>
      <w:r>
        <w:rPr>
          <w:rStyle w:val="12"/>
          <w:rFonts w:hint="eastAsia" w:ascii="宋体" w:hAnsi="宋体" w:eastAsia="宋体"/>
          <w:u w:val="none"/>
        </w:rPr>
        <w:t>释义</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_Toc113628533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"_Toc113628534" </w:instrText>
      </w:r>
      <w:r>
        <w:fldChar w:fldCharType="separate"/>
      </w:r>
      <w:r>
        <w:rPr>
          <w:rStyle w:val="12"/>
          <w:rFonts w:hint="eastAsia" w:ascii="宋体" w:hAnsi="宋体" w:eastAsia="宋体"/>
          <w:u w:val="none"/>
        </w:rPr>
        <w:t>第三部分</w:t>
      </w:r>
      <w:r>
        <w:rPr>
          <w:rStyle w:val="12"/>
          <w:rFonts w:ascii="宋体" w:hAnsi="宋体" w:eastAsia="宋体"/>
          <w:u w:val="none"/>
        </w:rPr>
        <w:t xml:space="preserve">  </w:t>
      </w:r>
      <w:r>
        <w:rPr>
          <w:rStyle w:val="12"/>
          <w:rFonts w:hint="eastAsia" w:ascii="宋体" w:hAnsi="宋体" w:eastAsia="宋体"/>
          <w:u w:val="none"/>
        </w:rPr>
        <w:t>基金管理人</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_Toc113628534 \h </w:instrText>
      </w:r>
      <w:r>
        <w:rPr>
          <w:rFonts w:ascii="宋体" w:hAnsi="宋体" w:eastAsia="宋体"/>
        </w:rPr>
        <w:fldChar w:fldCharType="separate"/>
      </w:r>
      <w:r>
        <w:rPr>
          <w:rFonts w:ascii="宋体" w:hAnsi="宋体" w:eastAsia="宋体"/>
        </w:rPr>
        <w:t>10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"_Toc113628535" </w:instrText>
      </w:r>
      <w:r>
        <w:fldChar w:fldCharType="separate"/>
      </w:r>
      <w:r>
        <w:rPr>
          <w:rStyle w:val="12"/>
          <w:rFonts w:hint="eastAsia" w:ascii="宋体" w:hAnsi="宋体" w:eastAsia="宋体"/>
          <w:u w:val="none"/>
        </w:rPr>
        <w:t>第四部分</w:t>
      </w:r>
      <w:r>
        <w:rPr>
          <w:rStyle w:val="12"/>
          <w:rFonts w:ascii="宋体" w:hAnsi="宋体" w:eastAsia="宋体"/>
          <w:u w:val="none"/>
        </w:rPr>
        <w:t xml:space="preserve">  </w:t>
      </w:r>
      <w:r>
        <w:rPr>
          <w:rStyle w:val="12"/>
          <w:rFonts w:hint="eastAsia" w:ascii="宋体" w:hAnsi="宋体" w:eastAsia="宋体"/>
          <w:u w:val="none"/>
        </w:rPr>
        <w:t>基金托管人</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_Toc113628535 \h </w:instrText>
      </w:r>
      <w:r>
        <w:rPr>
          <w:rFonts w:ascii="宋体" w:hAnsi="宋体" w:eastAsia="宋体"/>
        </w:rPr>
        <w:fldChar w:fldCharType="separate"/>
      </w:r>
      <w:r>
        <w:rPr>
          <w:rFonts w:ascii="宋体" w:hAnsi="宋体" w:eastAsia="宋体"/>
        </w:rPr>
        <w:t>22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"_Toc113628536" </w:instrText>
      </w:r>
      <w:r>
        <w:fldChar w:fldCharType="separate"/>
      </w:r>
      <w:r>
        <w:rPr>
          <w:rStyle w:val="12"/>
          <w:rFonts w:hint="eastAsia" w:ascii="宋体" w:hAnsi="宋体" w:eastAsia="宋体"/>
          <w:u w:val="none"/>
        </w:rPr>
        <w:t>第五部分</w:t>
      </w:r>
      <w:r>
        <w:rPr>
          <w:rStyle w:val="12"/>
          <w:rFonts w:ascii="宋体" w:hAnsi="宋体" w:eastAsia="宋体"/>
          <w:u w:val="none"/>
        </w:rPr>
        <w:t xml:space="preserve">  </w:t>
      </w:r>
      <w:r>
        <w:rPr>
          <w:rStyle w:val="12"/>
          <w:rFonts w:hint="eastAsia" w:ascii="宋体" w:hAnsi="宋体" w:eastAsia="宋体"/>
          <w:u w:val="none"/>
        </w:rPr>
        <w:t>相关服务机构</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_Toc113628536 \h </w:instrText>
      </w:r>
      <w:r>
        <w:rPr>
          <w:rFonts w:ascii="宋体" w:hAnsi="宋体" w:eastAsia="宋体"/>
        </w:rPr>
        <w:fldChar w:fldCharType="separate"/>
      </w:r>
      <w:r>
        <w:rPr>
          <w:rFonts w:ascii="宋体" w:hAnsi="宋体" w:eastAsia="宋体"/>
        </w:rPr>
        <w:t>24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"_Toc113628537" </w:instrText>
      </w:r>
      <w:r>
        <w:fldChar w:fldCharType="separate"/>
      </w:r>
      <w:r>
        <w:rPr>
          <w:rStyle w:val="12"/>
          <w:rFonts w:hint="eastAsia" w:ascii="宋体" w:hAnsi="宋体" w:eastAsia="宋体"/>
          <w:u w:val="none"/>
        </w:rPr>
        <w:t>第六部分</w:t>
      </w:r>
      <w:r>
        <w:rPr>
          <w:rStyle w:val="12"/>
          <w:rFonts w:ascii="宋体" w:hAnsi="宋体" w:eastAsia="宋体"/>
          <w:u w:val="none"/>
        </w:rPr>
        <w:t xml:space="preserve">  </w:t>
      </w:r>
      <w:r>
        <w:rPr>
          <w:rStyle w:val="12"/>
          <w:rFonts w:hint="eastAsia" w:ascii="宋体" w:hAnsi="宋体" w:eastAsia="宋体"/>
          <w:u w:val="none"/>
        </w:rPr>
        <w:t>基金的募集与基金合同的生效</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_Toc113628537 \h </w:instrText>
      </w:r>
      <w:r>
        <w:rPr>
          <w:rFonts w:ascii="宋体" w:hAnsi="宋体" w:eastAsia="宋体"/>
        </w:rPr>
        <w:fldChar w:fldCharType="separate"/>
      </w:r>
      <w:r>
        <w:rPr>
          <w:rFonts w:ascii="宋体" w:hAnsi="宋体" w:eastAsia="宋体"/>
        </w:rPr>
        <w:t>56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"_Toc113628538" </w:instrText>
      </w:r>
      <w:r>
        <w:fldChar w:fldCharType="separate"/>
      </w:r>
      <w:r>
        <w:rPr>
          <w:rStyle w:val="12"/>
          <w:rFonts w:hint="eastAsia" w:ascii="宋体" w:hAnsi="宋体" w:eastAsia="宋体"/>
          <w:u w:val="none"/>
        </w:rPr>
        <w:t>第七部分</w:t>
      </w:r>
      <w:r>
        <w:rPr>
          <w:rStyle w:val="12"/>
          <w:rFonts w:ascii="宋体" w:hAnsi="宋体" w:eastAsia="宋体"/>
          <w:u w:val="none"/>
        </w:rPr>
        <w:t xml:space="preserve">  </w:t>
      </w:r>
      <w:r>
        <w:rPr>
          <w:rStyle w:val="12"/>
          <w:rFonts w:hint="eastAsia" w:ascii="宋体" w:hAnsi="宋体" w:eastAsia="宋体"/>
          <w:u w:val="none"/>
        </w:rPr>
        <w:t>基金份额的申购与赎回</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_Toc113628538 \h </w:instrText>
      </w:r>
      <w:r>
        <w:rPr>
          <w:rFonts w:ascii="宋体" w:hAnsi="宋体" w:eastAsia="宋体"/>
        </w:rPr>
        <w:fldChar w:fldCharType="separate"/>
      </w:r>
      <w:r>
        <w:rPr>
          <w:rFonts w:ascii="宋体" w:hAnsi="宋体" w:eastAsia="宋体"/>
        </w:rPr>
        <w:t>57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"_Toc113628539" </w:instrText>
      </w:r>
      <w:r>
        <w:fldChar w:fldCharType="separate"/>
      </w:r>
      <w:r>
        <w:rPr>
          <w:rStyle w:val="12"/>
          <w:rFonts w:hint="eastAsia" w:ascii="宋体" w:hAnsi="宋体" w:eastAsia="宋体"/>
          <w:u w:val="none"/>
        </w:rPr>
        <w:t>第八部分</w:t>
      </w:r>
      <w:r>
        <w:rPr>
          <w:rStyle w:val="12"/>
          <w:rFonts w:ascii="宋体" w:hAnsi="宋体" w:eastAsia="宋体"/>
          <w:u w:val="none"/>
        </w:rPr>
        <w:t xml:space="preserve">  </w:t>
      </w:r>
      <w:r>
        <w:rPr>
          <w:rStyle w:val="12"/>
          <w:rFonts w:hint="eastAsia" w:ascii="宋体" w:hAnsi="宋体" w:eastAsia="宋体"/>
          <w:u w:val="none"/>
        </w:rPr>
        <w:t>基金的投资</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_Toc113628539 \h </w:instrText>
      </w:r>
      <w:r>
        <w:rPr>
          <w:rFonts w:ascii="宋体" w:hAnsi="宋体" w:eastAsia="宋体"/>
        </w:rPr>
        <w:fldChar w:fldCharType="separate"/>
      </w:r>
      <w:r>
        <w:rPr>
          <w:rFonts w:ascii="宋体" w:hAnsi="宋体" w:eastAsia="宋体"/>
        </w:rPr>
        <w:t>68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"_Toc113628540" </w:instrText>
      </w:r>
      <w:r>
        <w:fldChar w:fldCharType="separate"/>
      </w:r>
      <w:r>
        <w:rPr>
          <w:rStyle w:val="12"/>
          <w:rFonts w:hint="eastAsia" w:ascii="宋体" w:hAnsi="宋体" w:eastAsia="宋体"/>
          <w:u w:val="none"/>
        </w:rPr>
        <w:t>第九部分</w:t>
      </w:r>
      <w:r>
        <w:rPr>
          <w:rStyle w:val="12"/>
          <w:rFonts w:ascii="宋体" w:hAnsi="宋体" w:eastAsia="宋体"/>
          <w:u w:val="none"/>
        </w:rPr>
        <w:t xml:space="preserve">  </w:t>
      </w:r>
      <w:r>
        <w:rPr>
          <w:rStyle w:val="12"/>
          <w:rFonts w:hint="eastAsia" w:ascii="宋体" w:hAnsi="宋体" w:eastAsia="宋体"/>
          <w:u w:val="none"/>
        </w:rPr>
        <w:t>基金的业绩</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_Toc113628540 \h </w:instrText>
      </w:r>
      <w:r>
        <w:rPr>
          <w:rFonts w:ascii="宋体" w:hAnsi="宋体" w:eastAsia="宋体"/>
        </w:rPr>
        <w:fldChar w:fldCharType="separate"/>
      </w:r>
      <w:r>
        <w:rPr>
          <w:rFonts w:ascii="宋体" w:hAnsi="宋体" w:eastAsia="宋体"/>
        </w:rPr>
        <w:t>79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"_Toc113628541" </w:instrText>
      </w:r>
      <w:r>
        <w:fldChar w:fldCharType="separate"/>
      </w:r>
      <w:r>
        <w:rPr>
          <w:rStyle w:val="12"/>
          <w:rFonts w:hint="eastAsia" w:ascii="宋体" w:hAnsi="宋体" w:eastAsia="宋体"/>
          <w:u w:val="none"/>
        </w:rPr>
        <w:t>第十部分</w:t>
      </w:r>
      <w:r>
        <w:rPr>
          <w:rStyle w:val="12"/>
          <w:rFonts w:ascii="宋体" w:hAnsi="宋体" w:eastAsia="宋体"/>
          <w:u w:val="none"/>
        </w:rPr>
        <w:t xml:space="preserve">  </w:t>
      </w:r>
      <w:r>
        <w:rPr>
          <w:rStyle w:val="12"/>
          <w:rFonts w:hint="eastAsia" w:ascii="宋体" w:hAnsi="宋体" w:eastAsia="宋体"/>
          <w:u w:val="none"/>
        </w:rPr>
        <w:t>基金的财产</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_Toc113628541 \h </w:instrText>
      </w:r>
      <w:r>
        <w:rPr>
          <w:rFonts w:ascii="宋体" w:hAnsi="宋体" w:eastAsia="宋体"/>
        </w:rPr>
        <w:fldChar w:fldCharType="separate"/>
      </w:r>
      <w:r>
        <w:rPr>
          <w:rFonts w:ascii="宋体" w:hAnsi="宋体" w:eastAsia="宋体"/>
        </w:rPr>
        <w:t>80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"_Toc113628542" </w:instrText>
      </w:r>
      <w:r>
        <w:fldChar w:fldCharType="separate"/>
      </w:r>
      <w:r>
        <w:rPr>
          <w:rStyle w:val="12"/>
          <w:rFonts w:hint="eastAsia" w:ascii="宋体" w:hAnsi="宋体" w:eastAsia="宋体"/>
          <w:u w:val="none"/>
        </w:rPr>
        <w:t>第十一部分</w:t>
      </w:r>
      <w:r>
        <w:rPr>
          <w:rStyle w:val="12"/>
          <w:rFonts w:ascii="宋体" w:hAnsi="宋体" w:eastAsia="宋体"/>
          <w:u w:val="none"/>
        </w:rPr>
        <w:t xml:space="preserve">  </w:t>
      </w:r>
      <w:r>
        <w:rPr>
          <w:rStyle w:val="12"/>
          <w:rFonts w:hint="eastAsia" w:ascii="宋体" w:hAnsi="宋体" w:eastAsia="宋体"/>
          <w:u w:val="none"/>
        </w:rPr>
        <w:t>基金资产的估值</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_Toc113628542 \h </w:instrText>
      </w:r>
      <w:r>
        <w:rPr>
          <w:rFonts w:ascii="宋体" w:hAnsi="宋体" w:eastAsia="宋体"/>
        </w:rPr>
        <w:fldChar w:fldCharType="separate"/>
      </w:r>
      <w:r>
        <w:rPr>
          <w:rFonts w:ascii="宋体" w:hAnsi="宋体" w:eastAsia="宋体"/>
        </w:rPr>
        <w:t>81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"_Toc113628543" </w:instrText>
      </w:r>
      <w:r>
        <w:fldChar w:fldCharType="separate"/>
      </w:r>
      <w:r>
        <w:rPr>
          <w:rStyle w:val="12"/>
          <w:rFonts w:hint="eastAsia" w:ascii="宋体" w:hAnsi="宋体" w:eastAsia="宋体"/>
          <w:u w:val="none"/>
        </w:rPr>
        <w:t>第十二部分</w:t>
      </w:r>
      <w:r>
        <w:rPr>
          <w:rStyle w:val="12"/>
          <w:rFonts w:ascii="宋体" w:hAnsi="宋体" w:eastAsia="宋体"/>
          <w:u w:val="none"/>
        </w:rPr>
        <w:t xml:space="preserve">  </w:t>
      </w:r>
      <w:r>
        <w:rPr>
          <w:rStyle w:val="12"/>
          <w:rFonts w:hint="eastAsia" w:ascii="宋体" w:hAnsi="宋体" w:eastAsia="宋体"/>
          <w:u w:val="none"/>
        </w:rPr>
        <w:t>基金的收益分配</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_Toc113628543 \h </w:instrText>
      </w:r>
      <w:r>
        <w:rPr>
          <w:rFonts w:ascii="宋体" w:hAnsi="宋体" w:eastAsia="宋体"/>
        </w:rPr>
        <w:fldChar w:fldCharType="separate"/>
      </w:r>
      <w:r>
        <w:rPr>
          <w:rFonts w:ascii="宋体" w:hAnsi="宋体" w:eastAsia="宋体"/>
        </w:rPr>
        <w:t>86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"_Toc113628544" </w:instrText>
      </w:r>
      <w:r>
        <w:fldChar w:fldCharType="separate"/>
      </w:r>
      <w:r>
        <w:rPr>
          <w:rStyle w:val="12"/>
          <w:rFonts w:hint="eastAsia" w:ascii="宋体" w:hAnsi="宋体" w:eastAsia="宋体"/>
          <w:u w:val="none"/>
        </w:rPr>
        <w:t>第十三部分</w:t>
      </w:r>
      <w:r>
        <w:rPr>
          <w:rStyle w:val="12"/>
          <w:rFonts w:ascii="宋体" w:hAnsi="宋体" w:eastAsia="宋体"/>
          <w:u w:val="none"/>
        </w:rPr>
        <w:t xml:space="preserve">  </w:t>
      </w:r>
      <w:r>
        <w:rPr>
          <w:rStyle w:val="12"/>
          <w:rFonts w:hint="eastAsia" w:ascii="宋体" w:hAnsi="宋体" w:eastAsia="宋体"/>
          <w:u w:val="none"/>
        </w:rPr>
        <w:t>基金费用与税收</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_Toc113628544 \h </w:instrText>
      </w:r>
      <w:r>
        <w:rPr>
          <w:rFonts w:ascii="宋体" w:hAnsi="宋体" w:eastAsia="宋体"/>
        </w:rPr>
        <w:fldChar w:fldCharType="separate"/>
      </w:r>
      <w:r>
        <w:rPr>
          <w:rFonts w:ascii="宋体" w:hAnsi="宋体" w:eastAsia="宋体"/>
        </w:rPr>
        <w:t>88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"_Toc113628545" </w:instrText>
      </w:r>
      <w:r>
        <w:fldChar w:fldCharType="separate"/>
      </w:r>
      <w:r>
        <w:rPr>
          <w:rStyle w:val="12"/>
          <w:rFonts w:hint="eastAsia" w:ascii="宋体" w:hAnsi="宋体" w:eastAsia="宋体"/>
          <w:u w:val="none"/>
        </w:rPr>
        <w:t>第十四部分</w:t>
      </w:r>
      <w:r>
        <w:rPr>
          <w:rStyle w:val="12"/>
          <w:rFonts w:ascii="宋体" w:hAnsi="宋体" w:eastAsia="宋体"/>
          <w:u w:val="none"/>
        </w:rPr>
        <w:t xml:space="preserve">  </w:t>
      </w:r>
      <w:r>
        <w:rPr>
          <w:rStyle w:val="12"/>
          <w:rFonts w:hint="eastAsia" w:ascii="宋体" w:hAnsi="宋体" w:eastAsia="宋体"/>
          <w:u w:val="none"/>
        </w:rPr>
        <w:t>基金的会计与审计</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_Toc113628545 \h </w:instrText>
      </w:r>
      <w:r>
        <w:rPr>
          <w:rFonts w:ascii="宋体" w:hAnsi="宋体" w:eastAsia="宋体"/>
        </w:rPr>
        <w:fldChar w:fldCharType="separate"/>
      </w:r>
      <w:r>
        <w:rPr>
          <w:rFonts w:ascii="宋体" w:hAnsi="宋体" w:eastAsia="宋体"/>
        </w:rPr>
        <w:t>90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"_Toc113628546" </w:instrText>
      </w:r>
      <w:r>
        <w:fldChar w:fldCharType="separate"/>
      </w:r>
      <w:r>
        <w:rPr>
          <w:rStyle w:val="12"/>
          <w:rFonts w:hint="eastAsia" w:ascii="宋体" w:hAnsi="宋体" w:eastAsia="宋体"/>
          <w:u w:val="none"/>
        </w:rPr>
        <w:t>第十五部分</w:t>
      </w:r>
      <w:r>
        <w:rPr>
          <w:rStyle w:val="12"/>
          <w:rFonts w:ascii="宋体" w:hAnsi="宋体" w:eastAsia="宋体"/>
          <w:u w:val="none"/>
        </w:rPr>
        <w:t xml:space="preserve">  </w:t>
      </w:r>
      <w:r>
        <w:rPr>
          <w:rStyle w:val="12"/>
          <w:rFonts w:hint="eastAsia" w:ascii="宋体" w:hAnsi="宋体" w:eastAsia="宋体"/>
          <w:u w:val="none"/>
        </w:rPr>
        <w:t>基金的信息披露</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_Toc113628546 \h </w:instrText>
      </w:r>
      <w:r>
        <w:rPr>
          <w:rFonts w:ascii="宋体" w:hAnsi="宋体" w:eastAsia="宋体"/>
        </w:rPr>
        <w:fldChar w:fldCharType="separate"/>
      </w:r>
      <w:r>
        <w:rPr>
          <w:rFonts w:ascii="宋体" w:hAnsi="宋体" w:eastAsia="宋体"/>
        </w:rPr>
        <w:t>91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"_Toc113628547" </w:instrText>
      </w:r>
      <w:r>
        <w:fldChar w:fldCharType="separate"/>
      </w:r>
      <w:r>
        <w:rPr>
          <w:rStyle w:val="12"/>
          <w:rFonts w:hint="eastAsia" w:ascii="宋体" w:hAnsi="宋体" w:eastAsia="宋体"/>
          <w:u w:val="none"/>
        </w:rPr>
        <w:t>第十六部分</w:t>
      </w:r>
      <w:r>
        <w:rPr>
          <w:rStyle w:val="12"/>
          <w:rFonts w:ascii="宋体" w:hAnsi="宋体" w:eastAsia="宋体"/>
          <w:u w:val="none"/>
        </w:rPr>
        <w:t xml:space="preserve">  </w:t>
      </w:r>
      <w:r>
        <w:rPr>
          <w:rStyle w:val="12"/>
          <w:rFonts w:hint="eastAsia" w:ascii="宋体" w:hAnsi="宋体" w:eastAsia="宋体"/>
          <w:u w:val="none"/>
        </w:rPr>
        <w:t>风险揭示</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_Toc113628547 \h </w:instrText>
      </w:r>
      <w:r>
        <w:rPr>
          <w:rFonts w:ascii="宋体" w:hAnsi="宋体" w:eastAsia="宋体"/>
        </w:rPr>
        <w:fldChar w:fldCharType="separate"/>
      </w:r>
      <w:r>
        <w:rPr>
          <w:rFonts w:ascii="宋体" w:hAnsi="宋体" w:eastAsia="宋体"/>
        </w:rPr>
        <w:t>98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"_Toc113628548" </w:instrText>
      </w:r>
      <w:r>
        <w:fldChar w:fldCharType="separate"/>
      </w:r>
      <w:r>
        <w:rPr>
          <w:rStyle w:val="12"/>
          <w:rFonts w:hint="eastAsia" w:ascii="宋体" w:hAnsi="宋体" w:eastAsia="宋体"/>
          <w:u w:val="none"/>
        </w:rPr>
        <w:t>第十七部分</w:t>
      </w:r>
      <w:r>
        <w:rPr>
          <w:rStyle w:val="12"/>
          <w:rFonts w:ascii="宋体" w:hAnsi="宋体" w:eastAsia="宋体"/>
          <w:u w:val="none"/>
        </w:rPr>
        <w:t xml:space="preserve">  </w:t>
      </w:r>
      <w:r>
        <w:rPr>
          <w:rStyle w:val="12"/>
          <w:rFonts w:hint="eastAsia" w:ascii="宋体" w:hAnsi="宋体" w:eastAsia="宋体"/>
          <w:u w:val="none"/>
        </w:rPr>
        <w:t>基金合同的变更、终止与基金财产的清算</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_Toc113628548 \h </w:instrText>
      </w:r>
      <w:r>
        <w:rPr>
          <w:rFonts w:ascii="宋体" w:hAnsi="宋体" w:eastAsia="宋体"/>
        </w:rPr>
        <w:fldChar w:fldCharType="separate"/>
      </w:r>
      <w:r>
        <w:rPr>
          <w:rFonts w:ascii="宋体" w:hAnsi="宋体" w:eastAsia="宋体"/>
        </w:rPr>
        <w:t>103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"_Toc113628549" </w:instrText>
      </w:r>
      <w:r>
        <w:fldChar w:fldCharType="separate"/>
      </w:r>
      <w:r>
        <w:rPr>
          <w:rStyle w:val="12"/>
          <w:rFonts w:hint="eastAsia" w:ascii="宋体" w:hAnsi="宋体" w:eastAsia="宋体"/>
          <w:u w:val="none"/>
        </w:rPr>
        <w:t>第十八部分</w:t>
      </w:r>
      <w:r>
        <w:rPr>
          <w:rStyle w:val="12"/>
          <w:rFonts w:ascii="宋体" w:hAnsi="宋体" w:eastAsia="宋体"/>
          <w:u w:val="none"/>
        </w:rPr>
        <w:t xml:space="preserve">  </w:t>
      </w:r>
      <w:r>
        <w:rPr>
          <w:rStyle w:val="12"/>
          <w:rFonts w:hint="eastAsia" w:ascii="宋体" w:hAnsi="宋体" w:eastAsia="宋体"/>
          <w:u w:val="none"/>
        </w:rPr>
        <w:t>基金合同的内容摘要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_Toc113628549 \h </w:instrText>
      </w:r>
      <w:r>
        <w:rPr>
          <w:rFonts w:ascii="宋体" w:hAnsi="宋体" w:eastAsia="宋体"/>
        </w:rPr>
        <w:fldChar w:fldCharType="separate"/>
      </w:r>
      <w:r>
        <w:rPr>
          <w:rFonts w:ascii="宋体" w:hAnsi="宋体" w:eastAsia="宋体"/>
        </w:rPr>
        <w:t>105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"_Toc113628550" </w:instrText>
      </w:r>
      <w:r>
        <w:fldChar w:fldCharType="separate"/>
      </w:r>
      <w:r>
        <w:rPr>
          <w:rStyle w:val="12"/>
          <w:rFonts w:hint="eastAsia" w:ascii="宋体" w:hAnsi="宋体" w:eastAsia="宋体"/>
          <w:u w:val="none"/>
        </w:rPr>
        <w:t>第十九部分</w:t>
      </w:r>
      <w:r>
        <w:rPr>
          <w:rStyle w:val="12"/>
          <w:rFonts w:ascii="宋体" w:hAnsi="宋体" w:eastAsia="宋体"/>
          <w:u w:val="none"/>
        </w:rPr>
        <w:t xml:space="preserve">  </w:t>
      </w:r>
      <w:r>
        <w:rPr>
          <w:rStyle w:val="12"/>
          <w:rFonts w:hint="eastAsia" w:ascii="宋体" w:hAnsi="宋体" w:eastAsia="宋体"/>
          <w:u w:val="none"/>
        </w:rPr>
        <w:t>基金托管协议的内容摘要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_Toc113628550 \h </w:instrText>
      </w:r>
      <w:r>
        <w:rPr>
          <w:rFonts w:ascii="宋体" w:hAnsi="宋体" w:eastAsia="宋体"/>
        </w:rPr>
        <w:fldChar w:fldCharType="separate"/>
      </w:r>
      <w:r>
        <w:rPr>
          <w:rFonts w:ascii="宋体" w:hAnsi="宋体" w:eastAsia="宋体"/>
        </w:rPr>
        <w:t>126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"_Toc113628551" </w:instrText>
      </w:r>
      <w:r>
        <w:fldChar w:fldCharType="separate"/>
      </w:r>
      <w:r>
        <w:rPr>
          <w:rStyle w:val="12"/>
          <w:rFonts w:hint="eastAsia" w:ascii="宋体" w:hAnsi="宋体" w:eastAsia="宋体"/>
          <w:u w:val="none"/>
        </w:rPr>
        <w:t>第二十部分</w:t>
      </w:r>
      <w:r>
        <w:rPr>
          <w:rStyle w:val="12"/>
          <w:rFonts w:ascii="宋体" w:hAnsi="宋体" w:eastAsia="宋体"/>
          <w:u w:val="none"/>
        </w:rPr>
        <w:t xml:space="preserve">  </w:t>
      </w:r>
      <w:r>
        <w:rPr>
          <w:rStyle w:val="12"/>
          <w:rFonts w:hint="eastAsia" w:ascii="宋体" w:hAnsi="宋体" w:eastAsia="宋体"/>
          <w:u w:val="none"/>
        </w:rPr>
        <w:t>对基金份额持有人的服务</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_Toc113628551 \h </w:instrText>
      </w:r>
      <w:r>
        <w:rPr>
          <w:rFonts w:ascii="宋体" w:hAnsi="宋体" w:eastAsia="宋体"/>
        </w:rPr>
        <w:fldChar w:fldCharType="separate"/>
      </w:r>
      <w:r>
        <w:rPr>
          <w:rFonts w:ascii="宋体" w:hAnsi="宋体" w:eastAsia="宋体"/>
        </w:rPr>
        <w:t>138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"_Toc113628552" </w:instrText>
      </w:r>
      <w:r>
        <w:fldChar w:fldCharType="separate"/>
      </w:r>
      <w:r>
        <w:rPr>
          <w:rStyle w:val="12"/>
          <w:rFonts w:hint="eastAsia" w:ascii="宋体" w:hAnsi="宋体" w:eastAsia="宋体"/>
          <w:u w:val="none"/>
        </w:rPr>
        <w:t>第二十一部分</w:t>
      </w:r>
      <w:r>
        <w:rPr>
          <w:rStyle w:val="12"/>
          <w:rFonts w:ascii="宋体" w:hAnsi="宋体" w:eastAsia="宋体"/>
          <w:u w:val="none"/>
        </w:rPr>
        <w:t xml:space="preserve">  </w:t>
      </w:r>
      <w:r>
        <w:rPr>
          <w:rStyle w:val="12"/>
          <w:rFonts w:hint="eastAsia" w:ascii="宋体" w:hAnsi="宋体" w:eastAsia="宋体"/>
          <w:u w:val="none"/>
        </w:rPr>
        <w:t>其他应披露的事项</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_Toc113628552 \h </w:instrText>
      </w:r>
      <w:r>
        <w:rPr>
          <w:rFonts w:ascii="宋体" w:hAnsi="宋体" w:eastAsia="宋体"/>
        </w:rPr>
        <w:fldChar w:fldCharType="separate"/>
      </w:r>
      <w:r>
        <w:rPr>
          <w:rFonts w:ascii="宋体" w:hAnsi="宋体" w:eastAsia="宋体"/>
        </w:rPr>
        <w:t>141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"_Toc113628553" </w:instrText>
      </w:r>
      <w:r>
        <w:fldChar w:fldCharType="separate"/>
      </w:r>
      <w:r>
        <w:rPr>
          <w:rStyle w:val="12"/>
          <w:rFonts w:hint="eastAsia" w:ascii="宋体" w:hAnsi="宋体" w:eastAsia="宋体"/>
          <w:u w:val="none"/>
        </w:rPr>
        <w:t>第二十二部分</w:t>
      </w:r>
      <w:r>
        <w:rPr>
          <w:rStyle w:val="12"/>
          <w:rFonts w:ascii="宋体" w:hAnsi="宋体" w:eastAsia="宋体"/>
          <w:u w:val="none"/>
        </w:rPr>
        <w:t xml:space="preserve">  </w:t>
      </w:r>
      <w:r>
        <w:rPr>
          <w:rStyle w:val="12"/>
          <w:rFonts w:hint="eastAsia" w:ascii="宋体" w:hAnsi="宋体" w:eastAsia="宋体"/>
          <w:u w:val="none"/>
        </w:rPr>
        <w:t>招募说明书存放及查阅方式</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_Toc113628553 \h </w:instrText>
      </w:r>
      <w:r>
        <w:rPr>
          <w:rFonts w:ascii="宋体" w:hAnsi="宋体" w:eastAsia="宋体"/>
        </w:rPr>
        <w:fldChar w:fldCharType="separate"/>
      </w:r>
      <w:r>
        <w:rPr>
          <w:rFonts w:ascii="宋体" w:hAnsi="宋体" w:eastAsia="宋体"/>
        </w:rPr>
        <w:t>144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"_Toc113628554" </w:instrText>
      </w:r>
      <w:r>
        <w:fldChar w:fldCharType="separate"/>
      </w:r>
      <w:r>
        <w:rPr>
          <w:rStyle w:val="12"/>
          <w:rFonts w:hint="eastAsia" w:ascii="宋体" w:hAnsi="宋体" w:eastAsia="宋体"/>
          <w:u w:val="none"/>
        </w:rPr>
        <w:t>第二十三部分</w:t>
      </w:r>
      <w:r>
        <w:rPr>
          <w:rStyle w:val="12"/>
          <w:rFonts w:ascii="宋体" w:hAnsi="宋体" w:eastAsia="宋体"/>
          <w:u w:val="none"/>
        </w:rPr>
        <w:t xml:space="preserve">  </w:t>
      </w:r>
      <w:r>
        <w:rPr>
          <w:rStyle w:val="12"/>
          <w:rFonts w:hint="eastAsia" w:ascii="宋体" w:hAnsi="宋体" w:eastAsia="宋体"/>
          <w:u w:val="none"/>
        </w:rPr>
        <w:t>备查文件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_Toc113628554 \h </w:instrText>
      </w:r>
      <w:r>
        <w:rPr>
          <w:rFonts w:ascii="宋体" w:hAnsi="宋体" w:eastAsia="宋体"/>
        </w:rPr>
        <w:fldChar w:fldCharType="separate"/>
      </w:r>
      <w:r>
        <w:rPr>
          <w:rFonts w:ascii="宋体" w:hAnsi="宋体" w:eastAsia="宋体"/>
        </w:rPr>
        <w:t>145</w:t>
      </w:r>
      <w:r>
        <w:rPr>
          <w:rFonts w:ascii="宋体" w:hAnsi="宋体" w:eastAsia="宋体"/>
        </w:rPr>
        <w:fldChar w:fldCharType="end"/>
      </w:r>
      <w:r>
        <w:rPr>
          <w:rFonts w:ascii="宋体" w:hAnsi="宋体" w:eastAsia="宋体"/>
        </w:rPr>
        <w:fldChar w:fldCharType="end"/>
      </w:r>
    </w:p>
    <w:p>
      <w:pPr>
        <w:widowControl/>
        <w:spacing w:line="360" w:lineRule="auto"/>
        <w:ind w:left="-2" w:leftChars="-1"/>
        <w:jc w:val="center"/>
        <w:rPr>
          <w:rFonts w:ascii="宋体" w:hAnsi="宋体" w:eastAsia="宋体"/>
          <w:b/>
          <w:sz w:val="28"/>
        </w:rPr>
      </w:pPr>
      <w:r>
        <w:rPr>
          <w:rFonts w:ascii="宋体" w:hAnsi="宋体" w:eastAsia="宋体"/>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6" w:name="_Toc113628532"/>
      <w:bookmarkStart w:id="7" w:name="chapter_level1_3_2344"/>
      <w:r>
        <w:rPr>
          <w:rFonts w:hint="eastAsia" w:ascii="宋体" w:hAnsi="宋体" w:eastAsia="宋体"/>
          <w:sz w:val="30"/>
        </w:rPr>
        <w:t>第一部分  绪言</w:t>
      </w:r>
      <w:bookmarkEnd w:id="6"/>
      <w:bookmarkEnd w:id="7"/>
    </w:p>
    <w:p>
      <w:pPr>
        <w:pStyle w:val="7"/>
        <w:spacing w:before="0" w:beforeAutospacing="0" w:after="0" w:afterAutospacing="0" w:line="360" w:lineRule="auto"/>
        <w:ind w:firstLine="420"/>
        <w:rPr>
          <w:sz w:val="21"/>
          <w:szCs w:val="21"/>
        </w:rPr>
      </w:pPr>
      <w:bookmarkStart w:id="8" w:name="chapter_level1_3_2344_section_1"/>
      <w:bookmarkEnd w:id="8"/>
      <w:r>
        <w:rPr>
          <w:rFonts w:hint="eastAsia"/>
          <w:sz w:val="21"/>
          <w:szCs w:val="21"/>
        </w:rPr>
        <w:t>《</w:t>
      </w:r>
      <w:bookmarkStart w:id="9" w:name="field_0_productfullname_1"/>
      <w:r>
        <w:rPr>
          <w:rFonts w:hint="eastAsia"/>
          <w:sz w:val="21"/>
          <w:szCs w:val="21"/>
        </w:rPr>
        <w:t>博时逆向投资混合型证券投资基金</w:t>
      </w:r>
      <w:bookmarkEnd w:id="9"/>
      <w:r>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w:t>
      </w:r>
      <w:bookmarkStart w:id="10" w:name="field_0_productfullname_2"/>
      <w:r>
        <w:rPr>
          <w:rFonts w:hint="eastAsia"/>
          <w:sz w:val="21"/>
          <w:szCs w:val="21"/>
        </w:rPr>
        <w:t>博时逆向投资混合型证券投资基金</w:t>
      </w:r>
      <w:bookmarkEnd w:id="10"/>
      <w:r>
        <w:rPr>
          <w:rFonts w:hint="eastAsia"/>
          <w:sz w:val="21"/>
          <w:szCs w:val="21"/>
        </w:rPr>
        <w:t xml:space="preserve">基金合同》（以下简称“基金合同”）编写。  </w:t>
      </w:r>
    </w:p>
    <w:p>
      <w:pPr>
        <w:pStyle w:val="7"/>
        <w:spacing w:before="0" w:beforeAutospacing="0" w:after="0" w:afterAutospacing="0" w:line="360" w:lineRule="auto"/>
        <w:ind w:firstLine="420"/>
        <w:rPr>
          <w:sz w:val="21"/>
          <w:szCs w:val="21"/>
        </w:rPr>
      </w:pPr>
      <w:r>
        <w:rPr>
          <w:rFonts w:hint="eastAsia"/>
          <w:sz w:val="21"/>
          <w:szCs w:val="21"/>
        </w:rPr>
        <w:t xml:space="preserve">基金管理人承诺本招募说明书不存在任何虚假记载、误导性陈述或重大遗漏，并对其真实性、准确性、完整性承担法律责任。 </w:t>
      </w:r>
    </w:p>
    <w:p>
      <w:pPr>
        <w:pStyle w:val="7"/>
        <w:spacing w:before="0" w:beforeAutospacing="0" w:after="0" w:afterAutospacing="0" w:line="360" w:lineRule="auto"/>
        <w:ind w:firstLine="420"/>
        <w:rPr>
          <w:sz w:val="21"/>
          <w:szCs w:val="21"/>
        </w:rPr>
      </w:pPr>
      <w:bookmarkStart w:id="11" w:name="field_0_productfullname_3"/>
      <w:r>
        <w:rPr>
          <w:rFonts w:hint="eastAsia"/>
          <w:sz w:val="21"/>
          <w:szCs w:val="21"/>
        </w:rPr>
        <w:t>博时逆向投资混合型证券投资基金</w:t>
      </w:r>
      <w:bookmarkEnd w:id="11"/>
      <w:r>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pPr>
        <w:pStyle w:val="7"/>
        <w:spacing w:before="0" w:beforeAutospacing="0" w:after="0" w:afterAutospacing="0" w:line="360" w:lineRule="auto"/>
        <w:ind w:firstLine="420"/>
        <w:rPr>
          <w:sz w:val="21"/>
          <w:szCs w:val="21"/>
        </w:rPr>
      </w:pPr>
      <w:r>
        <w:rPr>
          <w:rFonts w:hint="eastAsia"/>
          <w:sz w:val="21"/>
          <w:szCs w:val="21"/>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2" w:name="chapter_level1_3_2344_section_1_end"/>
      <w:bookmarkEnd w:id="12"/>
      <w:r>
        <w:rPr>
          <w:rFonts w:hint="eastAsia"/>
          <w:sz w:val="21"/>
          <w:szCs w:val="21"/>
        </w:rPr>
        <w:t xml:space="preserve">金合同。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3" w:name="_Toc113628533"/>
      <w:bookmarkStart w:id="14" w:name="chapter_level1_4_49"/>
      <w:r>
        <w:rPr>
          <w:rFonts w:hint="eastAsia" w:ascii="宋体" w:hAnsi="宋体" w:eastAsia="宋体"/>
          <w:sz w:val="30"/>
        </w:rPr>
        <w:t>第二部分  释义</w:t>
      </w:r>
      <w:bookmarkEnd w:id="13"/>
      <w:bookmarkEnd w:id="14"/>
    </w:p>
    <w:p>
      <w:pPr>
        <w:pStyle w:val="7"/>
        <w:spacing w:before="0" w:beforeAutospacing="0" w:after="0" w:afterAutospacing="0" w:line="360" w:lineRule="auto"/>
        <w:ind w:firstLine="420"/>
        <w:rPr>
          <w:sz w:val="21"/>
          <w:szCs w:val="21"/>
        </w:rPr>
      </w:pPr>
      <w:bookmarkStart w:id="15" w:name="chapter_level1_4_49_section_1"/>
      <w:bookmarkEnd w:id="15"/>
      <w:r>
        <w:rPr>
          <w:rFonts w:hint="eastAsia"/>
          <w:sz w:val="21"/>
          <w:szCs w:val="21"/>
        </w:rPr>
        <w:t xml:space="preserve">在本招募说明书中，除非文意另有所指，下列词语或简称具有如下含义： </w:t>
      </w:r>
    </w:p>
    <w:p>
      <w:pPr>
        <w:pStyle w:val="7"/>
        <w:spacing w:before="0" w:beforeAutospacing="0" w:after="0" w:afterAutospacing="0" w:line="360" w:lineRule="auto"/>
        <w:ind w:firstLine="420"/>
        <w:rPr>
          <w:sz w:val="21"/>
          <w:szCs w:val="21"/>
        </w:rPr>
      </w:pPr>
      <w:r>
        <w:rPr>
          <w:rFonts w:hint="eastAsia"/>
          <w:sz w:val="21"/>
          <w:szCs w:val="21"/>
        </w:rPr>
        <w:t>1、基金或本基金：指</w:t>
      </w:r>
      <w:bookmarkStart w:id="16" w:name="field_0_productfullname_4"/>
      <w:r>
        <w:rPr>
          <w:rFonts w:hint="eastAsia"/>
          <w:sz w:val="21"/>
          <w:szCs w:val="21"/>
        </w:rPr>
        <w:t>博时逆向投资混合型证券投资基金</w:t>
      </w:r>
      <w:bookmarkEnd w:id="16"/>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2、基金管理人：指</w:t>
      </w:r>
      <w:bookmarkStart w:id="17" w:name="field_0_managerorgfullname_1"/>
      <w:r>
        <w:rPr>
          <w:rFonts w:hint="eastAsia"/>
          <w:sz w:val="21"/>
          <w:szCs w:val="21"/>
        </w:rPr>
        <w:t>博时基金管理有限公司</w:t>
      </w:r>
      <w:bookmarkEnd w:id="17"/>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3、基金托管人：指</w:t>
      </w:r>
      <w:bookmarkStart w:id="18" w:name="field_0_trustorgfullname_1"/>
      <w:r>
        <w:rPr>
          <w:rFonts w:hint="eastAsia"/>
          <w:sz w:val="21"/>
          <w:szCs w:val="21"/>
        </w:rPr>
        <w:t>中国银行股份有限公司</w:t>
      </w:r>
      <w:bookmarkEnd w:id="18"/>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4、基金合同：指《</w:t>
      </w:r>
      <w:bookmarkStart w:id="19" w:name="field_0_productfullname_5"/>
      <w:r>
        <w:rPr>
          <w:rFonts w:hint="eastAsia"/>
          <w:sz w:val="21"/>
          <w:szCs w:val="21"/>
        </w:rPr>
        <w:t>博时逆向投资混合型证券投资基金</w:t>
      </w:r>
      <w:bookmarkEnd w:id="19"/>
      <w:r>
        <w:rPr>
          <w:rFonts w:hint="eastAsia"/>
          <w:sz w:val="21"/>
          <w:szCs w:val="21"/>
        </w:rPr>
        <w:t xml:space="preserve">基金合同》及对基金合同的任何有效修订和补充 </w:t>
      </w:r>
    </w:p>
    <w:p>
      <w:pPr>
        <w:pStyle w:val="7"/>
        <w:spacing w:before="0" w:beforeAutospacing="0" w:after="0" w:afterAutospacing="0" w:line="360" w:lineRule="auto"/>
        <w:ind w:firstLine="420"/>
        <w:rPr>
          <w:sz w:val="21"/>
          <w:szCs w:val="21"/>
        </w:rPr>
      </w:pPr>
      <w:r>
        <w:rPr>
          <w:rFonts w:hint="eastAsia"/>
          <w:sz w:val="21"/>
          <w:szCs w:val="21"/>
        </w:rPr>
        <w:t>5、托管协议：指基金管理人与基金托管人就本基金签订之《</w:t>
      </w:r>
      <w:bookmarkStart w:id="20" w:name="field_0_productfullname_6"/>
      <w:r>
        <w:rPr>
          <w:rFonts w:hint="eastAsia"/>
          <w:sz w:val="21"/>
          <w:szCs w:val="21"/>
        </w:rPr>
        <w:t>博时逆向投资混合型证券投资基金</w:t>
      </w:r>
      <w:bookmarkEnd w:id="20"/>
      <w:r>
        <w:rPr>
          <w:rFonts w:hint="eastAsia"/>
          <w:sz w:val="21"/>
          <w:szCs w:val="21"/>
        </w:rPr>
        <w:t xml:space="preserve">托管协议》及对该托管协议的任何有效修订和补充 </w:t>
      </w:r>
    </w:p>
    <w:p>
      <w:pPr>
        <w:pStyle w:val="7"/>
        <w:spacing w:before="0" w:beforeAutospacing="0" w:after="0" w:afterAutospacing="0" w:line="360" w:lineRule="auto"/>
        <w:ind w:firstLine="420"/>
        <w:rPr>
          <w:sz w:val="21"/>
          <w:szCs w:val="21"/>
        </w:rPr>
      </w:pPr>
      <w:r>
        <w:rPr>
          <w:rFonts w:hint="eastAsia"/>
          <w:sz w:val="21"/>
          <w:szCs w:val="21"/>
        </w:rPr>
        <w:t>6、招募说明书或本招募说明书：指《</w:t>
      </w:r>
      <w:bookmarkStart w:id="21" w:name="field_0_productfullname_7"/>
      <w:r>
        <w:rPr>
          <w:rFonts w:hint="eastAsia"/>
          <w:sz w:val="21"/>
          <w:szCs w:val="21"/>
        </w:rPr>
        <w:t>博时逆向投资混合型证券投资基金</w:t>
      </w:r>
      <w:bookmarkEnd w:id="21"/>
      <w:r>
        <w:rPr>
          <w:rFonts w:hint="eastAsia"/>
          <w:sz w:val="21"/>
          <w:szCs w:val="21"/>
        </w:rPr>
        <w:t xml:space="preserve">招募说明书》及其更新 </w:t>
      </w:r>
    </w:p>
    <w:p>
      <w:pPr>
        <w:pStyle w:val="7"/>
        <w:spacing w:before="0" w:beforeAutospacing="0" w:after="0" w:afterAutospacing="0" w:line="360" w:lineRule="auto"/>
        <w:ind w:firstLine="420"/>
        <w:rPr>
          <w:sz w:val="21"/>
          <w:szCs w:val="21"/>
        </w:rPr>
      </w:pPr>
      <w:r>
        <w:rPr>
          <w:rFonts w:hint="eastAsia"/>
          <w:sz w:val="21"/>
          <w:szCs w:val="21"/>
        </w:rPr>
        <w:t>7、基金份额发售公告：指《</w:t>
      </w:r>
      <w:bookmarkStart w:id="22" w:name="field_0_productfullname_8"/>
      <w:r>
        <w:rPr>
          <w:rFonts w:hint="eastAsia"/>
          <w:sz w:val="21"/>
          <w:szCs w:val="21"/>
        </w:rPr>
        <w:t>博时逆向投资混合型证券投资基金</w:t>
      </w:r>
      <w:bookmarkEnd w:id="22"/>
      <w:r>
        <w:rPr>
          <w:rFonts w:hint="eastAsia"/>
          <w:sz w:val="21"/>
          <w:szCs w:val="21"/>
        </w:rPr>
        <w:t xml:space="preserve">基金份额发售公告》 </w:t>
      </w:r>
    </w:p>
    <w:p>
      <w:pPr>
        <w:pStyle w:val="7"/>
        <w:spacing w:before="0" w:beforeAutospacing="0" w:after="0" w:afterAutospacing="0" w:line="360" w:lineRule="auto"/>
        <w:ind w:firstLine="420"/>
        <w:rPr>
          <w:sz w:val="21"/>
          <w:szCs w:val="21"/>
        </w:rPr>
      </w:pPr>
      <w:r>
        <w:rPr>
          <w:rFonts w:hint="eastAsia"/>
          <w:sz w:val="21"/>
          <w:szCs w:val="21"/>
        </w:rPr>
        <w:t>8、基金产品资料概要：指《</w:t>
      </w:r>
      <w:bookmarkStart w:id="23" w:name="field_0_productfullname_9"/>
      <w:r>
        <w:rPr>
          <w:rFonts w:hint="eastAsia"/>
          <w:sz w:val="21"/>
          <w:szCs w:val="21"/>
        </w:rPr>
        <w:t>博时逆向投资混合型证券投资基金</w:t>
      </w:r>
      <w:bookmarkEnd w:id="23"/>
      <w:r>
        <w:rPr>
          <w:rFonts w:hint="eastAsia"/>
          <w:sz w:val="21"/>
          <w:szCs w:val="21"/>
        </w:rPr>
        <w:t xml:space="preserve">基金产品资料概要》及其更新 </w:t>
      </w:r>
    </w:p>
    <w:p>
      <w:pPr>
        <w:pStyle w:val="7"/>
        <w:spacing w:before="0" w:beforeAutospacing="0" w:after="0" w:afterAutospacing="0" w:line="360" w:lineRule="auto"/>
        <w:ind w:firstLine="420"/>
        <w:rPr>
          <w:sz w:val="21"/>
          <w:szCs w:val="21"/>
        </w:rPr>
      </w:pPr>
      <w:r>
        <w:rPr>
          <w:rFonts w:hint="eastAsia"/>
          <w:sz w:val="21"/>
          <w:szCs w:val="21"/>
        </w:rPr>
        <w:t xml:space="preserve">9、法律法规：指中国现行有效并公布实施的法律、行政法规、规范性文件、司法解释、行政规章以及其他对基金合同当事人有约束力的决定、决议、通知等 </w:t>
      </w:r>
    </w:p>
    <w:p>
      <w:pPr>
        <w:pStyle w:val="7"/>
        <w:spacing w:before="0" w:beforeAutospacing="0" w:after="0" w:afterAutospacing="0" w:line="360" w:lineRule="auto"/>
        <w:ind w:firstLine="420"/>
        <w:rPr>
          <w:sz w:val="21"/>
          <w:szCs w:val="21"/>
        </w:rPr>
      </w:pPr>
      <w:r>
        <w:rPr>
          <w:rFonts w:hint="eastAsia"/>
          <w:sz w:val="21"/>
          <w:szCs w:val="21"/>
        </w:rPr>
        <w:t xml:space="preserve">10、《基金法》：指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11、《销售办法》：指中国证监会2013年3月15日颁布、同年6月1日实施的《证券投资基金销售管理办法》及颁布机关对其不时做出的修订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12、《信息披露办法》：指中国证监会2019年7月26日颁布、同年9月1日实施的《公开募集证券投资基金信息披露管理办法》及颁布机关对其不时做出的修订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13、《运作办法》：指中国证监会2014年7月7日颁布、同年8月8日实施的《公开募集证券投资基金运作管理办法》及颁布机关对其不时做出的修订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14、《流动性风险管理规定》：指中国证监会2017年8月31日颁布、同年10月1日实施的《公开募集开放式证券投资基金流动性风险管理规定》及颁布机关对其不时做出的修订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15、中国证监会：指中国证券监督管理委员会 </w:t>
      </w:r>
    </w:p>
    <w:p>
      <w:pPr>
        <w:pStyle w:val="7"/>
        <w:spacing w:before="0" w:beforeAutospacing="0" w:after="0" w:afterAutospacing="0" w:line="360" w:lineRule="auto"/>
        <w:ind w:firstLine="420"/>
        <w:rPr>
          <w:sz w:val="21"/>
          <w:szCs w:val="21"/>
        </w:rPr>
      </w:pPr>
      <w:r>
        <w:rPr>
          <w:rFonts w:hint="eastAsia"/>
          <w:sz w:val="21"/>
          <w:szCs w:val="21"/>
        </w:rPr>
        <w:t xml:space="preserve">16、银行业监督管理机构：指中国银行保险监督管理委员会 </w:t>
      </w:r>
    </w:p>
    <w:p>
      <w:pPr>
        <w:pStyle w:val="7"/>
        <w:spacing w:before="0" w:beforeAutospacing="0" w:after="0" w:afterAutospacing="0" w:line="360" w:lineRule="auto"/>
        <w:ind w:firstLine="420"/>
        <w:rPr>
          <w:sz w:val="21"/>
          <w:szCs w:val="21"/>
        </w:rPr>
      </w:pPr>
      <w:r>
        <w:rPr>
          <w:rFonts w:hint="eastAsia"/>
          <w:sz w:val="21"/>
          <w:szCs w:val="21"/>
        </w:rPr>
        <w:t xml:space="preserve">17、基金合同当事人：指受基金合同约束，根据基金合同享有权利并承担义务的法律主体，包括基金管理人、基金托管人和基金份额持有人 </w:t>
      </w:r>
    </w:p>
    <w:p>
      <w:pPr>
        <w:pStyle w:val="7"/>
        <w:spacing w:before="0" w:beforeAutospacing="0" w:after="0" w:afterAutospacing="0" w:line="360" w:lineRule="auto"/>
        <w:ind w:firstLine="420"/>
        <w:rPr>
          <w:sz w:val="21"/>
          <w:szCs w:val="21"/>
        </w:rPr>
      </w:pPr>
      <w:r>
        <w:rPr>
          <w:rFonts w:hint="eastAsia"/>
          <w:sz w:val="21"/>
          <w:szCs w:val="21"/>
        </w:rPr>
        <w:t xml:space="preserve">18、个人投资者：指依据有关法律法规规定可投资于证券投资基金的自然人 </w:t>
      </w:r>
    </w:p>
    <w:p>
      <w:pPr>
        <w:pStyle w:val="7"/>
        <w:spacing w:before="0" w:beforeAutospacing="0" w:after="0" w:afterAutospacing="0" w:line="360" w:lineRule="auto"/>
        <w:ind w:firstLine="420"/>
        <w:rPr>
          <w:sz w:val="21"/>
          <w:szCs w:val="21"/>
        </w:rPr>
      </w:pPr>
      <w:r>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pPr>
        <w:pStyle w:val="7"/>
        <w:spacing w:before="0" w:beforeAutospacing="0" w:after="0" w:afterAutospacing="0" w:line="360" w:lineRule="auto"/>
        <w:ind w:firstLine="420"/>
        <w:rPr>
          <w:sz w:val="21"/>
          <w:szCs w:val="21"/>
        </w:rPr>
      </w:pPr>
      <w:r>
        <w:rPr>
          <w:rFonts w:hint="eastAsia"/>
          <w:sz w:val="21"/>
          <w:szCs w:val="21"/>
        </w:rPr>
        <w:t xml:space="preserve">20、合格境外机构投资者：指符合《合格境外机构投资者境内证券投资管理办法》及相关法律法规规定可以投资于在中国境内依法募集的证券投资基金的中国境外的机构投资者 </w:t>
      </w:r>
    </w:p>
    <w:p>
      <w:pPr>
        <w:pStyle w:val="7"/>
        <w:spacing w:before="0" w:beforeAutospacing="0" w:after="0" w:afterAutospacing="0" w:line="360" w:lineRule="auto"/>
        <w:ind w:firstLine="420"/>
        <w:rPr>
          <w:sz w:val="21"/>
          <w:szCs w:val="21"/>
        </w:rPr>
      </w:pPr>
      <w:r>
        <w:rPr>
          <w:rFonts w:hint="eastAsia"/>
          <w:sz w:val="21"/>
          <w:szCs w:val="21"/>
        </w:rPr>
        <w:t xml:space="preserve">21、投资人：指个人投资者、机构投资者和合格境外机构投资者以及法律法规或中国证监会允许购买证券投资基金的其他投资人的合称 </w:t>
      </w:r>
    </w:p>
    <w:p>
      <w:pPr>
        <w:pStyle w:val="7"/>
        <w:spacing w:before="0" w:beforeAutospacing="0" w:after="0" w:afterAutospacing="0" w:line="360" w:lineRule="auto"/>
        <w:ind w:firstLine="420"/>
        <w:rPr>
          <w:sz w:val="21"/>
          <w:szCs w:val="21"/>
        </w:rPr>
      </w:pPr>
      <w:r>
        <w:rPr>
          <w:rFonts w:hint="eastAsia"/>
          <w:sz w:val="21"/>
          <w:szCs w:val="21"/>
        </w:rPr>
        <w:t xml:space="preserve">22、基金份额持有人：指依基金合同和招募说明书合法取得基金份额的投资人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23、基金销售业务：指基金管理人或销售机构宣传推介基金，发售基金份额，办理基金份额的申购、赎回、转换、转托管及定期定额投资等业务 </w:t>
      </w:r>
    </w:p>
    <w:p>
      <w:pPr>
        <w:pStyle w:val="7"/>
        <w:spacing w:before="0" w:beforeAutospacing="0" w:after="0" w:afterAutospacing="0" w:line="360" w:lineRule="auto"/>
        <w:ind w:firstLine="420"/>
        <w:rPr>
          <w:sz w:val="21"/>
          <w:szCs w:val="21"/>
        </w:rPr>
      </w:pPr>
      <w:r>
        <w:rPr>
          <w:rFonts w:hint="eastAsia"/>
          <w:sz w:val="21"/>
          <w:szCs w:val="21"/>
        </w:rPr>
        <w:t>24、销售机构：指</w:t>
      </w:r>
      <w:bookmarkStart w:id="24" w:name="field_0_managerorgfullname_2"/>
      <w:r>
        <w:rPr>
          <w:rFonts w:hint="eastAsia"/>
          <w:sz w:val="21"/>
          <w:szCs w:val="21"/>
        </w:rPr>
        <w:t>博时基金管理有限公司</w:t>
      </w:r>
      <w:bookmarkEnd w:id="24"/>
      <w:r>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pPr>
        <w:pStyle w:val="7"/>
        <w:spacing w:before="0" w:beforeAutospacing="0" w:after="0" w:afterAutospacing="0" w:line="360" w:lineRule="auto"/>
        <w:ind w:firstLine="420"/>
        <w:rPr>
          <w:sz w:val="21"/>
          <w:szCs w:val="21"/>
        </w:rPr>
      </w:pPr>
      <w:r>
        <w:rPr>
          <w:rFonts w:hint="eastAsia"/>
          <w:sz w:val="21"/>
          <w:szCs w:val="21"/>
        </w:rPr>
        <w:t xml:space="preserve">25、登记业务：指基金登记、存管、过户、清算和结算业务，具体内容包括投资人基金账户的建立和管理、基金份额登记、基金销售业务的确认、清算和结算、代理发放红利、建立并保管基金份额持有人名册和办理非交易过户等 </w:t>
      </w:r>
    </w:p>
    <w:p>
      <w:pPr>
        <w:pStyle w:val="7"/>
        <w:spacing w:before="0" w:beforeAutospacing="0" w:after="0" w:afterAutospacing="0" w:line="360" w:lineRule="auto"/>
        <w:ind w:firstLine="420"/>
        <w:rPr>
          <w:sz w:val="21"/>
          <w:szCs w:val="21"/>
        </w:rPr>
      </w:pPr>
      <w:r>
        <w:rPr>
          <w:rFonts w:hint="eastAsia"/>
          <w:sz w:val="21"/>
          <w:szCs w:val="21"/>
        </w:rPr>
        <w:t>26、登记机构：指办理登记业务的机构。基金的登记机构为</w:t>
      </w:r>
      <w:bookmarkStart w:id="25" w:name="field_0_managerorgfullname_3"/>
      <w:r>
        <w:rPr>
          <w:rFonts w:hint="eastAsia"/>
          <w:sz w:val="21"/>
          <w:szCs w:val="21"/>
        </w:rPr>
        <w:t>博时基金管理有限公司</w:t>
      </w:r>
      <w:bookmarkEnd w:id="25"/>
      <w:r>
        <w:rPr>
          <w:rFonts w:hint="eastAsia"/>
          <w:sz w:val="21"/>
          <w:szCs w:val="21"/>
        </w:rPr>
        <w:t>或接受</w:t>
      </w:r>
      <w:bookmarkStart w:id="26" w:name="field_0_managerorgfullname_4"/>
      <w:r>
        <w:rPr>
          <w:rFonts w:hint="eastAsia"/>
          <w:sz w:val="21"/>
          <w:szCs w:val="21"/>
        </w:rPr>
        <w:t>博时基金管理有限公司</w:t>
      </w:r>
      <w:bookmarkEnd w:id="26"/>
      <w:r>
        <w:rPr>
          <w:rFonts w:hint="eastAsia"/>
          <w:sz w:val="21"/>
          <w:szCs w:val="21"/>
        </w:rPr>
        <w:t>委托代为办</w:t>
      </w:r>
      <w:bookmarkStart w:id="27" w:name="chapter_level1_4_49_section_1_end"/>
      <w:bookmarkEnd w:id="27"/>
      <w:r>
        <w:rPr>
          <w:rFonts w:hint="eastAsia"/>
          <w:sz w:val="21"/>
          <w:szCs w:val="21"/>
        </w:rPr>
        <w:t xml:space="preserve">理登记业务的机构 </w:t>
      </w:r>
    </w:p>
    <w:p>
      <w:pPr>
        <w:pStyle w:val="7"/>
        <w:spacing w:before="0" w:beforeAutospacing="0" w:after="0" w:afterAutospacing="0" w:line="360" w:lineRule="auto"/>
        <w:ind w:firstLine="420"/>
        <w:rPr>
          <w:sz w:val="21"/>
          <w:szCs w:val="21"/>
        </w:rPr>
      </w:pPr>
      <w:bookmarkStart w:id="28" w:name="chapter_level1_4_49_section_2"/>
      <w:bookmarkEnd w:id="28"/>
      <w:r>
        <w:rPr>
          <w:rFonts w:hint="eastAsia"/>
          <w:sz w:val="21"/>
          <w:szCs w:val="21"/>
        </w:rPr>
        <w:t xml:space="preserve">27、基金账户：指登记机构为投资人开立的、记录其持有的、基金管理人所管理的基金份额余额及其变动情况的账户    </w:t>
      </w:r>
    </w:p>
    <w:p>
      <w:pPr>
        <w:pStyle w:val="7"/>
        <w:spacing w:before="0" w:beforeAutospacing="0" w:after="0" w:afterAutospacing="0" w:line="360" w:lineRule="auto"/>
        <w:ind w:firstLine="420"/>
        <w:rPr>
          <w:sz w:val="21"/>
          <w:szCs w:val="21"/>
        </w:rPr>
      </w:pPr>
      <w:r>
        <w:rPr>
          <w:rFonts w:hint="eastAsia"/>
          <w:sz w:val="21"/>
          <w:szCs w:val="21"/>
        </w:rPr>
        <w:t xml:space="preserve">28、基金交易账户：指销售机构为投资人开立的、记录投资人通过该销售机构办理认购、申购、赎回、转换、转托管及定期定额投资等业务而引起的基金份额变动及结余情况的账户 </w:t>
      </w:r>
    </w:p>
    <w:p>
      <w:pPr>
        <w:pStyle w:val="7"/>
        <w:spacing w:before="0" w:beforeAutospacing="0" w:after="0" w:afterAutospacing="0" w:line="360" w:lineRule="auto"/>
        <w:ind w:firstLine="420"/>
        <w:rPr>
          <w:sz w:val="21"/>
          <w:szCs w:val="21"/>
        </w:rPr>
      </w:pPr>
      <w:r>
        <w:rPr>
          <w:rFonts w:hint="eastAsia"/>
          <w:sz w:val="21"/>
          <w:szCs w:val="21"/>
        </w:rPr>
        <w:t xml:space="preserve">29、基金合同生效日：指基金募集达到法律法规规定及基金合同规定的条件，基金管理人向中国证监会办理基金备案手续完毕，并获得中国证监会书面确认的日期 </w:t>
      </w:r>
    </w:p>
    <w:p>
      <w:pPr>
        <w:pStyle w:val="7"/>
        <w:spacing w:before="0" w:beforeAutospacing="0" w:after="0" w:afterAutospacing="0" w:line="360" w:lineRule="auto"/>
        <w:ind w:firstLine="420"/>
        <w:rPr>
          <w:sz w:val="21"/>
          <w:szCs w:val="21"/>
        </w:rPr>
      </w:pPr>
      <w:r>
        <w:rPr>
          <w:rFonts w:hint="eastAsia"/>
          <w:sz w:val="21"/>
          <w:szCs w:val="21"/>
        </w:rPr>
        <w:t xml:space="preserve">30、基金合同终止日：指基金合同规定的基金合同终止事由出现后，基金财产清算完毕，清算结果报中国证监会备案并予以公告的日期 </w:t>
      </w:r>
    </w:p>
    <w:p>
      <w:pPr>
        <w:pStyle w:val="7"/>
        <w:spacing w:before="0" w:beforeAutospacing="0" w:after="0" w:afterAutospacing="0" w:line="360" w:lineRule="auto"/>
        <w:ind w:firstLine="420"/>
        <w:rPr>
          <w:sz w:val="21"/>
          <w:szCs w:val="21"/>
        </w:rPr>
      </w:pPr>
      <w:r>
        <w:rPr>
          <w:rFonts w:hint="eastAsia"/>
          <w:sz w:val="21"/>
          <w:szCs w:val="21"/>
        </w:rPr>
        <w:t xml:space="preserve">31、基金募集期：指自基金份额发售之日起至发售结束之日止的期间，最长不得超过3个月 </w:t>
      </w:r>
    </w:p>
    <w:p>
      <w:pPr>
        <w:pStyle w:val="7"/>
        <w:spacing w:before="0" w:beforeAutospacing="0" w:after="0" w:afterAutospacing="0" w:line="360" w:lineRule="auto"/>
        <w:ind w:firstLine="420"/>
        <w:rPr>
          <w:sz w:val="21"/>
          <w:szCs w:val="21"/>
        </w:rPr>
      </w:pPr>
      <w:r>
        <w:rPr>
          <w:rFonts w:hint="eastAsia"/>
          <w:sz w:val="21"/>
          <w:szCs w:val="21"/>
        </w:rPr>
        <w:t xml:space="preserve">32、存续期：指基金合同生效至终止之间的不定期期限 </w:t>
      </w:r>
    </w:p>
    <w:p>
      <w:pPr>
        <w:pStyle w:val="7"/>
        <w:spacing w:before="0" w:beforeAutospacing="0" w:after="0" w:afterAutospacing="0" w:line="360" w:lineRule="auto"/>
        <w:ind w:firstLine="420"/>
        <w:rPr>
          <w:sz w:val="21"/>
          <w:szCs w:val="21"/>
        </w:rPr>
      </w:pPr>
      <w:r>
        <w:rPr>
          <w:rFonts w:hint="eastAsia"/>
          <w:sz w:val="21"/>
          <w:szCs w:val="21"/>
        </w:rPr>
        <w:t xml:space="preserve">33、工作日：指上海证券交易所、深圳证券交易所的正常交易日 </w:t>
      </w:r>
    </w:p>
    <w:p>
      <w:pPr>
        <w:pStyle w:val="7"/>
        <w:spacing w:before="0" w:beforeAutospacing="0" w:after="0" w:afterAutospacing="0" w:line="360" w:lineRule="auto"/>
        <w:ind w:firstLine="420"/>
        <w:rPr>
          <w:sz w:val="21"/>
          <w:szCs w:val="21"/>
        </w:rPr>
      </w:pPr>
      <w:r>
        <w:rPr>
          <w:rFonts w:hint="eastAsia"/>
          <w:sz w:val="21"/>
          <w:szCs w:val="21"/>
        </w:rPr>
        <w:t xml:space="preserve">34、T日：指销售机构在规定时间受理投资人申购、赎回或其他业务申请的开放日 </w:t>
      </w:r>
    </w:p>
    <w:p>
      <w:pPr>
        <w:pStyle w:val="7"/>
        <w:spacing w:before="0" w:beforeAutospacing="0" w:after="0" w:afterAutospacing="0" w:line="360" w:lineRule="auto"/>
        <w:ind w:firstLine="420"/>
        <w:rPr>
          <w:sz w:val="21"/>
          <w:szCs w:val="21"/>
        </w:rPr>
      </w:pPr>
      <w:r>
        <w:rPr>
          <w:rFonts w:hint="eastAsia"/>
          <w:sz w:val="21"/>
          <w:szCs w:val="21"/>
        </w:rPr>
        <w:t xml:space="preserve">35、T+n日：指自T日起第n个工作日（不包含T日） </w:t>
      </w:r>
    </w:p>
    <w:p>
      <w:pPr>
        <w:pStyle w:val="7"/>
        <w:spacing w:before="0" w:beforeAutospacing="0" w:after="0" w:afterAutospacing="0" w:line="360" w:lineRule="auto"/>
        <w:ind w:firstLine="420"/>
        <w:rPr>
          <w:sz w:val="21"/>
          <w:szCs w:val="21"/>
        </w:rPr>
      </w:pPr>
      <w:r>
        <w:rPr>
          <w:rFonts w:hint="eastAsia"/>
          <w:sz w:val="21"/>
          <w:szCs w:val="21"/>
        </w:rPr>
        <w:t xml:space="preserve">36、开放日：指为投资人办理基金份额申购、赎回或其他业务的工作日 </w:t>
      </w:r>
    </w:p>
    <w:p>
      <w:pPr>
        <w:pStyle w:val="7"/>
        <w:spacing w:before="0" w:beforeAutospacing="0" w:after="0" w:afterAutospacing="0" w:line="360" w:lineRule="auto"/>
        <w:ind w:firstLine="420"/>
        <w:rPr>
          <w:sz w:val="21"/>
          <w:szCs w:val="21"/>
        </w:rPr>
      </w:pPr>
      <w:r>
        <w:rPr>
          <w:rFonts w:hint="eastAsia"/>
          <w:sz w:val="21"/>
          <w:szCs w:val="21"/>
        </w:rPr>
        <w:t xml:space="preserve">37、开放时间：指开放日基金接受申购、赎回或其他交易的时间段 </w:t>
      </w:r>
    </w:p>
    <w:p>
      <w:pPr>
        <w:pStyle w:val="7"/>
        <w:spacing w:before="0" w:beforeAutospacing="0" w:after="0" w:afterAutospacing="0" w:line="360" w:lineRule="auto"/>
        <w:ind w:firstLine="420"/>
        <w:rPr>
          <w:sz w:val="21"/>
          <w:szCs w:val="21"/>
        </w:rPr>
      </w:pPr>
      <w:r>
        <w:rPr>
          <w:rFonts w:hint="eastAsia"/>
          <w:sz w:val="21"/>
          <w:szCs w:val="21"/>
        </w:rPr>
        <w:t>38、《业务规则》：指《</w:t>
      </w:r>
      <w:bookmarkStart w:id="29" w:name="field_0_managerorgfullname_5"/>
      <w:r>
        <w:rPr>
          <w:rFonts w:hint="eastAsia"/>
          <w:sz w:val="21"/>
          <w:szCs w:val="21"/>
        </w:rPr>
        <w:t>博时基金管理有限公司</w:t>
      </w:r>
      <w:bookmarkEnd w:id="29"/>
      <w:r>
        <w:rPr>
          <w:rFonts w:hint="eastAsia"/>
          <w:sz w:val="21"/>
          <w:szCs w:val="21"/>
        </w:rPr>
        <w:t xml:space="preserve">开放式基金业务规则》，是规范基金管理人所管理的开放式证券投资基金登记方面的业务规则，由基金管理人和投资人共同遵守 </w:t>
      </w:r>
    </w:p>
    <w:p>
      <w:pPr>
        <w:pStyle w:val="7"/>
        <w:spacing w:before="0" w:beforeAutospacing="0" w:after="0" w:afterAutospacing="0" w:line="360" w:lineRule="auto"/>
        <w:ind w:firstLine="420"/>
        <w:rPr>
          <w:sz w:val="21"/>
          <w:szCs w:val="21"/>
        </w:rPr>
      </w:pPr>
      <w:r>
        <w:rPr>
          <w:rFonts w:hint="eastAsia"/>
          <w:sz w:val="21"/>
          <w:szCs w:val="21"/>
        </w:rPr>
        <w:t xml:space="preserve">39、认购：指在基金募集期内，投资人根据基金合同和招募说明书的规定申请购买基金份额的行为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40、申购：指基金合同生效后，投资人根据基金合同和招募说明书的规定申请购买基金份额的行为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41、赎回：指基金合同生效后，基金份额持有人按基金合同和招募说明书规定的条件要求将基金份额兑换为现金的行为 </w:t>
      </w:r>
    </w:p>
    <w:p>
      <w:pPr>
        <w:pStyle w:val="7"/>
        <w:spacing w:before="0" w:beforeAutospacing="0" w:after="0" w:afterAutospacing="0" w:line="360" w:lineRule="auto"/>
        <w:ind w:firstLine="420"/>
        <w:rPr>
          <w:sz w:val="21"/>
          <w:szCs w:val="21"/>
        </w:rPr>
      </w:pPr>
      <w:r>
        <w:rPr>
          <w:rFonts w:hint="eastAsia"/>
          <w:sz w:val="21"/>
          <w:szCs w:val="21"/>
        </w:rPr>
        <w:t xml:space="preserve">42、基金转换：指基金份额持有人按照基金合同和基金管理人届时有效公告规定的条件，申请将其持有基金管理人管理的、某一基金的基金份额转换为基金管理人管理的其他基金基金份额的行为 </w:t>
      </w:r>
    </w:p>
    <w:p>
      <w:pPr>
        <w:pStyle w:val="7"/>
        <w:spacing w:before="0" w:beforeAutospacing="0" w:after="0" w:afterAutospacing="0" w:line="360" w:lineRule="auto"/>
        <w:ind w:firstLine="420"/>
        <w:rPr>
          <w:sz w:val="21"/>
          <w:szCs w:val="21"/>
        </w:rPr>
      </w:pPr>
      <w:r>
        <w:rPr>
          <w:rFonts w:hint="eastAsia"/>
          <w:sz w:val="21"/>
          <w:szCs w:val="21"/>
        </w:rPr>
        <w:t xml:space="preserve">43、转托管：指基金份额持有人在本基金的不同销售机构之间实施的变更所持基金份额销售机构的操作 </w:t>
      </w:r>
    </w:p>
    <w:p>
      <w:pPr>
        <w:pStyle w:val="7"/>
        <w:spacing w:before="0" w:beforeAutospacing="0" w:after="0" w:afterAutospacing="0" w:line="360" w:lineRule="auto"/>
        <w:ind w:firstLine="420"/>
        <w:rPr>
          <w:sz w:val="21"/>
          <w:szCs w:val="21"/>
        </w:rPr>
      </w:pPr>
      <w:r>
        <w:rPr>
          <w:rFonts w:hint="eastAsia"/>
          <w:sz w:val="21"/>
          <w:szCs w:val="21"/>
        </w:rPr>
        <w:t xml:space="preserve">44、定期定额投资计划：指投资人通过有关销售机构提出申请，约定每期申购日、扣款金额及扣款方式，由销售机构于每期约定扣款日在投资人指定银行账户内自动完成扣款及受理基金申购申请的一种投资方式 </w:t>
      </w:r>
    </w:p>
    <w:p>
      <w:pPr>
        <w:pStyle w:val="7"/>
        <w:spacing w:before="0" w:beforeAutospacing="0" w:after="0" w:afterAutospacing="0" w:line="360" w:lineRule="auto"/>
        <w:ind w:firstLine="420"/>
        <w:rPr>
          <w:sz w:val="21"/>
          <w:szCs w:val="21"/>
        </w:rPr>
      </w:pPr>
      <w:r>
        <w:rPr>
          <w:rFonts w:hint="eastAsia"/>
          <w:sz w:val="21"/>
          <w:szCs w:val="21"/>
        </w:rPr>
        <w:t>45、巨额赎回：指本基金单个开放日，基金净赎回申请（赎回申请份额总数加上基金转换中转出申请份额总数后扣除申购申请份额总数及基金转换中转入申请份额总数后的余额）超过上一开放日基金总份额的 </w:t>
      </w:r>
      <w:bookmarkStart w:id="30" w:name="field_49_mintredeemscale_1"/>
      <w:r>
        <w:rPr>
          <w:sz w:val="21"/>
          <w:szCs w:val="21"/>
        </w:rPr>
        <w:t>10</w:t>
      </w:r>
      <w:bookmarkEnd w:id="30"/>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46、元：指人民币元 </w:t>
      </w:r>
    </w:p>
    <w:p>
      <w:pPr>
        <w:pStyle w:val="7"/>
        <w:spacing w:before="0" w:beforeAutospacing="0" w:after="0" w:afterAutospacing="0" w:line="360" w:lineRule="auto"/>
        <w:ind w:firstLine="420"/>
        <w:rPr>
          <w:sz w:val="21"/>
          <w:szCs w:val="21"/>
        </w:rPr>
      </w:pPr>
      <w:r>
        <w:rPr>
          <w:rFonts w:hint="eastAsia"/>
          <w:sz w:val="21"/>
          <w:szCs w:val="21"/>
        </w:rPr>
        <w:t xml:space="preserve">47、基金收益：指基金投资所得红利、股息、债券利息、买卖证券价差、银行存款利息、已实现的其他合法收入及因运用基金财产带来的成本和费用的节约 </w:t>
      </w:r>
    </w:p>
    <w:p>
      <w:pPr>
        <w:pStyle w:val="7"/>
        <w:spacing w:before="0" w:beforeAutospacing="0" w:after="0" w:afterAutospacing="0" w:line="360" w:lineRule="auto"/>
        <w:ind w:firstLine="420"/>
        <w:rPr>
          <w:sz w:val="21"/>
          <w:szCs w:val="21"/>
        </w:rPr>
      </w:pPr>
      <w:r>
        <w:rPr>
          <w:rFonts w:hint="eastAsia"/>
          <w:sz w:val="21"/>
          <w:szCs w:val="21"/>
        </w:rPr>
        <w:t xml:space="preserve">48、基金资产总值：指基金拥有的各类有价证券、银行存款本息、基金应收申购款及其他资产的价值总和 </w:t>
      </w:r>
    </w:p>
    <w:p>
      <w:pPr>
        <w:pStyle w:val="7"/>
        <w:spacing w:before="0" w:beforeAutospacing="0" w:after="0" w:afterAutospacing="0" w:line="360" w:lineRule="auto"/>
        <w:ind w:firstLine="420"/>
        <w:rPr>
          <w:sz w:val="21"/>
          <w:szCs w:val="21"/>
        </w:rPr>
      </w:pPr>
      <w:r>
        <w:rPr>
          <w:rFonts w:hint="eastAsia"/>
          <w:sz w:val="21"/>
          <w:szCs w:val="21"/>
        </w:rPr>
        <w:t xml:space="preserve">49、基金资产净值：指基金资产总值减去基金负债后的价值 </w:t>
      </w:r>
    </w:p>
    <w:p>
      <w:pPr>
        <w:pStyle w:val="7"/>
        <w:spacing w:before="0" w:beforeAutospacing="0" w:after="0" w:afterAutospacing="0" w:line="360" w:lineRule="auto"/>
        <w:ind w:firstLine="420"/>
        <w:rPr>
          <w:sz w:val="21"/>
          <w:szCs w:val="21"/>
        </w:rPr>
      </w:pPr>
      <w:r>
        <w:rPr>
          <w:rFonts w:hint="eastAsia"/>
          <w:sz w:val="21"/>
          <w:szCs w:val="21"/>
        </w:rPr>
        <w:t xml:space="preserve">50、基金份额净值：指计算日基金资产净值除以计算日基金份额总数 </w:t>
      </w:r>
    </w:p>
    <w:p>
      <w:pPr>
        <w:pStyle w:val="7"/>
        <w:spacing w:before="0" w:beforeAutospacing="0" w:after="0" w:afterAutospacing="0" w:line="360" w:lineRule="auto"/>
        <w:ind w:firstLine="420"/>
        <w:rPr>
          <w:sz w:val="21"/>
          <w:szCs w:val="21"/>
        </w:rPr>
      </w:pPr>
      <w:r>
        <w:rPr>
          <w:rFonts w:hint="eastAsia"/>
          <w:sz w:val="21"/>
          <w:szCs w:val="21"/>
        </w:rPr>
        <w:t xml:space="preserve">51、基金资产估值：指计算评估基金资产和负债的价值，以确定基金资产净值和基金份额净值的过程 </w:t>
      </w:r>
    </w:p>
    <w:p>
      <w:pPr>
        <w:pStyle w:val="7"/>
        <w:spacing w:before="0" w:beforeAutospacing="0" w:after="0" w:afterAutospacing="0" w:line="360" w:lineRule="auto"/>
        <w:ind w:firstLine="420"/>
        <w:rPr>
          <w:sz w:val="21"/>
          <w:szCs w:val="21"/>
        </w:rPr>
      </w:pPr>
      <w:r>
        <w:rPr>
          <w:rFonts w:hint="eastAsia"/>
          <w:sz w:val="21"/>
          <w:szCs w:val="21"/>
        </w:rPr>
        <w:t xml:space="preserve">52、基金份额的类别：本基金根据销售服务费收取方式的不同，将基金份额分为不同的类别 </w:t>
      </w:r>
    </w:p>
    <w:p>
      <w:pPr>
        <w:pStyle w:val="7"/>
        <w:spacing w:before="0" w:beforeAutospacing="0" w:after="0" w:afterAutospacing="0" w:line="360" w:lineRule="auto"/>
        <w:ind w:firstLine="420"/>
        <w:rPr>
          <w:sz w:val="21"/>
          <w:szCs w:val="21"/>
        </w:rPr>
      </w:pPr>
      <w:r>
        <w:rPr>
          <w:rFonts w:hint="eastAsia"/>
          <w:sz w:val="21"/>
          <w:szCs w:val="21"/>
        </w:rPr>
        <w:t xml:space="preserve">53、A类基金份额：在投资者认购、申购时收取前端认购、申购费用，在赎回时根据持有期限收取赎回费用的基金份额，称为A类基金份额 </w:t>
      </w:r>
    </w:p>
    <w:p>
      <w:pPr>
        <w:pStyle w:val="7"/>
        <w:spacing w:before="0" w:beforeAutospacing="0" w:after="0" w:afterAutospacing="0" w:line="360" w:lineRule="auto"/>
        <w:ind w:firstLine="420"/>
        <w:rPr>
          <w:sz w:val="21"/>
          <w:szCs w:val="21"/>
        </w:rPr>
      </w:pPr>
      <w:r>
        <w:rPr>
          <w:rFonts w:hint="eastAsia"/>
          <w:sz w:val="21"/>
          <w:szCs w:val="21"/>
        </w:rPr>
        <w:t xml:space="preserve">54、C类基金份额：在投资者认购、申购时不收取认购、申购费用，在赎回时根据持有期限收取赎回费用的基金份额，且从本类别基金资产中计提销售服务费的，称为C类基金份额 </w:t>
      </w:r>
    </w:p>
    <w:p>
      <w:pPr>
        <w:pStyle w:val="7"/>
        <w:spacing w:before="0" w:beforeAutospacing="0" w:after="0" w:afterAutospacing="0" w:line="360" w:lineRule="auto"/>
        <w:ind w:firstLine="420"/>
        <w:rPr>
          <w:sz w:val="21"/>
          <w:szCs w:val="21"/>
        </w:rPr>
      </w:pPr>
      <w:r>
        <w:rPr>
          <w:rFonts w:hint="eastAsia"/>
          <w:sz w:val="21"/>
          <w:szCs w:val="21"/>
        </w:rPr>
        <w:t xml:space="preserve">55、指定媒介：指中国证监会指定的用以进行信息披露的全国性报刊及指定互联网网站（包括基金管理人网站、基金托管人网站、中国证监会基金电子披露网站）等媒介 </w:t>
      </w:r>
    </w:p>
    <w:p>
      <w:pPr>
        <w:pStyle w:val="7"/>
        <w:spacing w:before="0" w:beforeAutospacing="0" w:after="0" w:afterAutospacing="0" w:line="360" w:lineRule="auto"/>
        <w:ind w:firstLine="420"/>
        <w:rPr>
          <w:sz w:val="21"/>
          <w:szCs w:val="21"/>
        </w:rPr>
      </w:pPr>
      <w:r>
        <w:rPr>
          <w:rFonts w:hint="eastAsia"/>
          <w:sz w:val="21"/>
          <w:szCs w:val="21"/>
        </w:rPr>
        <w:t xml:space="preserve">56、不可抗力：指基金合同当事人不能预见、不能避免且不能克服的客观事件 </w:t>
      </w:r>
    </w:p>
    <w:p>
      <w:pPr>
        <w:pStyle w:val="7"/>
        <w:spacing w:before="0" w:beforeAutospacing="0" w:after="0" w:afterAutospacing="0" w:line="360" w:lineRule="auto"/>
        <w:ind w:firstLine="420"/>
        <w:rPr>
          <w:sz w:val="21"/>
          <w:szCs w:val="21"/>
        </w:rPr>
      </w:pPr>
      <w:r>
        <w:rPr>
          <w:rFonts w:hint="eastAsia"/>
          <w:sz w:val="21"/>
          <w:szCs w:val="21"/>
        </w:rPr>
        <w:t>57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31" w:name="chapter_level1_4_49_section_2_end"/>
      <w:bookmarkEnd w:id="31"/>
      <w:r>
        <w:rPr>
          <w:rFonts w:hint="eastAsia"/>
          <w:sz w:val="21"/>
          <w:szCs w:val="21"/>
        </w:rPr>
        <w:t xml:space="preserve">支持证券、因发行人债务违约无法进行转让或交易的债券等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32" w:name="_Toc113628534"/>
      <w:bookmarkStart w:id="33" w:name="chapter_level1_5_53"/>
      <w:r>
        <w:rPr>
          <w:rFonts w:hint="eastAsia" w:ascii="宋体" w:hAnsi="宋体" w:eastAsia="宋体"/>
          <w:sz w:val="30"/>
        </w:rPr>
        <w:t>第三部分  基金管理人</w:t>
      </w:r>
      <w:bookmarkEnd w:id="32"/>
      <w:bookmarkEnd w:id="33"/>
    </w:p>
    <w:p>
      <w:pPr>
        <w:pStyle w:val="7"/>
        <w:spacing w:before="0" w:beforeAutospacing="0" w:after="0" w:afterAutospacing="0" w:line="360" w:lineRule="auto"/>
        <w:ind w:firstLine="420"/>
        <w:rPr>
          <w:sz w:val="21"/>
          <w:szCs w:val="21"/>
        </w:rPr>
      </w:pPr>
      <w:bookmarkStart w:id="34" w:name="chapter_level1_5_53_section_1"/>
      <w:bookmarkEnd w:id="34"/>
      <w:r>
        <w:rPr>
          <w:rStyle w:val="11"/>
          <w:rFonts w:hint="eastAsia"/>
          <w:sz w:val="21"/>
          <w:szCs w:val="21"/>
        </w:rPr>
        <w:t>一、基金管理人概况</w:t>
      </w:r>
    </w:p>
    <w:p>
      <w:pPr>
        <w:pStyle w:val="7"/>
        <w:spacing w:before="0" w:beforeAutospacing="0" w:after="0" w:afterAutospacing="0" w:line="360" w:lineRule="auto"/>
        <w:ind w:firstLine="420"/>
        <w:rPr>
          <w:sz w:val="21"/>
          <w:szCs w:val="21"/>
        </w:rPr>
      </w:pPr>
      <w:bookmarkStart w:id="35" w:name="field_0_managercompanyinfo_1_start"/>
      <w:bookmarkEnd w:id="35"/>
      <w:r>
        <w:rPr>
          <w:rFonts w:hint="eastAsia"/>
          <w:sz w:val="21"/>
          <w:szCs w:val="21"/>
        </w:rPr>
        <w:t>名称：博时基金管理有限公司</w:t>
      </w:r>
    </w:p>
    <w:p>
      <w:pPr>
        <w:pStyle w:val="7"/>
        <w:spacing w:before="0" w:beforeAutospacing="0" w:after="0" w:afterAutospacing="0" w:line="360" w:lineRule="auto"/>
        <w:ind w:firstLine="420"/>
        <w:rPr>
          <w:sz w:val="21"/>
          <w:szCs w:val="21"/>
        </w:rPr>
      </w:pPr>
      <w:r>
        <w:rPr>
          <w:rFonts w:hint="eastAsia"/>
          <w:sz w:val="21"/>
          <w:szCs w:val="21"/>
        </w:rPr>
        <w:t>住所：深圳市福田区莲花街道福新社区益田路5999号基金大厦21层</w:t>
      </w:r>
    </w:p>
    <w:p>
      <w:pPr>
        <w:pStyle w:val="7"/>
        <w:spacing w:before="0" w:beforeAutospacing="0" w:after="0" w:afterAutospacing="0" w:line="360" w:lineRule="auto"/>
        <w:ind w:firstLine="420"/>
        <w:rPr>
          <w:sz w:val="21"/>
          <w:szCs w:val="21"/>
        </w:rPr>
      </w:pPr>
      <w:r>
        <w:rPr>
          <w:rFonts w:hint="eastAsia"/>
          <w:sz w:val="21"/>
          <w:szCs w:val="21"/>
        </w:rPr>
        <w:t>办公地址：广东省深圳市福田区益田路5999号基金大厦21层</w:t>
      </w:r>
    </w:p>
    <w:p>
      <w:pPr>
        <w:pStyle w:val="7"/>
        <w:spacing w:before="0" w:beforeAutospacing="0" w:after="0" w:afterAutospacing="0" w:line="360" w:lineRule="auto"/>
        <w:ind w:firstLine="420"/>
        <w:rPr>
          <w:sz w:val="21"/>
          <w:szCs w:val="21"/>
        </w:rPr>
      </w:pPr>
      <w:r>
        <w:rPr>
          <w:rFonts w:hint="eastAsia"/>
          <w:sz w:val="21"/>
          <w:szCs w:val="21"/>
        </w:rPr>
        <w:t>法定代表人：江向阳</w:t>
      </w:r>
    </w:p>
    <w:p>
      <w:pPr>
        <w:pStyle w:val="7"/>
        <w:spacing w:before="0" w:beforeAutospacing="0" w:after="0" w:afterAutospacing="0" w:line="360" w:lineRule="auto"/>
        <w:ind w:firstLine="420"/>
        <w:rPr>
          <w:sz w:val="21"/>
          <w:szCs w:val="21"/>
        </w:rPr>
      </w:pPr>
      <w:r>
        <w:rPr>
          <w:rFonts w:hint="eastAsia"/>
          <w:sz w:val="21"/>
          <w:szCs w:val="21"/>
        </w:rPr>
        <w:t>成立时间：1998年7月13日</w:t>
      </w:r>
    </w:p>
    <w:p>
      <w:pPr>
        <w:pStyle w:val="7"/>
        <w:spacing w:before="0" w:beforeAutospacing="0" w:after="0" w:afterAutospacing="0" w:line="360" w:lineRule="auto"/>
        <w:ind w:firstLine="420"/>
        <w:rPr>
          <w:sz w:val="21"/>
          <w:szCs w:val="21"/>
        </w:rPr>
      </w:pPr>
      <w:r>
        <w:rPr>
          <w:rFonts w:hint="eastAsia"/>
          <w:sz w:val="21"/>
          <w:szCs w:val="21"/>
        </w:rPr>
        <w:t>注册资本：2.5亿元人民币</w:t>
      </w:r>
    </w:p>
    <w:p>
      <w:pPr>
        <w:pStyle w:val="7"/>
        <w:spacing w:before="0" w:beforeAutospacing="0" w:after="0" w:afterAutospacing="0" w:line="360" w:lineRule="auto"/>
        <w:ind w:firstLine="420"/>
        <w:rPr>
          <w:sz w:val="21"/>
          <w:szCs w:val="21"/>
        </w:rPr>
      </w:pPr>
      <w:r>
        <w:rPr>
          <w:rFonts w:hint="eastAsia"/>
          <w:sz w:val="21"/>
          <w:szCs w:val="21"/>
        </w:rPr>
        <w:t>存续期间：持续经营</w:t>
      </w:r>
    </w:p>
    <w:p>
      <w:pPr>
        <w:pStyle w:val="7"/>
        <w:spacing w:before="0" w:beforeAutospacing="0" w:after="0" w:afterAutospacing="0" w:line="360" w:lineRule="auto"/>
        <w:ind w:firstLine="420"/>
        <w:rPr>
          <w:sz w:val="21"/>
          <w:szCs w:val="21"/>
        </w:rPr>
      </w:pPr>
      <w:r>
        <w:rPr>
          <w:rFonts w:hint="eastAsia"/>
          <w:sz w:val="21"/>
          <w:szCs w:val="21"/>
        </w:rPr>
        <w:t>联系人：王济帆</w:t>
      </w:r>
    </w:p>
    <w:p>
      <w:pPr>
        <w:pStyle w:val="7"/>
        <w:spacing w:before="0" w:beforeAutospacing="0" w:after="0" w:afterAutospacing="0" w:line="360" w:lineRule="auto"/>
        <w:ind w:firstLine="420"/>
        <w:rPr>
          <w:sz w:val="21"/>
          <w:szCs w:val="21"/>
        </w:rPr>
      </w:pPr>
      <w:r>
        <w:rPr>
          <w:rFonts w:hint="eastAsia"/>
          <w:sz w:val="21"/>
          <w:szCs w:val="21"/>
        </w:rPr>
        <w:t>联系电话：（0755）8316 9999</w:t>
      </w:r>
    </w:p>
    <w:p>
      <w:pPr>
        <w:pStyle w:val="7"/>
        <w:spacing w:before="0" w:beforeAutospacing="0" w:after="0" w:afterAutospacing="0" w:line="360" w:lineRule="auto"/>
        <w:ind w:firstLine="420"/>
        <w:rPr>
          <w:sz w:val="21"/>
          <w:szCs w:val="21"/>
        </w:rPr>
      </w:pPr>
      <w:r>
        <w:rPr>
          <w:rFonts w:hint="eastAsia"/>
          <w:sz w:val="21"/>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pPr>
        <w:pStyle w:val="7"/>
        <w:spacing w:before="0" w:beforeAutospacing="0" w:after="0" w:afterAutospacing="0" w:line="360" w:lineRule="auto"/>
        <w:ind w:firstLine="420"/>
        <w:rPr>
          <w:sz w:val="21"/>
          <w:szCs w:val="21"/>
        </w:rPr>
      </w:pPr>
      <w:r>
        <w:rPr>
          <w:rFonts w:hint="eastAsia"/>
          <w:sz w:val="21"/>
          <w:szCs w:val="21"/>
        </w:rPr>
        <w:t>公司设立了投资决策委员会。投资决策委员会负责指导基金资产的运作、确定基本的投资策略和投资组合的原则。</w:t>
      </w:r>
    </w:p>
    <w:p>
      <w:pPr>
        <w:pStyle w:val="7"/>
        <w:spacing w:before="0" w:beforeAutospacing="0" w:after="0" w:afterAutospacing="0" w:line="360" w:lineRule="auto"/>
        <w:ind w:firstLine="420"/>
        <w:rPr>
          <w:sz w:val="21"/>
          <w:szCs w:val="21"/>
        </w:rPr>
      </w:pPr>
      <w:r>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6" w:name="field_0_managercompanyinfo_1_end"/>
      <w:bookmarkEnd w:id="36"/>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二、主要成员情况</w:t>
      </w:r>
    </w:p>
    <w:p>
      <w:pPr>
        <w:pStyle w:val="7"/>
        <w:spacing w:before="0" w:beforeAutospacing="0" w:after="0" w:afterAutospacing="0" w:line="360" w:lineRule="auto"/>
        <w:ind w:firstLine="420"/>
        <w:rPr>
          <w:sz w:val="21"/>
          <w:szCs w:val="21"/>
        </w:rPr>
      </w:pPr>
      <w:bookmarkStart w:id="37" w:name="field_0_managerpersoninfo_1_start"/>
      <w:bookmarkEnd w:id="37"/>
      <w:r>
        <w:rPr>
          <w:rFonts w:hint="eastAsia"/>
          <w:sz w:val="21"/>
          <w:szCs w:val="21"/>
        </w:rPr>
        <w:t>1、基金管理人董事会成员</w:t>
      </w:r>
    </w:p>
    <w:p>
      <w:pPr>
        <w:pStyle w:val="7"/>
        <w:spacing w:before="0" w:beforeAutospacing="0" w:after="0" w:afterAutospacing="0" w:line="360" w:lineRule="auto"/>
        <w:ind w:firstLine="420"/>
        <w:rPr>
          <w:sz w:val="21"/>
          <w:szCs w:val="21"/>
        </w:rPr>
      </w:pPr>
      <w:r>
        <w:rPr>
          <w:rFonts w:hint="eastAsia"/>
          <w:sz w:val="21"/>
          <w:szCs w:val="21"/>
        </w:rPr>
        <w:t>江向阳先生，博士。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1997年8月至2014年12月就职于中国证监会，历任办公厅、党办副主任兼新闻办（网信办）主任；中国证监会办公厅副巡视员；中国证监会深圳专员办处长、副专员；中国证监会期货监管部副处长、处长。2015年1月至7月，任招商局金融集团副总经理、博时基金管理有限公司党委副书记。2015年7月至2020年10月任博时基金管理有限公司总经理。自2020年1月9日至2020年4月15日代为履行博时基金董事长职务。自2020年4月1日起任博时基金管理有限公司党委书记。自2020年4月15日起，任博时基金管理有限公司董事长。</w:t>
      </w:r>
    </w:p>
    <w:p>
      <w:pPr>
        <w:pStyle w:val="7"/>
        <w:spacing w:before="0" w:beforeAutospacing="0" w:after="0" w:afterAutospacing="0" w:line="360" w:lineRule="auto"/>
        <w:ind w:firstLine="420"/>
        <w:rPr>
          <w:sz w:val="21"/>
          <w:szCs w:val="21"/>
        </w:rPr>
      </w:pPr>
      <w:r>
        <w:rPr>
          <w:rFonts w:hint="eastAsia"/>
          <w:sz w:val="21"/>
          <w:szCs w:val="21"/>
        </w:rPr>
        <w:t>苏敏女士,分别于1990 年7 月及2002 年12 月获得上海财经大学金融专业学士学位和中国科学技术大学工商管理硕士学位。苏女士分别于1998 年6 月、1999 年6 月及2008 年6 月获中国注册会计师协会授予的注册会计师资格、中国资产评估协会授予的注册资产评估师资格及安徽省人力资源和社会保障厅授予的高级会计师职称。苏女士拥有管理金融类公司及上市公司的经验，其经验包括：自2015 年9 月及2015 年12 月起任招商局金融集团有限公司总经理及董事；自2016年6月起任招商证券股份有限公司（上海证券交易所上市公司，股票代码：600999；香港联交所上市公司，股票代码：6099）董事；自2014 年9 月起担任招商银行股份有限公司（上海证券交易所上市公司，股票代码：600036；香港联交所上市公司，股票代码：3968）董事。自2016 年1 月至2018年8月任招商局资本投资有限责任公司监事；自2015 年11 月至2018年8月任招商局创新投资管理有限公司董事；自2015 年11 月至2017 年4 月任深圳招商启航互联网投资管理有限公司董事长；自2013 年5 月至2015 年8 月任中远海运能源运输股份有限公司（上海证券交易所上市公司，股票代码：600026；香港联交所上市公司，股票代码：1138）董事；自2013 年6月至2015 年12 月任中远海运发展股份有限公司（上海证券交易所上市公司，股票代码：601866；香港联交所上市公司，股票代码：2866）董事；自2009 年12 月至2011 年5 月担任徽商银行股份有限公司（香港联交所上市公司，股票代码：3698）董事；自2008 年3 月至2011年9 月担任安徽省皖能股份有限公司（深圳证券交易所上市公司，股票代码︰000543）董事。苏女士亦拥有会计等相关管理经验，其经验包括：自2011 年3 月至2015 年8 月担任中国海运（集团）总公司总会计师；自2007 年5 月至2011 年4月担任安徽省能源集团有限公司总会计师，并于2010 年11 月至2011 年4 月担任该公司副总经理。自2018年9月3日起，任博时基金管理有限公司董事。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高阳先生，中共党员，经济学硕士，CFA，总经理。1998年7月至2000年2月在中国国际金融股份有限公司任销售交易部经理。2000年3月至2008年2月在博时基金管理有限公司历任债券组合经理、固定收益部总经理、基金经理、股票投资部总经理。2008年8月至2021年1月在鹏华基金管理有限公司工作，2008年12月至2021年1月任鹏华基金管理有限公司副总经理。自2021年2月5日起，任博时基金管理有限公司总经理。自2021年4月7日起，任博时基金管理有限公司第八届董事会董事。</w:t>
      </w:r>
    </w:p>
    <w:p>
      <w:pPr>
        <w:pStyle w:val="7"/>
        <w:spacing w:before="0" w:beforeAutospacing="0" w:after="0" w:afterAutospacing="0" w:line="360" w:lineRule="auto"/>
        <w:ind w:firstLine="420"/>
        <w:rPr>
          <w:sz w:val="21"/>
          <w:szCs w:val="21"/>
        </w:rPr>
      </w:pPr>
      <w:r>
        <w:rPr>
          <w:rFonts w:hint="eastAsia"/>
          <w:sz w:val="21"/>
          <w:szCs w:val="21"/>
        </w:rPr>
        <w:t>姚俊先生，博士。1993年至1997年在华南理工大学习，获双学士学位。1997年至2000年在华南理工大学工商管理专业学习，获硕士学位。2002年9月至2005年7月在华南理工大学管理学专业学习，获得博士学位。2000年6月至2002年8月任广东电信广州分公司业务部业务主管。2005年9月至2007年7月，招商局集团博士后工作站任博士后研究员。2007年8月至2014年5月，任招商证券研究发展中心分析师。2014年6月至2015年6月任招商证券研究发展中心二部总经理助理。2015年6月至2016年7月任招商证券研究发展中心二部副总经理（主持工作）。2016年7月至2020年3月任招商证券研究发展中心二部总经理。2020年3月至今任招商证券财富管理及机构业务总部财富管理部总经理。自2020年12月8日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赵文武先生，中共党员，硕士。1991年10月至2009年4月，于合肥百货大楼股份有限公司任职，历任董事会秘书、董事、总经理助理、副总经理；2009年4月至2010年6月，任合肥百货大楼集团股份有限公司董事、副董事长、党委副书记、总经理；2010年6月至2015年2月，任合肥市国有资产控股有限公司董事、总经理、党委副书记，同时兼任安徽国风集团有限公司、安徽国风塑业股份有限公司党委书记、董事长；2015年2月至2018年2月，任合肥市产业投资控股（集团）有限公司董事、党委副书记、总经理;2019年2月至2021年1月，任长城国融投资管理有限公司董事、党委委员、副总经理；2021年1月至今，任中国长城资产管理股份有限公司资产经营六部副总经理。</w:t>
      </w:r>
    </w:p>
    <w:p>
      <w:pPr>
        <w:pStyle w:val="7"/>
        <w:spacing w:before="0" w:beforeAutospacing="0" w:after="0" w:afterAutospacing="0" w:line="360" w:lineRule="auto"/>
        <w:ind w:firstLine="420"/>
        <w:rPr>
          <w:sz w:val="21"/>
          <w:szCs w:val="21"/>
        </w:rPr>
      </w:pPr>
      <w:r>
        <w:rPr>
          <w:rFonts w:hint="eastAsia"/>
          <w:sz w:val="21"/>
          <w:szCs w:val="21"/>
        </w:rPr>
        <w:t>方瓯华先生，复旦大学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上海盛业股权投资基金公司执行董事（法人代表）、上海永泰房地产开发公司总经理等职，负责公司整体运营。2018年，出任博时基金管理公司第七届董事会董事，2021年卸任。自2022年8月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年8月至2008年7月，任中远航运股份有限公司（A股上市公司）首席执行官、董事。2008年8月至2011年12月，任中远投资（新加坡）有限公司（新加坡上市公司）总裁、董事会副主席、中远控股（新加坡）有限公司总裁；并任新加坡中资企业协会会长。2011年11月至2015年12月，任中国远洋控股股份有限公司执行（A+H上市公司）执行董事、总经理。2012年2月至2015年12月，兼任中国上市公司协会副监事长、天津上市公司协会副会长；2014年9月至2015年12月，兼任中国上市公司协会监事会专业委员会副主任委员。自2017年11月3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赵如冰先生，1956年生，教授级高级工程师，国际金融专业经济学硕士研究生。赵如冰先生历任葛洲坝水力发电厂工程师、高级工程师、葛洲坝二江电厂电气分厂主任、书记；1989年月至1991年10月任葛洲坝至上海正负50万伏超高压直流输电换流站书记兼站长，主持参加了我国第一条直流输电工程的安装调试和运行。1991年10月至1995年12月任厂办公室主任兼外事办公室主任。1995年12月至1999年12月，赵如冰先生任华能南方开发公司党组书记、总经理，兼任中国华能集团董事、深圳南山热电股份有限公司（上市公司代码0037）副董事长、长城证券有限责任公司副董事长、深圳华能电讯有限公司董事长。2000年1月至2004年7月，华能南方公司被国家电力公司重组后，任华能房地产开发公司副总经理，长城证券有限责任公司副董事长。2004年7月至2009年3月，赵如冰先生任华能房地产开发公司党组书记、总经理。2009年12月至2016年8月, 赵如冰先生任景顺长城基金管理公司董事长、景顺长城资产管理（深圳）公司董事长兼长城证券公司党委副书记。2016年8月至2020年3月, 赵如冰先生任阳光资产管理股份有限公司副董事长；2016年8月至今,任西南证券、百隆东方独立董事，2020年3月至今深圳市深粮控股股份有限公司独立董事。自2017年11月3日起，任博时基金管理有限公司独立董事。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宋子洲先生，1960年生，中国保险资产管理业协会金融科技委员会主任委员。历任中国人寿保险公司稽核部制度处处长、资金运用部财会监督处处长、资金运用中心副总经理，中国人寿资产管理有限公司风险管理及合规部总监、首席风险官、副总裁。从事保险资金投资管理工作20余年，在保险资产管理公司的投资、运营、风险管理等方面积累了丰富的经验。自2020年12月8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2、基金管理人监事会成员</w:t>
      </w:r>
    </w:p>
    <w:p>
      <w:pPr>
        <w:pStyle w:val="7"/>
        <w:spacing w:before="0" w:beforeAutospacing="0" w:after="0" w:afterAutospacing="0" w:line="360" w:lineRule="auto"/>
        <w:ind w:firstLine="420"/>
        <w:rPr>
          <w:sz w:val="21"/>
          <w:szCs w:val="21"/>
        </w:rPr>
      </w:pPr>
      <w:r>
        <w:rPr>
          <w:rFonts w:hint="eastAsia"/>
          <w:sz w:val="21"/>
          <w:szCs w:val="21"/>
        </w:rPr>
        <w:t>王剑平先生，硕士。分别于1998年7月及2013年7月获得江西财经大学会计专业管理学学士及天津大学管理科学与工程专业管理学硕士学位。王剑平先生于2004年5月获会计师职称。自2006年5月开始任职于招商证券。自2011年3月至2015年6月担任招商证券财务部总经理助理，2015年6月至2017年9月担任招商证券财务部副总经理，2017年9月至2021年4月担任招商证券资金管理部副总经理（主持工作），2021年4月至2022年3月担任招商证券资金管理部总经理，自2022年3月至2022年5月任招商期货有限公司董事、招商证券资产管理有限公司董事，自2022年3月至今担任招商证券财务部总经理、招商致远资本投资有限公司董事。</w:t>
      </w:r>
    </w:p>
    <w:p>
      <w:pPr>
        <w:pStyle w:val="7"/>
        <w:spacing w:before="0" w:beforeAutospacing="0" w:after="0" w:afterAutospacing="0" w:line="360" w:lineRule="auto"/>
        <w:ind w:firstLine="420"/>
        <w:rPr>
          <w:sz w:val="21"/>
          <w:szCs w:val="21"/>
        </w:rPr>
      </w:pPr>
      <w:r>
        <w:rPr>
          <w:rFonts w:hint="eastAsia"/>
          <w:sz w:val="21"/>
          <w:szCs w:val="21"/>
        </w:rPr>
        <w:t>蒋伟先生，硕士。2011年3月至2017年5月就职于中国长城资产管理公司，分别任办公室外事处一级业务员、业务副主管、业务主管。2017年5月至2020年7月职于长城罗斯基金管理有限公司任行政总监/执行董事。2020年7月至今任中国长城资产管理有限公司资产经营三部副高级经理（处室负责人）。</w:t>
      </w:r>
    </w:p>
    <w:p>
      <w:pPr>
        <w:pStyle w:val="7"/>
        <w:spacing w:before="0" w:beforeAutospacing="0" w:after="0" w:afterAutospacing="0" w:line="360" w:lineRule="auto"/>
        <w:ind w:firstLine="420"/>
        <w:rPr>
          <w:sz w:val="21"/>
          <w:szCs w:val="21"/>
        </w:rPr>
      </w:pPr>
      <w:r>
        <w:rPr>
          <w:rFonts w:hint="eastAsia"/>
          <w:sz w:val="21"/>
          <w:szCs w:val="21"/>
        </w:rPr>
        <w:t>赵兴利先生，硕士。1987年至1995年就职于天津港务局计财处。1995年至2012年5月先后任天津港贸易公司财务科科长、天津港（集团）公司委派货运公司会计主管、华夏人寿保险股份有限公司财务部总经理、天津港财务有限公司常务副总经理。2012年5月至2020年6月就职于天津港（集团）有限公司金融事业部副部长，天津港（集团）有限公司计财部副部长。2020年6月至今任天津港（集团）有限公司专职董监事。自2013年3月起，任博时基金管理有限公司监事。</w:t>
      </w:r>
    </w:p>
    <w:p>
      <w:pPr>
        <w:pStyle w:val="7"/>
        <w:spacing w:before="0" w:beforeAutospacing="0" w:after="0" w:afterAutospacing="0" w:line="360" w:lineRule="auto"/>
        <w:ind w:firstLine="420"/>
        <w:rPr>
          <w:sz w:val="21"/>
          <w:szCs w:val="21"/>
        </w:rPr>
      </w:pPr>
      <w:r>
        <w:rPr>
          <w:rFonts w:hint="eastAsia"/>
          <w:sz w:val="21"/>
          <w:szCs w:val="21"/>
        </w:rPr>
        <w:t>严斌先生，硕士。1997年7月起先后在华侨城集团公司、博时基金管理有限公司工作。现任博时基金管理有限公司财务部总经理。自2015年5月起，任博时基金管理有限公司监事。</w:t>
      </w:r>
    </w:p>
    <w:p>
      <w:pPr>
        <w:pStyle w:val="7"/>
        <w:spacing w:before="0" w:beforeAutospacing="0" w:after="0" w:afterAutospacing="0" w:line="360" w:lineRule="auto"/>
        <w:ind w:firstLine="420"/>
        <w:rPr>
          <w:sz w:val="21"/>
          <w:szCs w:val="21"/>
        </w:rPr>
      </w:pPr>
      <w:r>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公司总经理助理。现任公司首席资产配置官兼社保组合投资经理。自2016年3月18日起，担任博时基金管理有限公司监事。</w:t>
      </w:r>
    </w:p>
    <w:p>
      <w:pPr>
        <w:pStyle w:val="7"/>
        <w:spacing w:before="0" w:beforeAutospacing="0" w:after="0" w:afterAutospacing="0" w:line="360" w:lineRule="auto"/>
        <w:ind w:firstLine="420"/>
        <w:rPr>
          <w:sz w:val="21"/>
          <w:szCs w:val="21"/>
        </w:rPr>
      </w:pPr>
      <w:r>
        <w:rPr>
          <w:rFonts w:hint="eastAsia"/>
          <w:sz w:val="21"/>
          <w:szCs w:val="21"/>
        </w:rPr>
        <w:t>车宏原先生，工学硕士。1985年至1989年在四川大学计算机系学习，获得学士学位。1989年至1992年在清华大学计算机系学习，获得硕士学位。1992年至1995年深圳市天元金融电子有限公司任技术部负责人，1995年至2000年在中国农业银行总行南方软件开发中心担任副总工程师，2001年至2003年在太极华清信息系统有限公司担任副总经理，2003年至2014年在景顺长城基金管理有限公司担任信息技术总监，2014年至2015年任中财国信（深圳）有限公司总经理，2015年至今担任博时基金管理有限公司信息技术部总经理。</w:t>
      </w:r>
    </w:p>
    <w:p>
      <w:pPr>
        <w:pStyle w:val="7"/>
        <w:spacing w:before="0" w:beforeAutospacing="0" w:after="0" w:afterAutospacing="0" w:line="360" w:lineRule="auto"/>
        <w:ind w:firstLine="420"/>
        <w:rPr>
          <w:sz w:val="21"/>
          <w:szCs w:val="21"/>
        </w:rPr>
      </w:pPr>
      <w:r>
        <w:rPr>
          <w:rFonts w:hint="eastAsia"/>
          <w:sz w:val="21"/>
          <w:szCs w:val="21"/>
        </w:rPr>
        <w:t>3、高级管理人员</w:t>
      </w:r>
    </w:p>
    <w:p>
      <w:pPr>
        <w:pStyle w:val="7"/>
        <w:spacing w:before="0" w:beforeAutospacing="0" w:after="0" w:afterAutospacing="0" w:line="360" w:lineRule="auto"/>
        <w:ind w:firstLine="420"/>
        <w:rPr>
          <w:sz w:val="21"/>
          <w:szCs w:val="21"/>
        </w:rPr>
      </w:pPr>
      <w:r>
        <w:rPr>
          <w:rFonts w:hint="eastAsia"/>
          <w:sz w:val="21"/>
          <w:szCs w:val="21"/>
        </w:rPr>
        <w:t>江向阳先生，简历同上。</w:t>
      </w:r>
    </w:p>
    <w:p>
      <w:pPr>
        <w:pStyle w:val="7"/>
        <w:spacing w:before="0" w:beforeAutospacing="0" w:after="0" w:afterAutospacing="0" w:line="360" w:lineRule="auto"/>
        <w:ind w:firstLine="420"/>
        <w:rPr>
          <w:sz w:val="21"/>
          <w:szCs w:val="21"/>
        </w:rPr>
      </w:pPr>
      <w:r>
        <w:rPr>
          <w:rFonts w:hint="eastAsia"/>
          <w:sz w:val="21"/>
          <w:szCs w:val="21"/>
        </w:rPr>
        <w:t>高阳先生，简历同上。</w:t>
      </w:r>
    </w:p>
    <w:p>
      <w:pPr>
        <w:pStyle w:val="7"/>
        <w:spacing w:before="0" w:beforeAutospacing="0" w:after="0" w:afterAutospacing="0" w:line="360" w:lineRule="auto"/>
        <w:ind w:firstLine="420"/>
        <w:rPr>
          <w:sz w:val="21"/>
          <w:szCs w:val="21"/>
        </w:rPr>
      </w:pPr>
      <w:r>
        <w:rPr>
          <w:rFonts w:hint="eastAsia"/>
          <w:sz w:val="21"/>
          <w:szCs w:val="21"/>
        </w:rPr>
        <w:t>吴慧峰先生，硕士，副总经理、财务负责人、董事会秘书。1996年至2023年先后在中国南山开发集团股份有限公司、上海诚南房地产开发有限公司、招商局金融集团有限公司、招商证券股份有限公司从事财务、公司管理等工作。2023年加入博时基金管理有限公司，现任公司副总经理、财务负责人、董事会秘书。</w:t>
      </w:r>
    </w:p>
    <w:p>
      <w:pPr>
        <w:pStyle w:val="7"/>
        <w:spacing w:before="0" w:beforeAutospacing="0" w:after="0" w:afterAutospacing="0" w:line="360" w:lineRule="auto"/>
        <w:ind w:firstLine="420"/>
        <w:rPr>
          <w:sz w:val="21"/>
          <w:szCs w:val="21"/>
        </w:rPr>
      </w:pPr>
      <w:r>
        <w:rPr>
          <w:rFonts w:hint="eastAsia"/>
          <w:sz w:val="21"/>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现任公司副总经理、首席信息官，主管IT、指数与量化投资、养老金、基金零售等工作，兼任博时财富基金销售有限公司董事长、博时资本管理有限公司董事。</w:t>
      </w:r>
    </w:p>
    <w:p>
      <w:pPr>
        <w:pStyle w:val="7"/>
        <w:spacing w:before="0" w:beforeAutospacing="0" w:after="0" w:afterAutospacing="0" w:line="360" w:lineRule="auto"/>
        <w:ind w:firstLine="420"/>
        <w:rPr>
          <w:sz w:val="21"/>
          <w:szCs w:val="21"/>
        </w:rPr>
      </w:pPr>
      <w:r>
        <w:rPr>
          <w:rFonts w:hint="eastAsia"/>
          <w:sz w:val="21"/>
          <w:szCs w:val="21"/>
        </w:rPr>
        <w:t>徐卫先生，硕士，副总经理。1993年起先后在深圳市证券管理办公室、中国证监会、摩根士丹利华鑫基金工作。2015年6月加入博时基金管理有限公司，现任公司副总经理，兼博时资本管理有限公司董事、博时财富基金销售有限公司董事。</w:t>
      </w:r>
    </w:p>
    <w:p>
      <w:pPr>
        <w:pStyle w:val="7"/>
        <w:spacing w:before="0" w:beforeAutospacing="0" w:after="0" w:afterAutospacing="0" w:line="360" w:lineRule="auto"/>
        <w:ind w:firstLine="420"/>
        <w:rPr>
          <w:sz w:val="21"/>
          <w:szCs w:val="21"/>
        </w:rPr>
      </w:pPr>
      <w:r>
        <w:rPr>
          <w:rFonts w:hint="eastAsia"/>
          <w:sz w:val="21"/>
          <w:szCs w:val="21"/>
        </w:rPr>
        <w:t xml:space="preserve">孙麒清女士，商法学硕士，督察长。曾供职于广东深港律师事务所。2002年加入博时基金管理有限公司，历任监察法律部法律顾问、监察法律部总经理。现任公司督察长，兼任博时资本管理有限公司副董事长、博时财富基金销售有限公司董事。 </w:t>
      </w:r>
      <w:bookmarkStart w:id="38" w:name="field_0_managerpersoninfo_1_end"/>
      <w:bookmarkEnd w:id="38"/>
      <w:r>
        <w:rPr>
          <w:rFonts w:hint="eastAsia"/>
          <w:sz w:val="21"/>
          <w:szCs w:val="21"/>
        </w:rPr>
        <w:t xml:space="preserve">  </w:t>
      </w:r>
    </w:p>
    <w:p>
      <w:pPr>
        <w:pStyle w:val="7"/>
        <w:spacing w:before="0" w:beforeAutospacing="0" w:after="0" w:afterAutospacing="0" w:line="360" w:lineRule="auto"/>
        <w:ind w:firstLine="420"/>
        <w:rPr>
          <w:sz w:val="21"/>
          <w:szCs w:val="21"/>
        </w:rPr>
      </w:pPr>
      <w:bookmarkStart w:id="39" w:name="chapter_level1_5_53_section_2"/>
      <w:bookmarkEnd w:id="39"/>
      <w:r>
        <w:rPr>
          <w:rFonts w:hint="eastAsia"/>
          <w:sz w:val="21"/>
          <w:szCs w:val="21"/>
        </w:rPr>
        <w:t xml:space="preserve">4、本基金基金经理 </w:t>
      </w:r>
    </w:p>
    <w:p>
      <w:pPr>
        <w:pStyle w:val="7"/>
        <w:spacing w:before="0" w:beforeAutospacing="0" w:after="0" w:afterAutospacing="0" w:line="360" w:lineRule="auto"/>
        <w:ind w:firstLine="420"/>
        <w:jc w:val="both"/>
        <w:rPr>
          <w:sz w:val="21"/>
          <w:szCs w:val="21"/>
        </w:rPr>
      </w:pPr>
      <w:bookmarkStart w:id="40" w:name="field_0_fundmanagerresume_1_start"/>
      <w:bookmarkEnd w:id="40"/>
      <w:r>
        <w:rPr>
          <w:rFonts w:hint="eastAsia"/>
          <w:sz w:val="21"/>
          <w:szCs w:val="21"/>
        </w:rPr>
        <w:t>李喆先生，硕士。2014年起先后在汇川技术有限责任公司、中投证券工作。2017年加入博时基金管理有限公司。历任研究员、高级研究员兼基金经理助理。现任博时逆向投资混合型证券投资基金(2020年10月28日—至今)、博时先进制造混合型证券投资基金(2021年5月19日—至今)、博时凤凰领航混合型证券投资基金(2021年9月22日—至今)、博时高端装备混合型证券投资基金(2022年6月29日—至今)、博时工业4.0主题股票型证券投资基金(2022年6月29日—至今)的基金经理。</w:t>
      </w:r>
    </w:p>
    <w:p>
      <w:pPr>
        <w:pStyle w:val="7"/>
        <w:spacing w:before="0" w:beforeAutospacing="0" w:after="0" w:afterAutospacing="0" w:line="360" w:lineRule="auto"/>
        <w:ind w:firstLine="420"/>
        <w:jc w:val="both"/>
        <w:rPr>
          <w:sz w:val="21"/>
          <w:szCs w:val="21"/>
        </w:rPr>
      </w:pPr>
      <w:r>
        <w:rPr>
          <w:rFonts w:hint="eastAsia"/>
          <w:sz w:val="21"/>
          <w:szCs w:val="21"/>
        </w:rPr>
        <w:t>蔡滨先生，硕士。2001年起先后在上海振华职校、美国总统轮船（中国）有限公司、美国管理协会、平安证券工作。2009年加入博时基金管理有限公司。历任研究员、研究部资本品组组长、研究部副总经理兼资本品组组长、博时主题行业混合型证券投资基金(LOF)(2014年12月26日-2016年4月25日)、博时工业4.0主题股票型证券投资基金(2016年6月8日-2019年6月4日)的基金经理、权益投资成长组投资副总监、股票投资部副总经理（主持工作）、博时战略新兴产业混合型证券投资基金(2017年8月9日-2021年10月18日)基金经理。现任权益投资三部投资总监兼博时产业新动力灵活配置混合型发起式证券投资基金(2015年1月26日—至今)、博时外延增长主题灵活配置混合型证券投资基金(2016年2月3日—至今)、博时逆向投资混合型证券投资基金(2017年11月13日—至今)、博时荣享回报灵活配置定期开放混合型证券投资基金(2018年8月23日—至今)、博时产业新趋势灵活配置混合型证券投资基金(2020年2月17日—至今)、博时产业精选灵活配置混合型证券投资基金(2020年11月6日—至今)、博时产业慧选混合型证券投资基金(2021年3月23日—至今)、博时产业优选灵活配置混合型证券投资基金(2021年7月20日—至今)、博时研究精选一年持有期灵活配置混合型证券投资基金(2021年7月27日—至今)的基金经理。</w:t>
      </w:r>
      <w:bookmarkStart w:id="41" w:name="field_0_fundmanagerresume_1_end"/>
      <w:bookmarkEnd w:id="41"/>
      <w:r>
        <w:rPr>
          <w:rFonts w:hint="eastAsia"/>
          <w:sz w:val="21"/>
          <w:szCs w:val="21"/>
        </w:rPr>
        <w:t xml:space="preserve">  </w:t>
      </w:r>
    </w:p>
    <w:p>
      <w:pPr>
        <w:pStyle w:val="7"/>
        <w:spacing w:before="0" w:beforeAutospacing="0" w:after="0" w:afterAutospacing="0" w:line="360" w:lineRule="auto"/>
        <w:ind w:firstLine="420"/>
        <w:rPr>
          <w:sz w:val="21"/>
          <w:szCs w:val="21"/>
        </w:rPr>
      </w:pPr>
      <w:bookmarkStart w:id="42" w:name="field_0_fundmanagershis_1_start"/>
      <w:bookmarkEnd w:id="42"/>
      <w:r>
        <w:rPr>
          <w:rFonts w:hint="eastAsia"/>
          <w:sz w:val="21"/>
          <w:szCs w:val="21"/>
        </w:rPr>
        <w:t>本基金历任基金经理：周志超（2017年4月14日-2018年7月31</w:t>
      </w:r>
      <w:bookmarkStart w:id="43" w:name="chapter_level1_5_53_section_2_end"/>
      <w:bookmarkEnd w:id="43"/>
      <w:r>
        <w:rPr>
          <w:rFonts w:hint="eastAsia"/>
          <w:sz w:val="21"/>
          <w:szCs w:val="21"/>
        </w:rPr>
        <w:t>日）。</w:t>
      </w:r>
      <w:bookmarkStart w:id="44" w:name="field_0_fundmanagershis_1_end"/>
      <w:bookmarkEnd w:id="44"/>
      <w:r>
        <w:rPr>
          <w:rFonts w:hint="eastAsia"/>
          <w:sz w:val="21"/>
          <w:szCs w:val="21"/>
        </w:rPr>
        <w:t xml:space="preserve">  </w:t>
      </w:r>
    </w:p>
    <w:p>
      <w:pPr>
        <w:pStyle w:val="7"/>
        <w:spacing w:before="0" w:beforeAutospacing="0" w:after="0" w:afterAutospacing="0" w:line="360" w:lineRule="auto"/>
        <w:ind w:firstLine="420"/>
        <w:rPr>
          <w:sz w:val="21"/>
          <w:szCs w:val="21"/>
        </w:rPr>
      </w:pPr>
      <w:bookmarkStart w:id="45" w:name="chapter_level1_5_53_section_3"/>
      <w:bookmarkEnd w:id="45"/>
      <w:bookmarkStart w:id="46" w:name="field_0_managerpersoninfo2_1_start"/>
      <w:bookmarkEnd w:id="46"/>
      <w:r>
        <w:rPr>
          <w:rFonts w:hint="eastAsia"/>
          <w:sz w:val="21"/>
          <w:szCs w:val="21"/>
        </w:rPr>
        <w:t>5、投资决策委员会成员</w:t>
      </w:r>
    </w:p>
    <w:p>
      <w:pPr>
        <w:pStyle w:val="7"/>
        <w:spacing w:before="0" w:beforeAutospacing="0" w:after="0" w:afterAutospacing="0" w:line="360" w:lineRule="auto"/>
        <w:ind w:firstLine="420"/>
        <w:rPr>
          <w:sz w:val="21"/>
          <w:szCs w:val="21"/>
        </w:rPr>
      </w:pPr>
      <w:r>
        <w:rPr>
          <w:rFonts w:hint="eastAsia"/>
          <w:sz w:val="21"/>
          <w:szCs w:val="21"/>
        </w:rPr>
        <w:t>公司总经理高阳先生。</w:t>
      </w:r>
    </w:p>
    <w:p>
      <w:pPr>
        <w:pStyle w:val="7"/>
        <w:spacing w:before="0" w:beforeAutospacing="0" w:after="0" w:afterAutospacing="0" w:line="360" w:lineRule="auto"/>
        <w:ind w:firstLine="420"/>
        <w:rPr>
          <w:sz w:val="21"/>
          <w:szCs w:val="21"/>
        </w:rPr>
      </w:pPr>
      <w:r>
        <w:rPr>
          <w:rFonts w:hint="eastAsia"/>
          <w:sz w:val="21"/>
          <w:szCs w:val="21"/>
        </w:rPr>
        <w:t>公司首席资产配置官黄健斌先生。</w:t>
      </w:r>
    </w:p>
    <w:p>
      <w:pPr>
        <w:pStyle w:val="7"/>
        <w:spacing w:before="0" w:beforeAutospacing="0" w:after="0" w:afterAutospacing="0" w:line="360" w:lineRule="auto"/>
        <w:ind w:firstLine="420"/>
        <w:rPr>
          <w:sz w:val="21"/>
          <w:szCs w:val="21"/>
        </w:rPr>
      </w:pPr>
      <w:r>
        <w:rPr>
          <w:rFonts w:hint="eastAsia"/>
          <w:sz w:val="21"/>
          <w:szCs w:val="21"/>
        </w:rPr>
        <w:t>首席基金经理过钧先生。</w:t>
      </w:r>
    </w:p>
    <w:p>
      <w:pPr>
        <w:pStyle w:val="7"/>
        <w:spacing w:before="0" w:beforeAutospacing="0" w:after="0" w:afterAutospacing="0" w:line="360" w:lineRule="auto"/>
        <w:ind w:firstLine="420"/>
        <w:rPr>
          <w:sz w:val="21"/>
          <w:szCs w:val="21"/>
        </w:rPr>
      </w:pPr>
      <w:r>
        <w:rPr>
          <w:rFonts w:hint="eastAsia"/>
          <w:sz w:val="21"/>
          <w:szCs w:val="21"/>
        </w:rPr>
        <w:t>公司董事总经理兼权益投研一体化总监、权益投资四部总经理、权益投资四部投资总监、境外投资部总经理曾鹏先生。</w:t>
      </w:r>
    </w:p>
    <w:p>
      <w:pPr>
        <w:pStyle w:val="7"/>
        <w:spacing w:before="0" w:beforeAutospacing="0" w:after="0" w:afterAutospacing="0" w:line="360" w:lineRule="auto"/>
        <w:ind w:firstLine="420"/>
        <w:rPr>
          <w:sz w:val="21"/>
          <w:szCs w:val="21"/>
        </w:rPr>
      </w:pPr>
      <w:r>
        <w:rPr>
          <w:rFonts w:hint="eastAsia"/>
          <w:sz w:val="21"/>
          <w:szCs w:val="21"/>
        </w:rPr>
        <w:t>权益投资三部投资总监蔡滨先生。</w:t>
      </w:r>
    </w:p>
    <w:p>
      <w:pPr>
        <w:pStyle w:val="7"/>
        <w:spacing w:before="0" w:beforeAutospacing="0" w:after="0" w:afterAutospacing="0" w:line="360" w:lineRule="auto"/>
        <w:ind w:firstLine="420"/>
        <w:rPr>
          <w:sz w:val="21"/>
          <w:szCs w:val="21"/>
        </w:rPr>
      </w:pPr>
      <w:r>
        <w:rPr>
          <w:rFonts w:hint="eastAsia"/>
          <w:sz w:val="21"/>
          <w:szCs w:val="21"/>
        </w:rPr>
        <w:t>公司董事总经理兼年金投资部总经理、投资总监杨帆先生。</w:t>
      </w:r>
    </w:p>
    <w:p>
      <w:pPr>
        <w:pStyle w:val="7"/>
        <w:spacing w:before="0" w:beforeAutospacing="0" w:after="0" w:afterAutospacing="0" w:line="360" w:lineRule="auto"/>
        <w:ind w:firstLine="420"/>
        <w:rPr>
          <w:sz w:val="21"/>
          <w:szCs w:val="21"/>
        </w:rPr>
      </w:pPr>
      <w:r>
        <w:rPr>
          <w:rFonts w:hint="eastAsia"/>
          <w:sz w:val="21"/>
          <w:szCs w:val="21"/>
        </w:rPr>
        <w:t>指数与量化投资部投资总监赵云阳先生。</w:t>
      </w:r>
    </w:p>
    <w:p>
      <w:pPr>
        <w:pStyle w:val="7"/>
        <w:spacing w:before="0" w:beforeAutospacing="0" w:after="0" w:afterAutospacing="0" w:line="360" w:lineRule="auto"/>
        <w:ind w:firstLine="420"/>
        <w:rPr>
          <w:sz w:val="21"/>
          <w:szCs w:val="21"/>
        </w:rPr>
      </w:pPr>
      <w:r>
        <w:rPr>
          <w:rFonts w:hint="eastAsia"/>
          <w:sz w:val="21"/>
          <w:szCs w:val="21"/>
        </w:rPr>
        <w:t>行业研究部研究总监兼副总经理金晟哲先生。</w:t>
      </w:r>
    </w:p>
    <w:p>
      <w:pPr>
        <w:pStyle w:val="7"/>
        <w:spacing w:before="0" w:beforeAutospacing="0" w:after="0" w:afterAutospacing="0" w:line="360" w:lineRule="auto"/>
        <w:ind w:firstLine="420"/>
        <w:rPr>
          <w:sz w:val="21"/>
          <w:szCs w:val="21"/>
        </w:rPr>
      </w:pPr>
      <w:r>
        <w:rPr>
          <w:rFonts w:hint="eastAsia"/>
          <w:sz w:val="21"/>
          <w:szCs w:val="21"/>
        </w:rPr>
        <w:t xml:space="preserve">6、上述人员之间均不存在近亲属关系。 </w:t>
      </w:r>
      <w:bookmarkStart w:id="47" w:name="field_0_managerpersoninfo2_1_end"/>
      <w:bookmarkEnd w:id="47"/>
      <w:r>
        <w:rPr>
          <w:rFonts w:hint="eastAsia"/>
          <w:sz w:val="21"/>
          <w:szCs w:val="21"/>
        </w:rPr>
        <w:t xml:space="preserve">  </w:t>
      </w:r>
    </w:p>
    <w:p>
      <w:pPr>
        <w:pStyle w:val="7"/>
        <w:spacing w:before="0" w:beforeAutospacing="0" w:after="0" w:afterAutospacing="0" w:line="360" w:lineRule="auto"/>
        <w:ind w:firstLine="420"/>
        <w:rPr>
          <w:sz w:val="21"/>
          <w:szCs w:val="21"/>
        </w:rPr>
      </w:pPr>
      <w:bookmarkStart w:id="48" w:name="chapter_level1_5_53_section_4"/>
      <w:bookmarkEnd w:id="48"/>
      <w:r>
        <w:rPr>
          <w:rStyle w:val="11"/>
          <w:rFonts w:hint="eastAsia"/>
          <w:sz w:val="21"/>
          <w:szCs w:val="21"/>
        </w:rPr>
        <w:t>三、基金管理人的职责</w:t>
      </w:r>
    </w:p>
    <w:p>
      <w:pPr>
        <w:pStyle w:val="7"/>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pPr>
        <w:pStyle w:val="7"/>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四、基金管理人的承诺</w:t>
      </w:r>
    </w:p>
    <w:p>
      <w:pPr>
        <w:pStyle w:val="7"/>
        <w:spacing w:before="0" w:beforeAutospacing="0" w:after="0" w:afterAutospacing="0" w:line="360" w:lineRule="auto"/>
        <w:ind w:firstLine="420"/>
        <w:rPr>
          <w:sz w:val="21"/>
          <w:szCs w:val="21"/>
        </w:rPr>
      </w:pPr>
      <w:r>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pPr>
        <w:pStyle w:val="7"/>
        <w:spacing w:before="0" w:beforeAutospacing="0" w:after="0" w:afterAutospacing="0" w:line="360" w:lineRule="auto"/>
        <w:ind w:firstLine="420"/>
        <w:rPr>
          <w:sz w:val="21"/>
          <w:szCs w:val="21"/>
        </w:rPr>
      </w:pPr>
      <w:r>
        <w:rPr>
          <w:rFonts w:hint="eastAsia"/>
          <w:sz w:val="21"/>
          <w:szCs w:val="21"/>
        </w:rPr>
        <w:t xml:space="preserve">2、基金管理人承诺不从事违反《基金法》的行为，并承诺建立健全内部风险控制制度，采取有效措施，防止下列行为的发生： </w:t>
      </w:r>
    </w:p>
    <w:p>
      <w:pPr>
        <w:pStyle w:val="7"/>
        <w:spacing w:before="0" w:beforeAutospacing="0" w:after="0" w:afterAutospacing="0" w:line="360" w:lineRule="auto"/>
        <w:ind w:firstLine="420"/>
        <w:rPr>
          <w:sz w:val="21"/>
          <w:szCs w:val="21"/>
        </w:rPr>
      </w:pPr>
      <w:r>
        <w:rPr>
          <w:rFonts w:hint="eastAsia"/>
          <w:sz w:val="21"/>
          <w:szCs w:val="21"/>
        </w:rPr>
        <w:t xml:space="preserve">（1）将基金管理人固有财产或者他人财产混同于基金财产从事证券投资； </w:t>
      </w:r>
    </w:p>
    <w:p>
      <w:pPr>
        <w:pStyle w:val="7"/>
        <w:spacing w:before="0" w:beforeAutospacing="0" w:after="0" w:afterAutospacing="0" w:line="360" w:lineRule="auto"/>
        <w:ind w:firstLine="420"/>
        <w:rPr>
          <w:sz w:val="21"/>
          <w:szCs w:val="21"/>
        </w:rPr>
      </w:pPr>
      <w:r>
        <w:rPr>
          <w:rFonts w:hint="eastAsia"/>
          <w:sz w:val="21"/>
          <w:szCs w:val="21"/>
        </w:rPr>
        <w:t xml:space="preserve">（2）不公平地对待管理的不同基金财产； </w:t>
      </w:r>
    </w:p>
    <w:p>
      <w:pPr>
        <w:pStyle w:val="7"/>
        <w:spacing w:before="0" w:beforeAutospacing="0" w:after="0" w:afterAutospacing="0" w:line="360" w:lineRule="auto"/>
        <w:ind w:firstLine="420"/>
        <w:rPr>
          <w:sz w:val="21"/>
          <w:szCs w:val="21"/>
        </w:rPr>
      </w:pPr>
      <w:r>
        <w:rPr>
          <w:rFonts w:hint="eastAsia"/>
          <w:sz w:val="21"/>
          <w:szCs w:val="21"/>
        </w:rPr>
        <w:t xml:space="preserve">（3）利用基金财产或者职务之便为基金份额持有人以外的第三人牟取利益； </w:t>
      </w:r>
    </w:p>
    <w:p>
      <w:pPr>
        <w:pStyle w:val="7"/>
        <w:spacing w:before="0" w:beforeAutospacing="0" w:after="0" w:afterAutospacing="0" w:line="360" w:lineRule="auto"/>
        <w:ind w:firstLine="420"/>
        <w:rPr>
          <w:sz w:val="21"/>
          <w:szCs w:val="21"/>
        </w:rPr>
      </w:pPr>
      <w:r>
        <w:rPr>
          <w:rFonts w:hint="eastAsia"/>
          <w:sz w:val="21"/>
          <w:szCs w:val="21"/>
        </w:rPr>
        <w:t xml:space="preserve">（4）向基金份额持有人违规承诺收益或者承担损失；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（5）侵占、挪用基金财产； </w:t>
      </w:r>
    </w:p>
    <w:p>
      <w:pPr>
        <w:pStyle w:val="7"/>
        <w:spacing w:before="0" w:beforeAutospacing="0" w:after="0" w:afterAutospacing="0" w:line="360" w:lineRule="auto"/>
        <w:ind w:firstLine="420"/>
        <w:rPr>
          <w:sz w:val="21"/>
          <w:szCs w:val="21"/>
        </w:rPr>
      </w:pPr>
      <w:r>
        <w:rPr>
          <w:rFonts w:hint="eastAsia"/>
          <w:sz w:val="21"/>
          <w:szCs w:val="21"/>
        </w:rPr>
        <w:t xml:space="preserve">（6）泄露因职务便利获取的未公开信息、利用该信息从事或者明示、暗示他人从事相关的交易活动； </w:t>
      </w:r>
    </w:p>
    <w:p>
      <w:pPr>
        <w:pStyle w:val="7"/>
        <w:spacing w:before="0" w:beforeAutospacing="0" w:after="0" w:afterAutospacing="0" w:line="360" w:lineRule="auto"/>
        <w:ind w:firstLine="420"/>
        <w:rPr>
          <w:sz w:val="21"/>
          <w:szCs w:val="21"/>
        </w:rPr>
      </w:pPr>
      <w:r>
        <w:rPr>
          <w:rFonts w:hint="eastAsia"/>
          <w:sz w:val="21"/>
          <w:szCs w:val="21"/>
        </w:rPr>
        <w:t xml:space="preserve">（7）玩忽职守，不按照规定履行职责； </w:t>
      </w:r>
    </w:p>
    <w:p>
      <w:pPr>
        <w:pStyle w:val="7"/>
        <w:spacing w:before="0" w:beforeAutospacing="0" w:after="0" w:afterAutospacing="0" w:line="360" w:lineRule="auto"/>
        <w:ind w:firstLine="420"/>
        <w:rPr>
          <w:sz w:val="21"/>
          <w:szCs w:val="21"/>
        </w:rPr>
      </w:pPr>
      <w:r>
        <w:rPr>
          <w:rFonts w:hint="eastAsia"/>
          <w:sz w:val="21"/>
          <w:szCs w:val="21"/>
        </w:rPr>
        <w:t xml:space="preserve">（8）法律、行政法规和中国证监会规定禁止的其他行为。 </w:t>
      </w:r>
    </w:p>
    <w:p>
      <w:pPr>
        <w:pStyle w:val="7"/>
        <w:spacing w:before="0" w:beforeAutospacing="0" w:after="0" w:afterAutospacing="0" w:line="360" w:lineRule="auto"/>
        <w:ind w:firstLine="420"/>
        <w:rPr>
          <w:sz w:val="21"/>
          <w:szCs w:val="21"/>
        </w:rPr>
      </w:pPr>
      <w:r>
        <w:rPr>
          <w:rFonts w:hint="eastAsia"/>
          <w:sz w:val="21"/>
          <w:szCs w:val="21"/>
        </w:rPr>
        <w:t xml:space="preserve">3、基金管理人承诺严格遵守基金合同，并承诺建立健全内部控制制度，采取有效措施，防止违反基金合同行为的发生； </w:t>
      </w:r>
    </w:p>
    <w:p>
      <w:pPr>
        <w:pStyle w:val="7"/>
        <w:spacing w:before="0" w:beforeAutospacing="0" w:after="0" w:afterAutospacing="0" w:line="360" w:lineRule="auto"/>
        <w:ind w:firstLine="420"/>
        <w:rPr>
          <w:sz w:val="21"/>
          <w:szCs w:val="21"/>
        </w:rPr>
      </w:pPr>
      <w:r>
        <w:rPr>
          <w:rFonts w:hint="eastAsia"/>
          <w:sz w:val="21"/>
          <w:szCs w:val="21"/>
        </w:rPr>
        <w:t xml:space="preserve">4、基金管理人承诺加强人员管理，强化职业操守，督促和约束员工遵守国家有关法律法规及行业规范，诚实信用、勤勉尽责； </w:t>
      </w:r>
    </w:p>
    <w:p>
      <w:pPr>
        <w:pStyle w:val="7"/>
        <w:spacing w:before="0" w:beforeAutospacing="0" w:after="0" w:afterAutospacing="0" w:line="360" w:lineRule="auto"/>
        <w:ind w:firstLine="420"/>
        <w:rPr>
          <w:sz w:val="21"/>
          <w:szCs w:val="21"/>
        </w:rPr>
      </w:pPr>
      <w:r>
        <w:rPr>
          <w:rFonts w:hint="eastAsia"/>
          <w:sz w:val="21"/>
          <w:szCs w:val="21"/>
        </w:rPr>
        <w:t xml:space="preserve">5、基金管理人承诺不从事其他法规规定禁止从事的行为。 </w:t>
      </w:r>
    </w:p>
    <w:p>
      <w:pPr>
        <w:pStyle w:val="7"/>
        <w:spacing w:before="0" w:beforeAutospacing="0" w:after="0" w:afterAutospacing="0" w:line="360" w:lineRule="auto"/>
        <w:ind w:firstLine="420"/>
        <w:rPr>
          <w:sz w:val="21"/>
          <w:szCs w:val="21"/>
        </w:rPr>
      </w:pPr>
      <w:r>
        <w:rPr>
          <w:rStyle w:val="11"/>
          <w:rFonts w:hint="eastAsia"/>
          <w:sz w:val="21"/>
          <w:szCs w:val="21"/>
        </w:rPr>
        <w:t>五、基金经理承诺</w:t>
      </w:r>
    </w:p>
    <w:p>
      <w:pPr>
        <w:pStyle w:val="7"/>
        <w:spacing w:before="0" w:beforeAutospacing="0" w:after="0" w:afterAutospacing="0" w:line="360" w:lineRule="auto"/>
        <w:ind w:firstLine="420"/>
        <w:rPr>
          <w:sz w:val="21"/>
          <w:szCs w:val="21"/>
        </w:rPr>
      </w:pPr>
      <w:r>
        <w:rPr>
          <w:rFonts w:hint="eastAsia"/>
          <w:sz w:val="21"/>
          <w:szCs w:val="21"/>
        </w:rPr>
        <w:t xml:space="preserve">1、依照有关法律法规和基金合同的规定，本着谨慎的原则为基金份额持有人谋取最大利益； </w:t>
      </w:r>
    </w:p>
    <w:p>
      <w:pPr>
        <w:pStyle w:val="7"/>
        <w:spacing w:before="0" w:beforeAutospacing="0" w:after="0" w:afterAutospacing="0" w:line="360" w:lineRule="auto"/>
        <w:ind w:firstLine="420"/>
        <w:rPr>
          <w:sz w:val="21"/>
          <w:szCs w:val="21"/>
        </w:rPr>
      </w:pPr>
      <w:r>
        <w:rPr>
          <w:rFonts w:hint="eastAsia"/>
          <w:sz w:val="21"/>
          <w:szCs w:val="21"/>
        </w:rPr>
        <w:t xml:space="preserve">2、不利用职务之便为自己、受雇人或任何第三者牟取利益； </w:t>
      </w:r>
    </w:p>
    <w:p>
      <w:pPr>
        <w:pStyle w:val="7"/>
        <w:spacing w:before="0" w:beforeAutospacing="0" w:after="0" w:afterAutospacing="0" w:line="360" w:lineRule="auto"/>
        <w:ind w:firstLine="420"/>
        <w:rPr>
          <w:sz w:val="21"/>
          <w:szCs w:val="21"/>
        </w:rPr>
      </w:pPr>
      <w:r>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pPr>
        <w:pStyle w:val="7"/>
        <w:spacing w:before="0" w:beforeAutospacing="0" w:after="0" w:afterAutospacing="0" w:line="360" w:lineRule="auto"/>
        <w:ind w:firstLine="420"/>
        <w:rPr>
          <w:sz w:val="21"/>
          <w:szCs w:val="21"/>
        </w:rPr>
      </w:pPr>
      <w:r>
        <w:rPr>
          <w:rFonts w:hint="eastAsia"/>
          <w:sz w:val="21"/>
          <w:szCs w:val="21"/>
        </w:rPr>
        <w:t xml:space="preserve">4、不以任何形式为其他组织或个人进行证券交易。 </w:t>
      </w:r>
    </w:p>
    <w:p>
      <w:pPr>
        <w:pStyle w:val="7"/>
        <w:spacing w:before="0" w:beforeAutospacing="0" w:after="0" w:afterAutospacing="0" w:line="360" w:lineRule="auto"/>
        <w:ind w:firstLine="420"/>
        <w:rPr>
          <w:sz w:val="21"/>
          <w:szCs w:val="21"/>
        </w:rPr>
      </w:pPr>
      <w:r>
        <w:rPr>
          <w:rStyle w:val="11"/>
          <w:rFonts w:hint="eastAsia"/>
          <w:sz w:val="21"/>
          <w:szCs w:val="21"/>
        </w:rPr>
        <w:t>六、基金管理人的内部控制制度</w:t>
      </w:r>
    </w:p>
    <w:p>
      <w:pPr>
        <w:pStyle w:val="7"/>
        <w:spacing w:before="0" w:beforeAutospacing="0" w:after="0" w:afterAutospacing="0" w:line="360" w:lineRule="auto"/>
        <w:ind w:firstLine="420"/>
        <w:rPr>
          <w:sz w:val="21"/>
          <w:szCs w:val="21"/>
        </w:rPr>
      </w:pPr>
      <w:r>
        <w:rPr>
          <w:rFonts w:hint="eastAsia"/>
          <w:sz w:val="21"/>
          <w:szCs w:val="21"/>
        </w:rPr>
        <w:t xml:space="preserve">1、风险管理的原则 </w:t>
      </w:r>
    </w:p>
    <w:p>
      <w:pPr>
        <w:pStyle w:val="7"/>
        <w:spacing w:before="0" w:beforeAutospacing="0" w:after="0" w:afterAutospacing="0" w:line="360" w:lineRule="auto"/>
        <w:ind w:firstLine="420"/>
        <w:rPr>
          <w:sz w:val="21"/>
          <w:szCs w:val="21"/>
        </w:rPr>
      </w:pPr>
      <w:r>
        <w:rPr>
          <w:rFonts w:hint="eastAsia"/>
          <w:sz w:val="21"/>
          <w:szCs w:val="21"/>
        </w:rPr>
        <w:t xml:space="preserve">（1）全面性原则 </w:t>
      </w:r>
    </w:p>
    <w:p>
      <w:pPr>
        <w:pStyle w:val="7"/>
        <w:spacing w:before="0" w:beforeAutospacing="0" w:after="0" w:afterAutospacing="0" w:line="360" w:lineRule="auto"/>
        <w:ind w:firstLine="420"/>
        <w:rPr>
          <w:sz w:val="21"/>
          <w:szCs w:val="21"/>
        </w:rPr>
      </w:pPr>
      <w:r>
        <w:rPr>
          <w:rFonts w:hint="eastAsia"/>
          <w:sz w:val="21"/>
          <w:szCs w:val="21"/>
        </w:rPr>
        <w:t xml:space="preserve">公司风险管理必须覆盖公司的所有部门和岗位，渗透各项业务过程和业务环节。 </w:t>
      </w:r>
    </w:p>
    <w:p>
      <w:pPr>
        <w:pStyle w:val="7"/>
        <w:spacing w:before="0" w:beforeAutospacing="0" w:after="0" w:afterAutospacing="0" w:line="360" w:lineRule="auto"/>
        <w:ind w:firstLine="420"/>
        <w:rPr>
          <w:sz w:val="21"/>
          <w:szCs w:val="21"/>
        </w:rPr>
      </w:pPr>
      <w:r>
        <w:rPr>
          <w:rFonts w:hint="eastAsia"/>
          <w:sz w:val="21"/>
          <w:szCs w:val="21"/>
        </w:rPr>
        <w:t xml:space="preserve">（2）独立性原则 </w:t>
      </w:r>
    </w:p>
    <w:p>
      <w:pPr>
        <w:pStyle w:val="7"/>
        <w:spacing w:before="0" w:beforeAutospacing="0" w:after="0" w:afterAutospacing="0" w:line="360" w:lineRule="auto"/>
        <w:ind w:firstLine="420"/>
        <w:rPr>
          <w:sz w:val="21"/>
          <w:szCs w:val="21"/>
        </w:rPr>
      </w:pPr>
      <w:r>
        <w:rPr>
          <w:rFonts w:hint="eastAsia"/>
          <w:sz w:val="21"/>
          <w:szCs w:val="21"/>
        </w:rPr>
        <w:t xml:space="preserve">公司设立独立的监察部，监察部保持高度的独立性和权威性，负责对公司各部门风险控制工作进行稽核和检查。 </w:t>
      </w:r>
    </w:p>
    <w:p>
      <w:pPr>
        <w:pStyle w:val="7"/>
        <w:spacing w:before="0" w:beforeAutospacing="0" w:after="0" w:afterAutospacing="0" w:line="360" w:lineRule="auto"/>
        <w:ind w:firstLine="420"/>
        <w:rPr>
          <w:sz w:val="21"/>
          <w:szCs w:val="21"/>
        </w:rPr>
      </w:pPr>
      <w:r>
        <w:rPr>
          <w:rFonts w:hint="eastAsia"/>
          <w:sz w:val="21"/>
          <w:szCs w:val="21"/>
        </w:rPr>
        <w:t xml:space="preserve">（3）相互制约原则 </w:t>
      </w:r>
    </w:p>
    <w:p>
      <w:pPr>
        <w:pStyle w:val="7"/>
        <w:spacing w:before="0" w:beforeAutospacing="0" w:after="0" w:afterAutospacing="0" w:line="360" w:lineRule="auto"/>
        <w:ind w:firstLine="420"/>
        <w:rPr>
          <w:sz w:val="21"/>
          <w:szCs w:val="21"/>
        </w:rPr>
      </w:pPr>
      <w:r>
        <w:rPr>
          <w:rFonts w:hint="eastAsia"/>
          <w:sz w:val="21"/>
          <w:szCs w:val="21"/>
        </w:rPr>
        <w:t xml:space="preserve">公司及各部门在内部组织结构的设计上要形成一种相互制约的机制，建立不同岗位之间的制衡体系。 </w:t>
      </w:r>
    </w:p>
    <w:p>
      <w:pPr>
        <w:pStyle w:val="7"/>
        <w:spacing w:before="0" w:beforeAutospacing="0" w:after="0" w:afterAutospacing="0" w:line="360" w:lineRule="auto"/>
        <w:ind w:firstLine="420"/>
        <w:rPr>
          <w:sz w:val="21"/>
          <w:szCs w:val="21"/>
        </w:rPr>
      </w:pPr>
      <w:r>
        <w:rPr>
          <w:rFonts w:hint="eastAsia"/>
          <w:sz w:val="21"/>
          <w:szCs w:val="21"/>
        </w:rPr>
        <w:t xml:space="preserve">（4）定性和定量相结合原则 </w:t>
      </w:r>
    </w:p>
    <w:p>
      <w:pPr>
        <w:pStyle w:val="7"/>
        <w:spacing w:before="0" w:beforeAutospacing="0" w:after="0" w:afterAutospacing="0" w:line="360" w:lineRule="auto"/>
        <w:ind w:firstLine="420"/>
        <w:rPr>
          <w:sz w:val="21"/>
          <w:szCs w:val="21"/>
        </w:rPr>
      </w:pPr>
      <w:r>
        <w:rPr>
          <w:rFonts w:hint="eastAsia"/>
          <w:sz w:val="21"/>
          <w:szCs w:val="21"/>
        </w:rPr>
        <w:t xml:space="preserve">建立完备的风险管理指标体系，使风险管理更具客观性和操作性。 </w:t>
      </w:r>
    </w:p>
    <w:p>
      <w:pPr>
        <w:pStyle w:val="7"/>
        <w:spacing w:before="0" w:beforeAutospacing="0" w:after="0" w:afterAutospacing="0" w:line="360" w:lineRule="auto"/>
        <w:ind w:firstLine="420"/>
        <w:rPr>
          <w:sz w:val="21"/>
          <w:szCs w:val="21"/>
        </w:rPr>
      </w:pPr>
      <w:r>
        <w:rPr>
          <w:rFonts w:hint="eastAsia"/>
          <w:sz w:val="21"/>
          <w:szCs w:val="21"/>
        </w:rPr>
        <w:t xml:space="preserve">2、风险管理和内部风险控制体系结构 </w:t>
      </w:r>
    </w:p>
    <w:p>
      <w:pPr>
        <w:pStyle w:val="7"/>
        <w:spacing w:before="0" w:beforeAutospacing="0" w:after="0" w:afterAutospacing="0" w:line="360" w:lineRule="auto"/>
        <w:ind w:firstLine="420"/>
        <w:rPr>
          <w:sz w:val="21"/>
          <w:szCs w:val="21"/>
        </w:rPr>
      </w:pPr>
      <w:r>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pPr>
        <w:pStyle w:val="7"/>
        <w:spacing w:before="0" w:beforeAutospacing="0" w:after="0" w:afterAutospacing="0" w:line="360" w:lineRule="auto"/>
        <w:ind w:firstLine="420"/>
        <w:rPr>
          <w:sz w:val="21"/>
          <w:szCs w:val="21"/>
        </w:rPr>
      </w:pPr>
      <w:r>
        <w:rPr>
          <w:rFonts w:hint="eastAsia"/>
          <w:sz w:val="21"/>
          <w:szCs w:val="21"/>
        </w:rPr>
        <w:t xml:space="preserve">（1）董事会 </w:t>
      </w:r>
    </w:p>
    <w:p>
      <w:pPr>
        <w:pStyle w:val="7"/>
        <w:spacing w:before="0" w:beforeAutospacing="0" w:after="0" w:afterAutospacing="0" w:line="360" w:lineRule="auto"/>
        <w:ind w:firstLine="420"/>
        <w:rPr>
          <w:sz w:val="21"/>
          <w:szCs w:val="21"/>
        </w:rPr>
      </w:pPr>
      <w:r>
        <w:rPr>
          <w:rFonts w:hint="eastAsia"/>
          <w:sz w:val="21"/>
          <w:szCs w:val="21"/>
        </w:rPr>
        <w:t xml:space="preserve">负责制定公司的风险管理政策，对风险管理负完全的和最终的责任。 </w:t>
      </w:r>
    </w:p>
    <w:p>
      <w:pPr>
        <w:pStyle w:val="7"/>
        <w:spacing w:before="0" w:beforeAutospacing="0" w:after="0" w:afterAutospacing="0" w:line="360" w:lineRule="auto"/>
        <w:ind w:firstLine="420"/>
        <w:rPr>
          <w:sz w:val="21"/>
          <w:szCs w:val="21"/>
        </w:rPr>
      </w:pPr>
      <w:r>
        <w:rPr>
          <w:rFonts w:hint="eastAsia"/>
          <w:sz w:val="21"/>
          <w:szCs w:val="21"/>
        </w:rPr>
        <w:t xml:space="preserve">（2）风险管理委员会 </w:t>
      </w:r>
    </w:p>
    <w:p>
      <w:pPr>
        <w:pStyle w:val="7"/>
        <w:spacing w:before="0" w:beforeAutospacing="0" w:after="0" w:afterAutospacing="0" w:line="360" w:lineRule="auto"/>
        <w:ind w:firstLine="420"/>
        <w:rPr>
          <w:sz w:val="21"/>
          <w:szCs w:val="21"/>
        </w:rPr>
      </w:pPr>
      <w:r>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pPr>
        <w:pStyle w:val="7"/>
        <w:spacing w:before="0" w:beforeAutospacing="0" w:after="0" w:afterAutospacing="0" w:line="360" w:lineRule="auto"/>
        <w:ind w:firstLine="420"/>
        <w:rPr>
          <w:sz w:val="21"/>
          <w:szCs w:val="21"/>
        </w:rPr>
      </w:pPr>
      <w:r>
        <w:rPr>
          <w:rFonts w:hint="eastAsia"/>
          <w:sz w:val="21"/>
          <w:szCs w:val="21"/>
        </w:rPr>
        <w:t xml:space="preserve">（3）督察长 </w:t>
      </w:r>
    </w:p>
    <w:p>
      <w:pPr>
        <w:pStyle w:val="7"/>
        <w:spacing w:before="0" w:beforeAutospacing="0" w:after="0" w:afterAutospacing="0" w:line="360" w:lineRule="auto"/>
        <w:ind w:firstLine="420"/>
        <w:rPr>
          <w:sz w:val="21"/>
          <w:szCs w:val="21"/>
        </w:rPr>
      </w:pPr>
      <w:r>
        <w:rPr>
          <w:rFonts w:hint="eastAsia"/>
          <w:sz w:val="21"/>
          <w:szCs w:val="21"/>
        </w:rPr>
        <w:t xml:space="preserve">独立行使督察权利；直接对董事会负责；按季向风险管理委员会提交独立的风险管理报告和风险管理建议。 </w:t>
      </w:r>
    </w:p>
    <w:p>
      <w:pPr>
        <w:pStyle w:val="7"/>
        <w:spacing w:before="0" w:beforeAutospacing="0" w:after="0" w:afterAutospacing="0" w:line="360" w:lineRule="auto"/>
        <w:ind w:firstLine="420"/>
        <w:rPr>
          <w:sz w:val="21"/>
          <w:szCs w:val="21"/>
        </w:rPr>
      </w:pPr>
      <w:r>
        <w:rPr>
          <w:rFonts w:hint="eastAsia"/>
          <w:sz w:val="21"/>
          <w:szCs w:val="21"/>
        </w:rPr>
        <w:t xml:space="preserve">（4）监察法律部 </w:t>
      </w:r>
    </w:p>
    <w:p>
      <w:pPr>
        <w:pStyle w:val="7"/>
        <w:spacing w:before="0" w:beforeAutospacing="0" w:after="0" w:afterAutospacing="0" w:line="360" w:lineRule="auto"/>
        <w:ind w:firstLine="420"/>
        <w:rPr>
          <w:sz w:val="21"/>
          <w:szCs w:val="21"/>
        </w:rPr>
      </w:pPr>
      <w:r>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pPr>
        <w:pStyle w:val="7"/>
        <w:spacing w:before="0" w:beforeAutospacing="0" w:after="0" w:afterAutospacing="0" w:line="360" w:lineRule="auto"/>
        <w:ind w:firstLine="420"/>
        <w:rPr>
          <w:sz w:val="21"/>
          <w:szCs w:val="21"/>
        </w:rPr>
      </w:pPr>
      <w:r>
        <w:rPr>
          <w:rFonts w:hint="eastAsia"/>
          <w:sz w:val="21"/>
          <w:szCs w:val="21"/>
        </w:rPr>
        <w:t xml:space="preserve">（5）风险管理部 </w:t>
      </w:r>
    </w:p>
    <w:p>
      <w:pPr>
        <w:pStyle w:val="7"/>
        <w:spacing w:before="0" w:beforeAutospacing="0" w:after="0" w:afterAutospacing="0" w:line="360" w:lineRule="auto"/>
        <w:ind w:firstLine="420"/>
        <w:rPr>
          <w:sz w:val="21"/>
          <w:szCs w:val="21"/>
        </w:rPr>
      </w:pPr>
      <w:r>
        <w:rPr>
          <w:rFonts w:hint="eastAsia"/>
          <w:sz w:val="21"/>
          <w:szCs w:val="21"/>
        </w:rPr>
        <w:t xml:space="preserve">风险管理部负责建立和完善公司投资风险管理制度与流程，组织实施公司投资风险管理与绩效分析工作，确保公司各类投资风险得到良好监督与控制。 </w:t>
      </w:r>
    </w:p>
    <w:p>
      <w:pPr>
        <w:pStyle w:val="7"/>
        <w:spacing w:before="0" w:beforeAutospacing="0" w:after="0" w:afterAutospacing="0" w:line="360" w:lineRule="auto"/>
        <w:ind w:firstLine="420"/>
        <w:rPr>
          <w:sz w:val="21"/>
          <w:szCs w:val="21"/>
        </w:rPr>
      </w:pPr>
      <w:r>
        <w:rPr>
          <w:rFonts w:hint="eastAsia"/>
          <w:sz w:val="21"/>
          <w:szCs w:val="21"/>
        </w:rPr>
        <w:t xml:space="preserve">（6）业务部门 </w:t>
      </w:r>
    </w:p>
    <w:p>
      <w:pPr>
        <w:pStyle w:val="7"/>
        <w:spacing w:before="0" w:beforeAutospacing="0" w:after="0" w:afterAutospacing="0" w:line="360" w:lineRule="auto"/>
        <w:ind w:firstLine="420"/>
        <w:rPr>
          <w:sz w:val="21"/>
          <w:szCs w:val="21"/>
        </w:rPr>
      </w:pPr>
      <w:r>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pPr>
        <w:pStyle w:val="7"/>
        <w:spacing w:before="0" w:beforeAutospacing="0" w:after="0" w:afterAutospacing="0" w:line="360" w:lineRule="auto"/>
        <w:ind w:firstLine="420"/>
        <w:rPr>
          <w:sz w:val="21"/>
          <w:szCs w:val="21"/>
        </w:rPr>
      </w:pPr>
      <w:r>
        <w:rPr>
          <w:rFonts w:hint="eastAsia"/>
          <w:sz w:val="21"/>
          <w:szCs w:val="21"/>
        </w:rPr>
        <w:t xml:space="preserve">3、风险管理和内部风险控制的措施 </w:t>
      </w:r>
    </w:p>
    <w:p>
      <w:pPr>
        <w:pStyle w:val="7"/>
        <w:spacing w:before="0" w:beforeAutospacing="0" w:after="0" w:afterAutospacing="0" w:line="360" w:lineRule="auto"/>
        <w:ind w:firstLine="420"/>
        <w:rPr>
          <w:sz w:val="21"/>
          <w:szCs w:val="21"/>
        </w:rPr>
      </w:pPr>
      <w:r>
        <w:rPr>
          <w:rFonts w:hint="eastAsia"/>
          <w:sz w:val="21"/>
          <w:szCs w:val="21"/>
        </w:rPr>
        <w:t xml:space="preserve">（1）建立内控结构，完善内控制度 </w:t>
      </w:r>
    </w:p>
    <w:p>
      <w:pPr>
        <w:pStyle w:val="7"/>
        <w:spacing w:before="0" w:beforeAutospacing="0" w:after="0" w:afterAutospacing="0" w:line="360" w:lineRule="auto"/>
        <w:ind w:firstLine="420"/>
        <w:rPr>
          <w:sz w:val="21"/>
          <w:szCs w:val="21"/>
        </w:rPr>
      </w:pPr>
      <w:r>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pPr>
        <w:pStyle w:val="7"/>
        <w:spacing w:before="0" w:beforeAutospacing="0" w:after="0" w:afterAutospacing="0" w:line="360" w:lineRule="auto"/>
        <w:ind w:firstLine="420"/>
        <w:rPr>
          <w:sz w:val="21"/>
          <w:szCs w:val="21"/>
        </w:rPr>
      </w:pPr>
      <w:r>
        <w:rPr>
          <w:rFonts w:hint="eastAsia"/>
          <w:sz w:val="21"/>
          <w:szCs w:val="21"/>
        </w:rPr>
        <w:t xml:space="preserve">（2）建立相互分离、相互制衡的内控机制 </w:t>
      </w:r>
    </w:p>
    <w:p>
      <w:pPr>
        <w:pStyle w:val="7"/>
        <w:spacing w:before="0" w:beforeAutospacing="0" w:after="0" w:afterAutospacing="0" w:line="360" w:lineRule="auto"/>
        <w:ind w:firstLine="420"/>
        <w:rPr>
          <w:sz w:val="21"/>
          <w:szCs w:val="21"/>
        </w:rPr>
      </w:pPr>
      <w:r>
        <w:rPr>
          <w:rFonts w:hint="eastAsia"/>
          <w:sz w:val="21"/>
          <w:szCs w:val="21"/>
        </w:rPr>
        <w:t xml:space="preserve">建立、健全了各项制度，做到基金经理分开，投资决策分开，基金交易集中，形成不同部门，不同岗位之间的制衡机制，从制度上减少和防范风险。 </w:t>
      </w:r>
    </w:p>
    <w:p>
      <w:pPr>
        <w:pStyle w:val="7"/>
        <w:spacing w:before="0" w:beforeAutospacing="0" w:after="0" w:afterAutospacing="0" w:line="360" w:lineRule="auto"/>
        <w:ind w:firstLine="420"/>
        <w:rPr>
          <w:sz w:val="21"/>
          <w:szCs w:val="21"/>
        </w:rPr>
      </w:pPr>
      <w:r>
        <w:rPr>
          <w:rFonts w:hint="eastAsia"/>
          <w:sz w:val="21"/>
          <w:szCs w:val="21"/>
        </w:rPr>
        <w:t xml:space="preserve">（3）建立、健全岗位责任制 </w:t>
      </w:r>
    </w:p>
    <w:p>
      <w:pPr>
        <w:pStyle w:val="7"/>
        <w:spacing w:before="0" w:beforeAutospacing="0" w:after="0" w:afterAutospacing="0" w:line="360" w:lineRule="auto"/>
        <w:ind w:firstLine="420"/>
        <w:rPr>
          <w:sz w:val="21"/>
          <w:szCs w:val="21"/>
        </w:rPr>
      </w:pPr>
      <w:r>
        <w:rPr>
          <w:rFonts w:hint="eastAsia"/>
          <w:sz w:val="21"/>
          <w:szCs w:val="21"/>
        </w:rPr>
        <w:t xml:space="preserve">建立、健全了岗位责任制，使每个员工都明确自己的任务、职责，并及时将各自工作领域中的风险隐患上报，以防范和减少风险。 </w:t>
      </w:r>
    </w:p>
    <w:p>
      <w:pPr>
        <w:pStyle w:val="7"/>
        <w:spacing w:before="0" w:beforeAutospacing="0" w:after="0" w:afterAutospacing="0" w:line="360" w:lineRule="auto"/>
        <w:ind w:firstLine="420"/>
        <w:rPr>
          <w:sz w:val="21"/>
          <w:szCs w:val="21"/>
        </w:rPr>
      </w:pPr>
      <w:r>
        <w:rPr>
          <w:rFonts w:hint="eastAsia"/>
          <w:sz w:val="21"/>
          <w:szCs w:val="21"/>
        </w:rPr>
        <w:t xml:space="preserve">（4）建立风险分类、识别、评估、报告、提示程序 </w:t>
      </w:r>
    </w:p>
    <w:p>
      <w:pPr>
        <w:pStyle w:val="7"/>
        <w:spacing w:before="0" w:beforeAutospacing="0" w:after="0" w:afterAutospacing="0" w:line="360" w:lineRule="auto"/>
        <w:ind w:firstLine="420"/>
        <w:rPr>
          <w:sz w:val="21"/>
          <w:szCs w:val="21"/>
        </w:rPr>
      </w:pPr>
      <w:r>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pPr>
        <w:pStyle w:val="7"/>
        <w:spacing w:before="0" w:beforeAutospacing="0" w:after="0" w:afterAutospacing="0" w:line="360" w:lineRule="auto"/>
        <w:ind w:firstLine="420"/>
        <w:rPr>
          <w:sz w:val="21"/>
          <w:szCs w:val="21"/>
        </w:rPr>
      </w:pPr>
      <w:r>
        <w:rPr>
          <w:rFonts w:hint="eastAsia"/>
          <w:sz w:val="21"/>
          <w:szCs w:val="21"/>
        </w:rPr>
        <w:t xml:space="preserve">（5）建立有效的内部监控系统 </w:t>
      </w:r>
    </w:p>
    <w:p>
      <w:pPr>
        <w:pStyle w:val="7"/>
        <w:spacing w:before="0" w:beforeAutospacing="0" w:after="0" w:afterAutospacing="0" w:line="360" w:lineRule="auto"/>
        <w:ind w:firstLine="420"/>
        <w:rPr>
          <w:sz w:val="21"/>
          <w:szCs w:val="21"/>
        </w:rPr>
      </w:pPr>
      <w:r>
        <w:rPr>
          <w:rFonts w:hint="eastAsia"/>
          <w:sz w:val="21"/>
          <w:szCs w:val="21"/>
        </w:rPr>
        <w:t xml:space="preserve">建立了足够、有效的内部监控系统，如电脑预警系统、投资监控系统，对可能出现的各种风险进行全面和实时的监控。 </w:t>
      </w:r>
    </w:p>
    <w:p>
      <w:pPr>
        <w:pStyle w:val="7"/>
        <w:spacing w:before="0" w:beforeAutospacing="0" w:after="0" w:afterAutospacing="0" w:line="360" w:lineRule="auto"/>
        <w:ind w:firstLine="420"/>
        <w:rPr>
          <w:sz w:val="21"/>
          <w:szCs w:val="21"/>
        </w:rPr>
      </w:pPr>
      <w:r>
        <w:rPr>
          <w:rFonts w:hint="eastAsia"/>
          <w:sz w:val="21"/>
          <w:szCs w:val="21"/>
        </w:rPr>
        <w:t xml:space="preserve">（6）使用数量化的风险管理手段 </w:t>
      </w:r>
    </w:p>
    <w:p>
      <w:pPr>
        <w:pStyle w:val="7"/>
        <w:spacing w:before="0" w:beforeAutospacing="0" w:after="0" w:afterAutospacing="0" w:line="360" w:lineRule="auto"/>
        <w:ind w:firstLine="420"/>
        <w:rPr>
          <w:sz w:val="21"/>
          <w:szCs w:val="21"/>
        </w:rPr>
      </w:pPr>
      <w:r>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pPr>
        <w:pStyle w:val="7"/>
        <w:spacing w:before="0" w:beforeAutospacing="0" w:after="0" w:afterAutospacing="0" w:line="360" w:lineRule="auto"/>
        <w:ind w:firstLine="420"/>
        <w:rPr>
          <w:sz w:val="21"/>
          <w:szCs w:val="21"/>
        </w:rPr>
      </w:pPr>
      <w:r>
        <w:rPr>
          <w:rFonts w:hint="eastAsia"/>
          <w:sz w:val="21"/>
          <w:szCs w:val="21"/>
        </w:rPr>
        <w:t xml:space="preserve">（7）提供足够的培训 </w:t>
      </w:r>
    </w:p>
    <w:p>
      <w:pPr>
        <w:pStyle w:val="7"/>
        <w:spacing w:before="0" w:beforeAutospacing="0" w:after="0" w:afterAutospacing="0" w:line="360" w:lineRule="auto"/>
        <w:ind w:firstLine="420"/>
        <w:rPr>
          <w:sz w:val="21"/>
          <w:szCs w:val="21"/>
        </w:rPr>
      </w:pPr>
      <w:r>
        <w:rPr>
          <w:rFonts w:hint="eastAsia"/>
          <w:sz w:val="21"/>
          <w:szCs w:val="21"/>
        </w:rPr>
        <w:t>制定了完整的培训计划，为所有员工提供足够和适当的培训，使员工明确其职责所在，</w:t>
      </w:r>
      <w:bookmarkStart w:id="49" w:name="chapter_level1_5_53_section_4_end"/>
      <w:bookmarkEnd w:id="49"/>
      <w:r>
        <w:rPr>
          <w:rFonts w:hint="eastAsia"/>
          <w:sz w:val="21"/>
          <w:szCs w:val="21"/>
        </w:rPr>
        <w:t xml:space="preserve">控制风险。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0" w:name="_Toc113628535"/>
      <w:bookmarkStart w:id="51" w:name="chapter_level1_6_55"/>
      <w:r>
        <w:rPr>
          <w:rFonts w:hint="eastAsia" w:ascii="宋体" w:hAnsi="宋体" w:eastAsia="宋体"/>
          <w:sz w:val="30"/>
        </w:rPr>
        <w:t>第四部分  基金托管人</w:t>
      </w:r>
      <w:bookmarkEnd w:id="50"/>
      <w:bookmarkEnd w:id="51"/>
    </w:p>
    <w:p>
      <w:pPr>
        <w:pStyle w:val="7"/>
        <w:spacing w:before="0" w:beforeAutospacing="0" w:after="0" w:afterAutospacing="0" w:line="360" w:lineRule="auto"/>
        <w:ind w:firstLine="420"/>
        <w:rPr>
          <w:sz w:val="21"/>
          <w:szCs w:val="21"/>
        </w:rPr>
      </w:pPr>
      <w:bookmarkStart w:id="52" w:name="chapter_level1_6_55_section_1"/>
      <w:bookmarkEnd w:id="52"/>
      <w:bookmarkStart w:id="53" w:name="field_0_trustcompanyinfo_1_start"/>
      <w:bookmarkEnd w:id="53"/>
      <w:r>
        <w:rPr>
          <w:rFonts w:hint="eastAsia"/>
          <w:sz w:val="21"/>
          <w:szCs w:val="21"/>
        </w:rPr>
        <w:t xml:space="preserve">（一）基本情况 </w:t>
      </w:r>
    </w:p>
    <w:p>
      <w:pPr>
        <w:pStyle w:val="7"/>
        <w:spacing w:before="0" w:beforeAutospacing="0" w:after="0" w:afterAutospacing="0" w:line="360" w:lineRule="auto"/>
        <w:ind w:firstLine="420"/>
        <w:rPr>
          <w:sz w:val="21"/>
          <w:szCs w:val="21"/>
        </w:rPr>
      </w:pPr>
      <w:r>
        <w:rPr>
          <w:rFonts w:hint="eastAsia"/>
          <w:sz w:val="21"/>
          <w:szCs w:val="21"/>
        </w:rPr>
        <w:t xml:space="preserve">名称：中国银行股份有限公司（简称“中国银行”） </w:t>
      </w:r>
    </w:p>
    <w:p>
      <w:pPr>
        <w:pStyle w:val="7"/>
        <w:spacing w:before="0" w:beforeAutospacing="0" w:after="0" w:afterAutospacing="0" w:line="360" w:lineRule="auto"/>
        <w:ind w:firstLine="420"/>
        <w:rPr>
          <w:sz w:val="21"/>
          <w:szCs w:val="21"/>
        </w:rPr>
      </w:pPr>
      <w:r>
        <w:rPr>
          <w:rFonts w:hint="eastAsia"/>
          <w:sz w:val="21"/>
          <w:szCs w:val="21"/>
        </w:rPr>
        <w:t xml:space="preserve">住所及办公地址：北京市西城区复兴门内大街1号 </w:t>
      </w:r>
    </w:p>
    <w:p>
      <w:pPr>
        <w:pStyle w:val="7"/>
        <w:spacing w:before="0" w:beforeAutospacing="0" w:after="0" w:afterAutospacing="0" w:line="360" w:lineRule="auto"/>
        <w:ind w:firstLine="420"/>
        <w:rPr>
          <w:sz w:val="21"/>
          <w:szCs w:val="21"/>
        </w:rPr>
      </w:pPr>
      <w:r>
        <w:rPr>
          <w:rFonts w:hint="eastAsia"/>
          <w:sz w:val="21"/>
          <w:szCs w:val="21"/>
        </w:rPr>
        <w:t xml:space="preserve">首次注册登记日期：1983年10月31日 </w:t>
      </w:r>
    </w:p>
    <w:p>
      <w:pPr>
        <w:pStyle w:val="7"/>
        <w:spacing w:before="0" w:beforeAutospacing="0" w:after="0" w:afterAutospacing="0" w:line="360" w:lineRule="auto"/>
        <w:ind w:firstLine="420"/>
        <w:rPr>
          <w:sz w:val="21"/>
          <w:szCs w:val="21"/>
        </w:rPr>
      </w:pPr>
      <w:r>
        <w:rPr>
          <w:rFonts w:hint="eastAsia"/>
          <w:sz w:val="21"/>
          <w:szCs w:val="21"/>
        </w:rPr>
        <w:t xml:space="preserve">注册资本：人民币贰仟玖佰肆拾叁亿捌仟柒佰柒拾玖万壹仟贰佰肆拾壹元整 </w:t>
      </w:r>
    </w:p>
    <w:p>
      <w:pPr>
        <w:pStyle w:val="7"/>
        <w:spacing w:before="0" w:beforeAutospacing="0" w:after="0" w:afterAutospacing="0" w:line="360" w:lineRule="auto"/>
        <w:ind w:firstLine="420"/>
        <w:rPr>
          <w:sz w:val="21"/>
          <w:szCs w:val="21"/>
        </w:rPr>
      </w:pPr>
      <w:r>
        <w:rPr>
          <w:rFonts w:hint="eastAsia"/>
          <w:sz w:val="21"/>
          <w:szCs w:val="21"/>
        </w:rPr>
        <w:t xml:space="preserve">法定代表人：葛海蛟 </w:t>
      </w:r>
    </w:p>
    <w:p>
      <w:pPr>
        <w:pStyle w:val="7"/>
        <w:spacing w:before="0" w:beforeAutospacing="0" w:after="0" w:afterAutospacing="0" w:line="360" w:lineRule="auto"/>
        <w:ind w:firstLine="420"/>
        <w:rPr>
          <w:sz w:val="21"/>
          <w:szCs w:val="21"/>
        </w:rPr>
      </w:pPr>
      <w:r>
        <w:rPr>
          <w:rFonts w:hint="eastAsia"/>
          <w:sz w:val="21"/>
          <w:szCs w:val="21"/>
        </w:rPr>
        <w:t xml:space="preserve">基金托管业务批准文号：中国证监会证监基字【1998】24号 </w:t>
      </w:r>
    </w:p>
    <w:p>
      <w:pPr>
        <w:pStyle w:val="7"/>
        <w:spacing w:before="0" w:beforeAutospacing="0" w:after="0" w:afterAutospacing="0" w:line="360" w:lineRule="auto"/>
        <w:ind w:firstLine="420"/>
        <w:rPr>
          <w:sz w:val="21"/>
          <w:szCs w:val="21"/>
        </w:rPr>
      </w:pPr>
      <w:r>
        <w:rPr>
          <w:rFonts w:hint="eastAsia"/>
          <w:sz w:val="21"/>
          <w:szCs w:val="21"/>
        </w:rPr>
        <w:t xml:space="preserve">托管部门信息披露联系人：许俊 </w:t>
      </w:r>
    </w:p>
    <w:p>
      <w:pPr>
        <w:pStyle w:val="7"/>
        <w:spacing w:before="0" w:beforeAutospacing="0" w:after="0" w:afterAutospacing="0" w:line="360" w:lineRule="auto"/>
        <w:ind w:firstLine="420"/>
        <w:rPr>
          <w:sz w:val="21"/>
          <w:szCs w:val="21"/>
        </w:rPr>
      </w:pPr>
      <w:r>
        <w:rPr>
          <w:rFonts w:hint="eastAsia"/>
          <w:sz w:val="21"/>
          <w:szCs w:val="21"/>
        </w:rPr>
        <w:t xml:space="preserve">传真：（010）66594942 </w:t>
      </w:r>
    </w:p>
    <w:p>
      <w:pPr>
        <w:pStyle w:val="7"/>
        <w:spacing w:before="0" w:beforeAutospacing="0" w:after="0" w:afterAutospacing="0" w:line="360" w:lineRule="auto"/>
        <w:ind w:firstLine="420"/>
        <w:rPr>
          <w:sz w:val="21"/>
          <w:szCs w:val="21"/>
        </w:rPr>
      </w:pPr>
      <w:r>
        <w:rPr>
          <w:rFonts w:hint="eastAsia"/>
          <w:sz w:val="21"/>
          <w:szCs w:val="21"/>
        </w:rPr>
        <w:t xml:space="preserve">中国银行客服电话：95566 </w:t>
      </w:r>
    </w:p>
    <w:p>
      <w:pPr>
        <w:pStyle w:val="7"/>
        <w:spacing w:before="0" w:beforeAutospacing="0" w:after="0" w:afterAutospacing="0" w:line="360" w:lineRule="auto"/>
        <w:ind w:firstLine="420"/>
        <w:rPr>
          <w:sz w:val="21"/>
          <w:szCs w:val="21"/>
        </w:rPr>
      </w:pPr>
      <w:r>
        <w:rPr>
          <w:rFonts w:hint="eastAsia"/>
          <w:sz w:val="21"/>
          <w:szCs w:val="21"/>
        </w:rPr>
        <w:t xml:space="preserve">（二）基金托管部门及主要人员情况 </w:t>
      </w:r>
    </w:p>
    <w:p>
      <w:pPr>
        <w:pStyle w:val="7"/>
        <w:spacing w:before="0" w:beforeAutospacing="0" w:after="0" w:afterAutospacing="0" w:line="360" w:lineRule="auto"/>
        <w:ind w:firstLine="420"/>
        <w:rPr>
          <w:sz w:val="21"/>
          <w:szCs w:val="21"/>
        </w:rPr>
      </w:pPr>
      <w:r>
        <w:rPr>
          <w:rFonts w:hint="eastAsia"/>
          <w:sz w:val="21"/>
          <w:szCs w:val="21"/>
        </w:rPr>
        <w:t xml:space="preserve">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 </w:t>
      </w:r>
    </w:p>
    <w:p>
      <w:pPr>
        <w:pStyle w:val="7"/>
        <w:spacing w:before="0" w:beforeAutospacing="0" w:after="0" w:afterAutospacing="0" w:line="360" w:lineRule="auto"/>
        <w:ind w:firstLine="420"/>
        <w:rPr>
          <w:sz w:val="21"/>
          <w:szCs w:val="21"/>
        </w:rPr>
      </w:pPr>
      <w:r>
        <w:rPr>
          <w:rFonts w:hint="eastAsia"/>
          <w:sz w:val="21"/>
          <w:szCs w:val="21"/>
        </w:rPr>
        <w:t xml:space="preserve">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 </w:t>
      </w:r>
    </w:p>
    <w:p>
      <w:pPr>
        <w:pStyle w:val="7"/>
        <w:spacing w:before="0" w:beforeAutospacing="0" w:after="0" w:afterAutospacing="0" w:line="360" w:lineRule="auto"/>
        <w:ind w:firstLine="420"/>
        <w:rPr>
          <w:sz w:val="21"/>
          <w:szCs w:val="21"/>
        </w:rPr>
      </w:pPr>
      <w:r>
        <w:rPr>
          <w:rFonts w:hint="eastAsia"/>
          <w:sz w:val="21"/>
          <w:szCs w:val="21"/>
        </w:rPr>
        <w:t xml:space="preserve">（三）证券投资基金托管情况 </w:t>
      </w:r>
    </w:p>
    <w:p>
      <w:pPr>
        <w:pStyle w:val="7"/>
        <w:spacing w:before="0" w:beforeAutospacing="0" w:after="0" w:afterAutospacing="0" w:line="360" w:lineRule="auto"/>
        <w:ind w:firstLine="420"/>
        <w:rPr>
          <w:sz w:val="21"/>
          <w:szCs w:val="21"/>
        </w:rPr>
      </w:pPr>
      <w:r>
        <w:rPr>
          <w:rFonts w:hint="eastAsia"/>
          <w:sz w:val="21"/>
          <w:szCs w:val="21"/>
        </w:rPr>
        <w:t>截至2022年6月30日，中国银行已托管1021只证券投资基金，其中境内基金972只，QDII基金49只，覆盖了股票型、债券型、混合型、货币型、指数型、FOF等多种类型的基</w:t>
      </w:r>
      <w:bookmarkStart w:id="54" w:name="chapter_level1_6_55_section_1_end"/>
      <w:bookmarkEnd w:id="54"/>
      <w:r>
        <w:rPr>
          <w:rFonts w:hint="eastAsia"/>
          <w:sz w:val="21"/>
          <w:szCs w:val="21"/>
        </w:rPr>
        <w:t xml:space="preserve">金，满足了不同客户多元化的投资理财需求，基金托管规模位居同业前列。 </w:t>
      </w:r>
      <w:bookmarkStart w:id="55" w:name="field_0_trustcompanyinfo_1_end"/>
      <w:bookmarkEnd w:id="55"/>
      <w:r>
        <w:rPr>
          <w:rFonts w:hint="eastAsia"/>
          <w:sz w:val="21"/>
          <w:szCs w:val="21"/>
        </w:rPr>
        <w:t xml:space="preserve">  </w:t>
      </w:r>
    </w:p>
    <w:p>
      <w:pPr>
        <w:pStyle w:val="7"/>
        <w:spacing w:before="0" w:beforeAutospacing="0" w:after="0" w:afterAutospacing="0" w:line="360" w:lineRule="auto"/>
        <w:ind w:firstLine="420"/>
        <w:rPr>
          <w:sz w:val="21"/>
          <w:szCs w:val="21"/>
        </w:rPr>
      </w:pPr>
      <w:bookmarkStart w:id="56" w:name="field_0_trustcontrollawinfo_1_start"/>
      <w:bookmarkEnd w:id="56"/>
      <w:bookmarkStart w:id="57" w:name="chapter_level1_6_55_section_2"/>
      <w:bookmarkEnd w:id="57"/>
      <w:r>
        <w:rPr>
          <w:rFonts w:hint="eastAsia"/>
          <w:sz w:val="21"/>
          <w:szCs w:val="21"/>
        </w:rPr>
        <w:t xml:space="preserve">（四）托管业务的内部控制制度 </w:t>
      </w:r>
    </w:p>
    <w:p>
      <w:pPr>
        <w:pStyle w:val="7"/>
        <w:spacing w:before="0" w:beforeAutospacing="0" w:after="0" w:afterAutospacing="0" w:line="360" w:lineRule="auto"/>
        <w:ind w:firstLine="420"/>
        <w:rPr>
          <w:sz w:val="21"/>
          <w:szCs w:val="21"/>
        </w:rPr>
      </w:pPr>
      <w:r>
        <w:rPr>
          <w:rFonts w:hint="eastAsia"/>
          <w:sz w:val="21"/>
          <w:szCs w:val="21"/>
        </w:rPr>
        <w:t xml:space="preserve">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 </w:t>
      </w:r>
    </w:p>
    <w:p>
      <w:pPr>
        <w:pStyle w:val="7"/>
        <w:spacing w:before="0" w:beforeAutospacing="0" w:after="0" w:afterAutospacing="0" w:line="360" w:lineRule="auto"/>
        <w:ind w:firstLine="420"/>
        <w:rPr>
          <w:sz w:val="21"/>
          <w:szCs w:val="21"/>
        </w:rPr>
      </w:pPr>
      <w:r>
        <w:rPr>
          <w:rFonts w:hint="eastAsia"/>
          <w:sz w:val="21"/>
          <w:szCs w:val="21"/>
        </w:rPr>
        <w:t xml:space="preserve">2007年起，中国银行连续聘请外部会计会计师事务所开展托管业务内部控制审阅工作。先后获得基于 “SAS70”、“AAF01/06” “ISAE3402”和“SSAE16”等国际主流内控审阅准则的无保留意见的审阅报告。2020年，中国银行继续获得了基于“ISAE3402”和“SSAE16”双准则的内部控制审计报告。中国银行托管业务内控制度完善，内控措施严密，能够有效保证托管资产的安全。 </w:t>
      </w:r>
    </w:p>
    <w:p>
      <w:pPr>
        <w:pStyle w:val="7"/>
        <w:spacing w:before="0" w:beforeAutospacing="0" w:after="0" w:afterAutospacing="0" w:line="360" w:lineRule="auto"/>
        <w:ind w:firstLine="420"/>
        <w:rPr>
          <w:sz w:val="21"/>
          <w:szCs w:val="21"/>
        </w:rPr>
      </w:pPr>
      <w:r>
        <w:rPr>
          <w:rFonts w:hint="eastAsia"/>
          <w:sz w:val="21"/>
          <w:szCs w:val="21"/>
        </w:rPr>
        <w:t xml:space="preserve">（五）托管人对管理人运作基金进行监督的方法和程序 </w:t>
      </w:r>
    </w:p>
    <w:p>
      <w:pPr>
        <w:pStyle w:val="7"/>
        <w:spacing w:before="0" w:beforeAutospacing="0" w:after="0" w:afterAutospacing="0" w:line="360" w:lineRule="auto"/>
        <w:ind w:firstLine="420"/>
        <w:rPr>
          <w:sz w:val="21"/>
          <w:szCs w:val="21"/>
        </w:rPr>
      </w:pPr>
      <w:r>
        <w:rPr>
          <w:rFonts w:hint="eastAsia"/>
          <w:sz w:val="21"/>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w:t>
      </w:r>
      <w:bookmarkStart w:id="58" w:name="chapter_level1_6_55_section_2_end"/>
      <w:bookmarkEnd w:id="58"/>
      <w:r>
        <w:rPr>
          <w:rFonts w:hint="eastAsia"/>
          <w:sz w:val="21"/>
          <w:szCs w:val="21"/>
        </w:rPr>
        <w:t xml:space="preserve">务院证券监督管理机构报告。 </w:t>
      </w:r>
      <w:bookmarkStart w:id="59" w:name="field_0_trustcontrollawinfo_1_end"/>
      <w:bookmarkEnd w:id="59"/>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60" w:name="_Toc113628536"/>
      <w:bookmarkStart w:id="61" w:name="chapter_level1_7_56"/>
      <w:r>
        <w:rPr>
          <w:rFonts w:hint="eastAsia" w:ascii="宋体" w:hAnsi="宋体" w:eastAsia="宋体"/>
          <w:sz w:val="30"/>
        </w:rPr>
        <w:t>第五部分  相关服务机构</w:t>
      </w:r>
      <w:bookmarkEnd w:id="60"/>
      <w:bookmarkEnd w:id="61"/>
    </w:p>
    <w:p>
      <w:pPr>
        <w:pStyle w:val="7"/>
        <w:spacing w:before="0" w:beforeAutospacing="0" w:after="0" w:afterAutospacing="0" w:line="360" w:lineRule="auto"/>
        <w:ind w:firstLine="420"/>
        <w:rPr>
          <w:sz w:val="21"/>
          <w:szCs w:val="21"/>
        </w:rPr>
      </w:pPr>
      <w:bookmarkStart w:id="62" w:name="chapter_level1_7_56_section_1"/>
      <w:bookmarkEnd w:id="62"/>
      <w:r>
        <w:rPr>
          <w:rFonts w:hint="eastAsia"/>
          <w:b/>
          <w:bCs/>
          <w:sz w:val="21"/>
          <w:szCs w:val="21"/>
        </w:rPr>
        <w:t>一、基金份额销售机构</w:t>
      </w:r>
    </w:p>
    <w:p>
      <w:pPr>
        <w:pStyle w:val="7"/>
        <w:spacing w:before="0" w:beforeAutospacing="0" w:after="0" w:afterAutospacing="0" w:line="360" w:lineRule="auto"/>
        <w:ind w:firstLine="420"/>
        <w:rPr>
          <w:sz w:val="21"/>
          <w:szCs w:val="21"/>
        </w:rPr>
      </w:pPr>
      <w:r>
        <w:rPr>
          <w:rFonts w:hint="eastAsia"/>
          <w:sz w:val="21"/>
          <w:szCs w:val="21"/>
        </w:rPr>
        <w:t xml:space="preserve">1、直销机构 </w:t>
      </w:r>
    </w:p>
    <w:p>
      <w:pPr>
        <w:pStyle w:val="7"/>
        <w:spacing w:before="0" w:beforeAutospacing="0" w:after="0" w:afterAutospacing="0" w:line="360" w:lineRule="auto"/>
        <w:ind w:firstLine="420"/>
        <w:rPr>
          <w:sz w:val="21"/>
          <w:szCs w:val="21"/>
        </w:rPr>
      </w:pPr>
      <w:bookmarkStart w:id="63" w:name="field_0_marketcompanyinfo_1_start"/>
      <w:bookmarkEnd w:id="63"/>
      <w:r>
        <w:rPr>
          <w:rFonts w:hint="eastAsia"/>
          <w:sz w:val="21"/>
          <w:szCs w:val="21"/>
        </w:rPr>
        <w:t xml:space="preserve">名称：博时基金管理有限公司北京直销中心 </w:t>
      </w:r>
    </w:p>
    <w:p>
      <w:pPr>
        <w:pStyle w:val="7"/>
        <w:spacing w:before="0" w:beforeAutospacing="0" w:after="0" w:afterAutospacing="0" w:line="360" w:lineRule="auto"/>
        <w:ind w:firstLine="420"/>
        <w:rPr>
          <w:sz w:val="21"/>
          <w:szCs w:val="21"/>
        </w:rPr>
      </w:pPr>
      <w:r>
        <w:rPr>
          <w:rFonts w:hint="eastAsia"/>
          <w:sz w:val="21"/>
          <w:szCs w:val="21"/>
        </w:rPr>
        <w:t xml:space="preserve">地址：北京市建国门内大街18号恒基中心1座23层 </w:t>
      </w:r>
    </w:p>
    <w:p>
      <w:pPr>
        <w:pStyle w:val="7"/>
        <w:spacing w:before="0" w:beforeAutospacing="0" w:after="0" w:afterAutospacing="0" w:line="360" w:lineRule="auto"/>
        <w:ind w:firstLine="420"/>
        <w:rPr>
          <w:sz w:val="21"/>
          <w:szCs w:val="21"/>
        </w:rPr>
      </w:pPr>
      <w:r>
        <w:rPr>
          <w:rFonts w:hint="eastAsia"/>
          <w:sz w:val="21"/>
          <w:szCs w:val="21"/>
        </w:rPr>
        <w:t xml:space="preserve">电话：010-65187055 </w:t>
      </w:r>
    </w:p>
    <w:p>
      <w:pPr>
        <w:pStyle w:val="7"/>
        <w:spacing w:before="0" w:beforeAutospacing="0" w:after="0" w:afterAutospacing="0" w:line="360" w:lineRule="auto"/>
        <w:ind w:firstLine="420"/>
        <w:rPr>
          <w:sz w:val="21"/>
          <w:szCs w:val="21"/>
        </w:rPr>
      </w:pPr>
      <w:r>
        <w:rPr>
          <w:rFonts w:hint="eastAsia"/>
          <w:sz w:val="21"/>
          <w:szCs w:val="21"/>
        </w:rPr>
        <w:t xml:space="preserve">传真：010-65187032 </w:t>
      </w:r>
    </w:p>
    <w:p>
      <w:pPr>
        <w:pStyle w:val="7"/>
        <w:spacing w:before="0" w:beforeAutospacing="0" w:after="0" w:afterAutospacing="0" w:line="360" w:lineRule="auto"/>
        <w:ind w:firstLine="420"/>
        <w:rPr>
          <w:sz w:val="21"/>
          <w:szCs w:val="21"/>
        </w:rPr>
      </w:pPr>
      <w:r>
        <w:rPr>
          <w:rFonts w:hint="eastAsia"/>
          <w:sz w:val="21"/>
          <w:szCs w:val="21"/>
        </w:rPr>
        <w:t xml:space="preserve">联系人：韩明亮 </w:t>
      </w:r>
    </w:p>
    <w:p>
      <w:pPr>
        <w:pStyle w:val="7"/>
        <w:spacing w:before="0" w:beforeAutospacing="0" w:after="0" w:afterAutospacing="0" w:line="360" w:lineRule="auto"/>
        <w:ind w:firstLine="420"/>
        <w:rPr>
          <w:sz w:val="21"/>
          <w:szCs w:val="21"/>
        </w:rPr>
      </w:pPr>
      <w:bookmarkStart w:id="64" w:name="chapter_level1_7_56_section_1_end"/>
      <w:bookmarkEnd w:id="64"/>
      <w:r>
        <w:rPr>
          <w:rFonts w:hint="eastAsia"/>
          <w:sz w:val="21"/>
          <w:szCs w:val="21"/>
        </w:rPr>
        <w:t xml:space="preserve">博时一线通：95105568（免长途话费） </w:t>
      </w:r>
      <w:bookmarkStart w:id="65" w:name="field_0_marketcompanyinfo_1_end"/>
      <w:bookmarkEnd w:id="65"/>
      <w:r>
        <w:rPr>
          <w:rFonts w:hint="eastAsia"/>
          <w:sz w:val="21"/>
          <w:szCs w:val="21"/>
        </w:rPr>
        <w:t xml:space="preserve">  </w:t>
      </w:r>
    </w:p>
    <w:p>
      <w:pPr>
        <w:pStyle w:val="7"/>
        <w:spacing w:before="0" w:beforeAutospacing="0" w:after="0" w:afterAutospacing="0" w:line="360" w:lineRule="auto"/>
        <w:ind w:firstLine="420"/>
        <w:rPr>
          <w:sz w:val="21"/>
          <w:szCs w:val="21"/>
        </w:rPr>
      </w:pPr>
      <w:bookmarkStart w:id="66" w:name="chapter_level1_7_56_section_2"/>
      <w:bookmarkEnd w:id="66"/>
      <w:r>
        <w:rPr>
          <w:rFonts w:hint="eastAsia"/>
          <w:sz w:val="21"/>
          <w:szCs w:val="21"/>
        </w:rPr>
        <w:t xml:space="preserve">2、代销机构 </w:t>
      </w:r>
    </w:p>
    <w:p>
      <w:pPr>
        <w:pStyle w:val="7"/>
        <w:spacing w:before="0" w:beforeAutospacing="0" w:after="0" w:afterAutospacing="0" w:line="360" w:lineRule="auto"/>
        <w:ind w:firstLine="420"/>
        <w:rPr>
          <w:sz w:val="21"/>
          <w:szCs w:val="21"/>
        </w:rPr>
      </w:pPr>
      <w:bookmarkStart w:id="67" w:name="field_0_allproxysaletables_1_start"/>
      <w:bookmarkEnd w:id="67"/>
      <w:r>
        <w:rPr>
          <w:rFonts w:hint="eastAsia"/>
          <w:b/>
          <w:bCs/>
          <w:sz w:val="21"/>
          <w:szCs w:val="21"/>
        </w:rPr>
        <w:t>(1)中国银行股份有限公司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葛海蛟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高越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010-66594973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http://www.boc.cn/ </w:t>
            </w:r>
          </w:p>
        </w:tc>
      </w:tr>
    </w:tbl>
    <w:p>
      <w:pPr>
        <w:pStyle w:val="7"/>
        <w:spacing w:before="0" w:beforeAutospacing="0" w:after="0" w:afterAutospacing="0" w:line="360" w:lineRule="auto"/>
        <w:ind w:firstLine="420"/>
        <w:rPr>
          <w:sz w:val="21"/>
          <w:szCs w:val="21"/>
        </w:rPr>
      </w:pPr>
      <w:r>
        <w:rPr>
          <w:rFonts w:hint="eastAsia"/>
          <w:b/>
          <w:bCs/>
          <w:sz w:val="21"/>
          <w:szCs w:val="21"/>
        </w:rPr>
        <w:t>(2)交通银行股份有限公司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任德奇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021-58781234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021-58408483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http://www.bankcomm.com/ </w:t>
            </w:r>
          </w:p>
        </w:tc>
      </w:tr>
    </w:tbl>
    <w:p>
      <w:pPr>
        <w:pStyle w:val="7"/>
        <w:spacing w:before="0" w:beforeAutospacing="0" w:after="0" w:afterAutospacing="0" w:line="360" w:lineRule="auto"/>
        <w:ind w:firstLine="420"/>
        <w:rPr>
          <w:sz w:val="21"/>
          <w:szCs w:val="21"/>
        </w:rPr>
      </w:pPr>
      <w:r>
        <w:rPr>
          <w:rFonts w:hint="eastAsia"/>
          <w:b/>
          <w:bCs/>
          <w:sz w:val="21"/>
          <w:szCs w:val="21"/>
        </w:rPr>
        <w:t>(3)招商银行股份有限公司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缪建民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季平伟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0755－83195049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http://www.cmbchina.com/ </w:t>
            </w:r>
          </w:p>
        </w:tc>
      </w:tr>
    </w:tbl>
    <w:p>
      <w:pPr>
        <w:pStyle w:val="7"/>
        <w:spacing w:before="0" w:beforeAutospacing="0" w:after="0" w:afterAutospacing="0" w:line="360" w:lineRule="auto"/>
        <w:ind w:firstLine="420"/>
        <w:rPr>
          <w:sz w:val="21"/>
          <w:szCs w:val="21"/>
        </w:rPr>
      </w:pPr>
      <w:r>
        <w:rPr>
          <w:rFonts w:hint="eastAsia"/>
          <w:b/>
          <w:bCs/>
          <w:sz w:val="21"/>
          <w:szCs w:val="21"/>
        </w:rPr>
        <w:t>(4)中信银行股份有限公司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北京市东城区朝阳门北大街8号富华大厦C座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北京市东城区朝阳门北大街9号文化大厦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朱鹤新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王晓琳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010－89937325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http://bank.ecitic.com/ </w:t>
            </w:r>
          </w:p>
        </w:tc>
      </w:tr>
    </w:tbl>
    <w:p>
      <w:pPr>
        <w:pStyle w:val="7"/>
        <w:spacing w:before="0" w:beforeAutospacing="0" w:after="0" w:afterAutospacing="0" w:line="360" w:lineRule="auto"/>
        <w:ind w:firstLine="420"/>
        <w:rPr>
          <w:sz w:val="21"/>
          <w:szCs w:val="21"/>
        </w:rPr>
      </w:pPr>
      <w:r>
        <w:rPr>
          <w:rFonts w:hint="eastAsia"/>
          <w:b/>
          <w:bCs/>
          <w:sz w:val="21"/>
          <w:szCs w:val="21"/>
        </w:rPr>
        <w:t>(5)上海浦东发展银行股份有限公司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上海市中山东一路12号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上海市北京东路689号东银大厦25楼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郑杨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吴斌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021－61618888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021－63602431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http://www.spdb.com.cn </w:t>
            </w:r>
          </w:p>
        </w:tc>
      </w:tr>
    </w:tbl>
    <w:p>
      <w:pPr>
        <w:pStyle w:val="7"/>
        <w:spacing w:before="0" w:beforeAutospacing="0" w:after="0" w:afterAutospacing="0" w:line="360" w:lineRule="auto"/>
        <w:ind w:firstLine="420"/>
        <w:rPr>
          <w:sz w:val="21"/>
          <w:szCs w:val="21"/>
        </w:rPr>
      </w:pPr>
      <w:r>
        <w:rPr>
          <w:rFonts w:hint="eastAsia"/>
          <w:b/>
          <w:bCs/>
          <w:sz w:val="21"/>
          <w:szCs w:val="21"/>
        </w:rPr>
        <w:t>(6)中国光大银行股份有限公司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北京市西城区太平桥大街25号、甲25号中国光大中心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北京市西城区太平桥大街25号光大中心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朱红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010－63636153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010－63636157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http://www.cebbank.com </w:t>
            </w:r>
          </w:p>
        </w:tc>
      </w:tr>
    </w:tbl>
    <w:p>
      <w:pPr>
        <w:pStyle w:val="7"/>
        <w:spacing w:before="0" w:beforeAutospacing="0" w:after="0" w:afterAutospacing="0" w:line="360" w:lineRule="auto"/>
        <w:ind w:firstLine="420"/>
        <w:rPr>
          <w:sz w:val="21"/>
          <w:szCs w:val="21"/>
        </w:rPr>
      </w:pPr>
      <w:r>
        <w:rPr>
          <w:rFonts w:hint="eastAsia"/>
          <w:b/>
          <w:bCs/>
          <w:sz w:val="21"/>
          <w:szCs w:val="21"/>
        </w:rPr>
        <w:t>(7)中国民生银行股份有限公司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高迎欣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王继伟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010－58560666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010－57092611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http://www.cmbc.com.cn/ </w:t>
            </w:r>
          </w:p>
        </w:tc>
      </w:tr>
    </w:tbl>
    <w:p>
      <w:pPr>
        <w:pStyle w:val="7"/>
        <w:spacing w:before="0" w:beforeAutospacing="0" w:after="0" w:afterAutospacing="0" w:line="360" w:lineRule="auto"/>
        <w:ind w:firstLine="420"/>
        <w:rPr>
          <w:sz w:val="21"/>
          <w:szCs w:val="21"/>
        </w:rPr>
      </w:pPr>
      <w:r>
        <w:rPr>
          <w:rFonts w:hint="eastAsia"/>
          <w:b/>
          <w:bCs/>
          <w:sz w:val="21"/>
          <w:szCs w:val="21"/>
        </w:rPr>
        <w:t>(8)广发银行股份有限公司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陈泾渭/刘伟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020-38321497/020-38322566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020-38321676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4008308003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http://www.cgbchina.com.cn/ </w:t>
            </w:r>
          </w:p>
        </w:tc>
      </w:tr>
    </w:tbl>
    <w:p>
      <w:pPr>
        <w:pStyle w:val="7"/>
        <w:spacing w:before="0" w:beforeAutospacing="0" w:after="0" w:afterAutospacing="0" w:line="360" w:lineRule="auto"/>
        <w:ind w:firstLine="420"/>
        <w:rPr>
          <w:sz w:val="21"/>
          <w:szCs w:val="21"/>
        </w:rPr>
      </w:pPr>
      <w:r>
        <w:rPr>
          <w:rFonts w:hint="eastAsia"/>
          <w:b/>
          <w:bCs/>
          <w:sz w:val="21"/>
          <w:szCs w:val="21"/>
        </w:rPr>
        <w:t>(9)平安银行股份有限公司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谢永林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施艺帆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021-50979384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021-50979507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http://bank.pingan.com </w:t>
            </w:r>
          </w:p>
        </w:tc>
      </w:tr>
    </w:tbl>
    <w:p>
      <w:pPr>
        <w:pStyle w:val="7"/>
        <w:spacing w:before="0" w:beforeAutospacing="0" w:after="0" w:afterAutospacing="0" w:line="360" w:lineRule="auto"/>
        <w:ind w:firstLine="420"/>
        <w:rPr>
          <w:sz w:val="21"/>
          <w:szCs w:val="21"/>
        </w:rPr>
      </w:pPr>
      <w:r>
        <w:rPr>
          <w:rFonts w:hint="eastAsia"/>
          <w:b/>
          <w:bCs/>
          <w:sz w:val="21"/>
          <w:szCs w:val="21"/>
        </w:rPr>
        <w:t>(10)宁波银行股份有限公司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陆华裕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胡技勋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0574-89068340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0574-87050024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http://www.nbcb.com.cn </w:t>
            </w:r>
          </w:p>
        </w:tc>
      </w:tr>
    </w:tbl>
    <w:p>
      <w:pPr>
        <w:pStyle w:val="7"/>
        <w:spacing w:before="0" w:beforeAutospacing="0" w:after="0" w:afterAutospacing="0" w:line="360" w:lineRule="auto"/>
        <w:ind w:firstLine="420"/>
        <w:rPr>
          <w:sz w:val="21"/>
          <w:szCs w:val="21"/>
        </w:rPr>
      </w:pPr>
      <w:r>
        <w:rPr>
          <w:rFonts w:hint="eastAsia"/>
          <w:b/>
          <w:bCs/>
          <w:sz w:val="21"/>
          <w:szCs w:val="21"/>
        </w:rPr>
        <w:t>(11)上海农村商业银行股份有限公司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冀光恒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施传荣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021－38576666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021－50105124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021-962999;4006962999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http://www.srcb.com/ </w:t>
            </w:r>
          </w:p>
        </w:tc>
      </w:tr>
    </w:tbl>
    <w:p>
      <w:pPr>
        <w:pStyle w:val="7"/>
        <w:spacing w:before="0" w:beforeAutospacing="0" w:after="0" w:afterAutospacing="0" w:line="360" w:lineRule="auto"/>
        <w:ind w:firstLine="420"/>
        <w:rPr>
          <w:sz w:val="21"/>
          <w:szCs w:val="21"/>
        </w:rPr>
      </w:pPr>
      <w:r>
        <w:rPr>
          <w:rFonts w:hint="eastAsia"/>
          <w:b/>
          <w:bCs/>
          <w:sz w:val="21"/>
          <w:szCs w:val="21"/>
        </w:rPr>
        <w:t>(12)北京农村商业银行股份有限公司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王金山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鲁娟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010-89198762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010-89198678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http://www.bjrcb.com </w:t>
            </w:r>
          </w:p>
        </w:tc>
      </w:tr>
    </w:tbl>
    <w:p>
      <w:pPr>
        <w:pStyle w:val="7"/>
        <w:spacing w:before="0" w:beforeAutospacing="0" w:after="0" w:afterAutospacing="0" w:line="360" w:lineRule="auto"/>
        <w:ind w:firstLine="420"/>
        <w:rPr>
          <w:sz w:val="21"/>
          <w:szCs w:val="21"/>
        </w:rPr>
      </w:pPr>
      <w:r>
        <w:rPr>
          <w:rFonts w:hint="eastAsia"/>
          <w:b/>
          <w:bCs/>
          <w:sz w:val="21"/>
          <w:szCs w:val="21"/>
        </w:rPr>
        <w:t>(13)青岛银行股份有限公司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青岛市市南区香港中路68号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青岛市市南区香港中路68号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郭少泉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徐伟静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0532-68629925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0532-68629939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96588（青岛）  400-669-6588（全国）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http://www.qdccb.com </w:t>
            </w:r>
          </w:p>
        </w:tc>
      </w:tr>
    </w:tbl>
    <w:p>
      <w:pPr>
        <w:pStyle w:val="7"/>
        <w:spacing w:before="0" w:beforeAutospacing="0" w:after="0" w:afterAutospacing="0" w:line="360" w:lineRule="auto"/>
        <w:ind w:firstLine="420"/>
        <w:rPr>
          <w:sz w:val="21"/>
          <w:szCs w:val="21"/>
        </w:rPr>
      </w:pPr>
      <w:r>
        <w:rPr>
          <w:rFonts w:hint="eastAsia"/>
          <w:b/>
          <w:bCs/>
          <w:sz w:val="21"/>
          <w:szCs w:val="21"/>
        </w:rPr>
        <w:t>(14)杭州银行股份有限公司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陈震山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严峻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0571－85108195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0571－85106576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http://www.hzbank.com.cn </w:t>
            </w:r>
          </w:p>
        </w:tc>
      </w:tr>
    </w:tbl>
    <w:p>
      <w:pPr>
        <w:pStyle w:val="7"/>
        <w:spacing w:before="0" w:beforeAutospacing="0" w:after="0" w:afterAutospacing="0" w:line="360" w:lineRule="auto"/>
        <w:ind w:firstLine="420"/>
        <w:rPr>
          <w:sz w:val="21"/>
          <w:szCs w:val="21"/>
        </w:rPr>
      </w:pPr>
      <w:r>
        <w:rPr>
          <w:rFonts w:hint="eastAsia"/>
          <w:b/>
          <w:bCs/>
          <w:sz w:val="21"/>
          <w:szCs w:val="21"/>
        </w:rPr>
        <w:t>(15)南京银行股份有限公司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南京市白下区淮海路50号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南京市玄武区中山路288号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林复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025－86775335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025－86775376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http://www.njcb.com.cn </w:t>
            </w:r>
          </w:p>
        </w:tc>
      </w:tr>
    </w:tbl>
    <w:p>
      <w:pPr>
        <w:pStyle w:val="7"/>
        <w:spacing w:before="0" w:beforeAutospacing="0" w:after="0" w:afterAutospacing="0" w:line="360" w:lineRule="auto"/>
        <w:ind w:firstLine="420"/>
        <w:rPr>
          <w:sz w:val="21"/>
          <w:szCs w:val="21"/>
        </w:rPr>
      </w:pPr>
      <w:r>
        <w:rPr>
          <w:rFonts w:hint="eastAsia"/>
          <w:b/>
          <w:bCs/>
          <w:sz w:val="21"/>
          <w:szCs w:val="21"/>
        </w:rPr>
        <w:t>(16)江苏银行股份有限公司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南京市洪武北路55号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南京市中华路26号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夏平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田春慧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025-58587018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025-58587038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http://www.jsbchina.cn </w:t>
            </w:r>
          </w:p>
        </w:tc>
      </w:tr>
    </w:tbl>
    <w:p>
      <w:pPr>
        <w:pStyle w:val="7"/>
        <w:spacing w:before="0" w:beforeAutospacing="0" w:after="0" w:afterAutospacing="0" w:line="360" w:lineRule="auto"/>
        <w:ind w:firstLine="420"/>
        <w:rPr>
          <w:sz w:val="21"/>
          <w:szCs w:val="21"/>
        </w:rPr>
      </w:pPr>
      <w:r>
        <w:rPr>
          <w:rFonts w:hint="eastAsia"/>
          <w:b/>
          <w:bCs/>
          <w:sz w:val="21"/>
          <w:szCs w:val="21"/>
        </w:rPr>
        <w:t>(17)渤海银行股份有限公司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李伏安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022-58316666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022-58316569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http://www.cbhb.com.cn </w:t>
            </w:r>
          </w:p>
        </w:tc>
      </w:tr>
    </w:tbl>
    <w:p>
      <w:pPr>
        <w:pStyle w:val="7"/>
        <w:spacing w:before="0" w:beforeAutospacing="0" w:after="0" w:afterAutospacing="0" w:line="360" w:lineRule="auto"/>
        <w:ind w:firstLine="420"/>
        <w:rPr>
          <w:sz w:val="21"/>
          <w:szCs w:val="21"/>
        </w:rPr>
      </w:pPr>
      <w:r>
        <w:rPr>
          <w:rFonts w:hint="eastAsia"/>
          <w:b/>
          <w:bCs/>
          <w:sz w:val="21"/>
          <w:szCs w:val="21"/>
        </w:rPr>
        <w:t>(18)重庆银行股份有限公司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甘为民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孔文超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023- 63792212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023- 63792412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96899（重庆）、400-70-96899（其他地区）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http://www.cqcbank.com </w:t>
            </w:r>
          </w:p>
        </w:tc>
      </w:tr>
    </w:tbl>
    <w:p>
      <w:pPr>
        <w:pStyle w:val="7"/>
        <w:spacing w:before="0" w:beforeAutospacing="0" w:after="0" w:afterAutospacing="0" w:line="360" w:lineRule="auto"/>
        <w:ind w:firstLine="420"/>
        <w:rPr>
          <w:sz w:val="21"/>
          <w:szCs w:val="21"/>
        </w:rPr>
      </w:pPr>
      <w:r>
        <w:rPr>
          <w:rFonts w:hint="eastAsia"/>
          <w:b/>
          <w:bCs/>
          <w:sz w:val="21"/>
          <w:szCs w:val="21"/>
        </w:rPr>
        <w:t>(19)东莞农村商业银行股份有限公司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广东省东莞市东城区鸿福东路2号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广东省东莞市东城区鸿福东路2号东莞农商银行大厦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王耀球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杨亢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0769-22866270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0769-22866282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961122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http://www.drcbank.com/ </w:t>
            </w:r>
          </w:p>
        </w:tc>
      </w:tr>
    </w:tbl>
    <w:p>
      <w:pPr>
        <w:pStyle w:val="7"/>
        <w:spacing w:before="0" w:beforeAutospacing="0" w:after="0" w:afterAutospacing="0" w:line="360" w:lineRule="auto"/>
        <w:ind w:firstLine="420"/>
        <w:rPr>
          <w:sz w:val="21"/>
          <w:szCs w:val="21"/>
        </w:rPr>
      </w:pPr>
      <w:r>
        <w:rPr>
          <w:rFonts w:hint="eastAsia"/>
          <w:b/>
          <w:bCs/>
          <w:sz w:val="21"/>
          <w:szCs w:val="21"/>
        </w:rPr>
        <w:t>(20)嘉兴银行股份有限公司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夏林生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顾晓光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0573-96528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http://www.jxccb.com/ </w:t>
            </w:r>
          </w:p>
        </w:tc>
      </w:tr>
    </w:tbl>
    <w:p>
      <w:pPr>
        <w:pStyle w:val="7"/>
        <w:spacing w:before="0" w:beforeAutospacing="0" w:after="0" w:afterAutospacing="0" w:line="360" w:lineRule="auto"/>
        <w:ind w:firstLine="420"/>
        <w:rPr>
          <w:sz w:val="21"/>
          <w:szCs w:val="21"/>
        </w:rPr>
      </w:pPr>
      <w:r>
        <w:rPr>
          <w:rFonts w:hint="eastAsia"/>
          <w:b/>
          <w:bCs/>
          <w:sz w:val="21"/>
          <w:szCs w:val="21"/>
        </w:rPr>
        <w:t>(21)广州银行股份有限公司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广州市天河区珠江东路30号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广州市天河区珠江东路30号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黄子励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020-28302955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020-28302000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www.gzcb.com.cn </w:t>
            </w:r>
          </w:p>
        </w:tc>
      </w:tr>
    </w:tbl>
    <w:p>
      <w:pPr>
        <w:pStyle w:val="7"/>
        <w:spacing w:before="0" w:beforeAutospacing="0" w:after="0" w:afterAutospacing="0" w:line="360" w:lineRule="auto"/>
        <w:ind w:firstLine="420"/>
        <w:rPr>
          <w:sz w:val="21"/>
          <w:szCs w:val="21"/>
        </w:rPr>
      </w:pPr>
      <w:r>
        <w:rPr>
          <w:rFonts w:hint="eastAsia"/>
          <w:b/>
          <w:bCs/>
          <w:sz w:val="21"/>
          <w:szCs w:val="21"/>
        </w:rPr>
        <w:t>(22)江苏苏州农村商业银行股份有限公司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徐晓军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葛晓亮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956111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www.szrcb.com </w:t>
            </w:r>
          </w:p>
        </w:tc>
      </w:tr>
    </w:tbl>
    <w:p>
      <w:pPr>
        <w:pStyle w:val="7"/>
        <w:spacing w:before="0" w:beforeAutospacing="0" w:after="0" w:afterAutospacing="0" w:line="360" w:lineRule="auto"/>
        <w:ind w:firstLine="420"/>
        <w:rPr>
          <w:sz w:val="21"/>
          <w:szCs w:val="21"/>
        </w:rPr>
      </w:pPr>
      <w:r>
        <w:rPr>
          <w:rFonts w:hint="eastAsia"/>
          <w:b/>
          <w:bCs/>
          <w:sz w:val="21"/>
          <w:szCs w:val="21"/>
        </w:rPr>
        <w:t>(23)成都农村商业银行股份有限公司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四川省成都市武侯区科华中路88号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四川省成都市武侯区科华中路88号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杨琪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028-85029649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028-85190961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http://www.cdrcb.com/ </w:t>
            </w:r>
          </w:p>
        </w:tc>
      </w:tr>
    </w:tbl>
    <w:p>
      <w:pPr>
        <w:pStyle w:val="7"/>
        <w:spacing w:before="0" w:beforeAutospacing="0" w:after="0" w:afterAutospacing="0" w:line="360" w:lineRule="auto"/>
        <w:ind w:firstLine="420"/>
        <w:rPr>
          <w:sz w:val="21"/>
          <w:szCs w:val="21"/>
        </w:rPr>
      </w:pPr>
      <w:r>
        <w:rPr>
          <w:rFonts w:hint="eastAsia"/>
          <w:b/>
          <w:bCs/>
          <w:sz w:val="21"/>
          <w:szCs w:val="21"/>
        </w:rPr>
        <w:t>(24)苏州银行股份有限公司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王兰凤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熊志强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0512-69868390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0512-69868370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www.suzhoubank.com </w:t>
            </w:r>
          </w:p>
        </w:tc>
      </w:tr>
    </w:tbl>
    <w:p>
      <w:pPr>
        <w:pStyle w:val="7"/>
        <w:spacing w:before="0" w:beforeAutospacing="0" w:after="0" w:afterAutospacing="0" w:line="360" w:lineRule="auto"/>
        <w:ind w:firstLine="420"/>
        <w:rPr>
          <w:sz w:val="21"/>
          <w:szCs w:val="21"/>
        </w:rPr>
      </w:pPr>
      <w:r>
        <w:rPr>
          <w:rFonts w:hint="eastAsia"/>
          <w:b/>
          <w:bCs/>
          <w:sz w:val="21"/>
          <w:szCs w:val="21"/>
        </w:rPr>
        <w:t>(25)珠海华润银行股份有限公司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广东省珠海市吉大九洲大道东1346号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广东省珠海市吉大九洲大道东1346号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刘晓勇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96588（广东省外加拨0756）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0755-82811423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96588（广东省外加拨0756）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http://www.crbank.com.cn/ </w:t>
            </w:r>
          </w:p>
        </w:tc>
      </w:tr>
    </w:tbl>
    <w:p>
      <w:pPr>
        <w:pStyle w:val="7"/>
        <w:spacing w:before="0" w:beforeAutospacing="0" w:after="0" w:afterAutospacing="0" w:line="360" w:lineRule="auto"/>
        <w:ind w:firstLine="420"/>
        <w:rPr>
          <w:sz w:val="21"/>
          <w:szCs w:val="21"/>
        </w:rPr>
      </w:pPr>
      <w:r>
        <w:rPr>
          <w:rFonts w:hint="eastAsia"/>
          <w:b/>
          <w:bCs/>
          <w:sz w:val="21"/>
          <w:szCs w:val="21"/>
        </w:rPr>
        <w:t>(26)杭州联合农村商业银行股份有限公司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杭州市上城区建国中路99号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杭州市上城区建国中路99号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0571-87923324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0571-87923314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www.urcb.com </w:t>
            </w:r>
          </w:p>
        </w:tc>
      </w:tr>
    </w:tbl>
    <w:p>
      <w:pPr>
        <w:pStyle w:val="7"/>
        <w:spacing w:before="0" w:beforeAutospacing="0" w:after="0" w:afterAutospacing="0" w:line="360" w:lineRule="auto"/>
        <w:ind w:firstLine="420"/>
        <w:rPr>
          <w:sz w:val="21"/>
          <w:szCs w:val="21"/>
        </w:rPr>
      </w:pPr>
      <w:r>
        <w:rPr>
          <w:rFonts w:hint="eastAsia"/>
          <w:b/>
          <w:bCs/>
          <w:sz w:val="21"/>
          <w:szCs w:val="21"/>
        </w:rPr>
        <w:t>(27)四川天府银行股份有限公司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四川省南充市顺庆区涪江路1号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四川省南充市滨江中路一段97号26栋泰和尚渡南充市商业银行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黄光伟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李俊辉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0817-7118079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0817-7118322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400-16-96869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www.tf.cn </w:t>
            </w:r>
          </w:p>
        </w:tc>
      </w:tr>
    </w:tbl>
    <w:p>
      <w:pPr>
        <w:pStyle w:val="7"/>
        <w:spacing w:before="0" w:beforeAutospacing="0" w:after="0" w:afterAutospacing="0" w:line="360" w:lineRule="auto"/>
        <w:ind w:firstLine="420"/>
        <w:rPr>
          <w:sz w:val="21"/>
          <w:szCs w:val="21"/>
        </w:rPr>
      </w:pPr>
      <w:r>
        <w:rPr>
          <w:rFonts w:hint="eastAsia"/>
          <w:b/>
          <w:bCs/>
          <w:sz w:val="21"/>
          <w:szCs w:val="21"/>
        </w:rPr>
        <w:t>(28)晋商银行股份有限公司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山西省太原市万柏林区长风西街一号丽华大厦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山西省太原市万柏林区长风西街一号丽华大厦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阎俊生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董嘉文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0351-6819926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0351-6819926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95105588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http://www.jshbank.com </w:t>
            </w:r>
          </w:p>
        </w:tc>
      </w:tr>
    </w:tbl>
    <w:p>
      <w:pPr>
        <w:pStyle w:val="7"/>
        <w:spacing w:before="0" w:beforeAutospacing="0" w:after="0" w:afterAutospacing="0" w:line="360" w:lineRule="auto"/>
        <w:ind w:firstLine="420"/>
        <w:rPr>
          <w:sz w:val="21"/>
          <w:szCs w:val="21"/>
        </w:rPr>
      </w:pPr>
      <w:r>
        <w:rPr>
          <w:rFonts w:hint="eastAsia"/>
          <w:b/>
          <w:bCs/>
          <w:sz w:val="21"/>
          <w:szCs w:val="21"/>
        </w:rPr>
        <w:t>(29)富滇银行股份有限公司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云南省昆明市拓东路41号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云南省昆明市拓东路41号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夏 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杨翊琳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0871-63140324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0871-63194471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4008896533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www.fudian-bank.com </w:t>
            </w:r>
          </w:p>
        </w:tc>
      </w:tr>
    </w:tbl>
    <w:p>
      <w:pPr>
        <w:pStyle w:val="7"/>
        <w:spacing w:before="0" w:beforeAutospacing="0" w:after="0" w:afterAutospacing="0" w:line="360" w:lineRule="auto"/>
        <w:ind w:firstLine="420"/>
        <w:rPr>
          <w:sz w:val="21"/>
          <w:szCs w:val="21"/>
        </w:rPr>
      </w:pPr>
      <w:r>
        <w:rPr>
          <w:rFonts w:hint="eastAsia"/>
          <w:b/>
          <w:bCs/>
          <w:sz w:val="21"/>
          <w:szCs w:val="21"/>
        </w:rPr>
        <w:t>(30)日照银行股份有限公司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6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日照市烟台路197号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日照市烟台路197号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0633-8081626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0633-8081629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96588（日照）、400-68-96588（全国）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https://www.bankofrizhao.com.cn/ </w:t>
            </w:r>
          </w:p>
        </w:tc>
      </w:tr>
    </w:tbl>
    <w:p>
      <w:pPr>
        <w:pStyle w:val="7"/>
        <w:spacing w:before="0" w:beforeAutospacing="0" w:after="0" w:afterAutospacing="0" w:line="360" w:lineRule="auto"/>
        <w:ind w:firstLine="420"/>
        <w:rPr>
          <w:sz w:val="21"/>
          <w:szCs w:val="21"/>
        </w:rPr>
      </w:pPr>
      <w:r>
        <w:rPr>
          <w:rFonts w:hint="eastAsia"/>
          <w:b/>
          <w:bCs/>
          <w:sz w:val="21"/>
          <w:szCs w:val="21"/>
        </w:rPr>
        <w:t>(31)福建海峡银行股份有限公司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福建省福州市台江区江滨中大道358号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福州台江区江滨中大道358号福建海峡银行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俞敏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吴白玫、张翠娟、黄钰雯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0591-87332762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0591-87330926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400-893-9999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www.fjhxbank.com </w:t>
            </w:r>
          </w:p>
        </w:tc>
      </w:tr>
    </w:tbl>
    <w:p>
      <w:pPr>
        <w:pStyle w:val="7"/>
        <w:spacing w:before="0" w:beforeAutospacing="0" w:after="0" w:afterAutospacing="0" w:line="360" w:lineRule="auto"/>
        <w:ind w:firstLine="420"/>
        <w:rPr>
          <w:sz w:val="21"/>
          <w:szCs w:val="21"/>
        </w:rPr>
      </w:pPr>
      <w:r>
        <w:rPr>
          <w:rFonts w:hint="eastAsia"/>
          <w:b/>
          <w:bCs/>
          <w:sz w:val="21"/>
          <w:szCs w:val="21"/>
        </w:rPr>
        <w:t>(32)深圳市新兰德证券投资咨询有限公司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深圳市福田区华强北路赛格科技园4栋10层1006#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北京市西城区宣武门外大街28号富卓大厦A座6层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马勇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010-58325388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010-58325300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400-166-1188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http://8.jrj.com.cn/ </w:t>
            </w:r>
          </w:p>
        </w:tc>
      </w:tr>
    </w:tbl>
    <w:p>
      <w:pPr>
        <w:pStyle w:val="7"/>
        <w:spacing w:before="0" w:beforeAutospacing="0" w:after="0" w:afterAutospacing="0" w:line="360" w:lineRule="auto"/>
        <w:ind w:firstLine="420"/>
        <w:rPr>
          <w:sz w:val="21"/>
          <w:szCs w:val="21"/>
        </w:rPr>
      </w:pPr>
      <w:r>
        <w:rPr>
          <w:rFonts w:hint="eastAsia"/>
          <w:b/>
          <w:bCs/>
          <w:sz w:val="21"/>
          <w:szCs w:val="21"/>
        </w:rPr>
        <w:t>(33)厦门市鑫鼎盛控股有限公司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陈洪生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徐明静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0592-3122716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0592-8060771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400-918-0808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www.xds.com.cn </w:t>
            </w:r>
          </w:p>
        </w:tc>
      </w:tr>
    </w:tbl>
    <w:p>
      <w:pPr>
        <w:pStyle w:val="7"/>
        <w:spacing w:before="0" w:beforeAutospacing="0" w:after="0" w:afterAutospacing="0" w:line="360" w:lineRule="auto"/>
        <w:ind w:firstLine="420"/>
        <w:rPr>
          <w:sz w:val="21"/>
          <w:szCs w:val="21"/>
        </w:rPr>
      </w:pPr>
      <w:r>
        <w:rPr>
          <w:rFonts w:hint="eastAsia"/>
          <w:b/>
          <w:bCs/>
          <w:sz w:val="21"/>
          <w:szCs w:val="21"/>
        </w:rPr>
        <w:t>(34)江苏天鼎证券投资咨询有限公司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南京市秦淮区太平南路389号1002室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南京市鼓楼区平安里74号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金婷婷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黄丹昀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025-66001159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025-66001172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025-962155 </w:t>
            </w:r>
          </w:p>
        </w:tc>
      </w:tr>
    </w:tbl>
    <w:p>
      <w:pPr>
        <w:pStyle w:val="7"/>
        <w:spacing w:before="0" w:beforeAutospacing="0" w:after="0" w:afterAutospacing="0" w:line="360" w:lineRule="auto"/>
        <w:ind w:firstLine="420"/>
        <w:rPr>
          <w:sz w:val="21"/>
          <w:szCs w:val="21"/>
        </w:rPr>
      </w:pPr>
      <w:r>
        <w:rPr>
          <w:rFonts w:hint="eastAsia"/>
          <w:b/>
          <w:bCs/>
          <w:sz w:val="21"/>
          <w:szCs w:val="21"/>
        </w:rPr>
        <w:t>(35)上海挖财基金销售有限公司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中国（上海）自由贸易试验区杨高南路799号5楼01、02、03室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上海市浦东新区杨高南路799号陆家嘴世纪金融广场3号楼5层01、02、03室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吕柳霞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021-50810687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021-58300279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021-50810673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http://wacaijijin.com/ </w:t>
            </w:r>
          </w:p>
        </w:tc>
      </w:tr>
    </w:tbl>
    <w:p>
      <w:pPr>
        <w:pStyle w:val="7"/>
        <w:spacing w:before="0" w:beforeAutospacing="0" w:after="0" w:afterAutospacing="0" w:line="360" w:lineRule="auto"/>
        <w:ind w:firstLine="420"/>
        <w:rPr>
          <w:sz w:val="21"/>
          <w:szCs w:val="21"/>
        </w:rPr>
      </w:pPr>
      <w:r>
        <w:rPr>
          <w:rFonts w:hint="eastAsia"/>
          <w:b/>
          <w:bCs/>
          <w:sz w:val="21"/>
          <w:szCs w:val="21"/>
        </w:rPr>
        <w:t>(36)大河财富基金销售有限公司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方凯鑫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0851-88405606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0851-88405599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0851-88235678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www.urainf.com </w:t>
            </w:r>
          </w:p>
        </w:tc>
      </w:tr>
    </w:tbl>
    <w:p>
      <w:pPr>
        <w:pStyle w:val="7"/>
        <w:spacing w:before="0" w:beforeAutospacing="0" w:after="0" w:afterAutospacing="0" w:line="360" w:lineRule="auto"/>
        <w:ind w:firstLine="420"/>
        <w:rPr>
          <w:sz w:val="21"/>
          <w:szCs w:val="21"/>
        </w:rPr>
      </w:pPr>
      <w:r>
        <w:rPr>
          <w:rFonts w:hint="eastAsia"/>
          <w:b/>
          <w:bCs/>
          <w:sz w:val="21"/>
          <w:szCs w:val="21"/>
        </w:rPr>
        <w:t>(37)腾安基金销售（深圳）有限公司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深圳市南山区海天二路33号腾讯滨海大厦15层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谭广锋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0755-86013399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95017(拨通后转1再转8)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https://www.txfund.com/ </w:t>
            </w:r>
          </w:p>
        </w:tc>
      </w:tr>
    </w:tbl>
    <w:p>
      <w:pPr>
        <w:pStyle w:val="7"/>
        <w:spacing w:before="0" w:beforeAutospacing="0" w:after="0" w:afterAutospacing="0" w:line="360" w:lineRule="auto"/>
        <w:ind w:firstLine="420"/>
        <w:rPr>
          <w:sz w:val="21"/>
          <w:szCs w:val="21"/>
        </w:rPr>
      </w:pPr>
      <w:r>
        <w:rPr>
          <w:rFonts w:hint="eastAsia"/>
          <w:b/>
          <w:bCs/>
          <w:sz w:val="21"/>
          <w:szCs w:val="21"/>
        </w:rPr>
        <w:t>(38)民商基金销售（上海）有限公司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上海黄浦区北京东路666号H区（东座）6楼A31室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上海市浦东新区张杨路707号生命人寿大厦32楼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贲惠琴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钟伟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020-50206001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www.msftec.com </w:t>
            </w:r>
          </w:p>
        </w:tc>
      </w:tr>
    </w:tbl>
    <w:p>
      <w:pPr>
        <w:pStyle w:val="7"/>
        <w:spacing w:before="0" w:beforeAutospacing="0" w:after="0" w:afterAutospacing="0" w:line="360" w:lineRule="auto"/>
        <w:ind w:firstLine="420"/>
        <w:rPr>
          <w:sz w:val="21"/>
          <w:szCs w:val="21"/>
        </w:rPr>
      </w:pPr>
      <w:r>
        <w:rPr>
          <w:rFonts w:hint="eastAsia"/>
          <w:b/>
          <w:bCs/>
          <w:sz w:val="21"/>
          <w:szCs w:val="21"/>
        </w:rPr>
        <w:t>(39)北京度小满基金销售有限公司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北京市海淀区西北旺东路10号院西区4号楼1层103室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北京市海淀区西北旺东路10号院西区4号楼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孙博超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010-59403028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010-59403027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95055-4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www.duxiaomanfund.com </w:t>
            </w:r>
          </w:p>
        </w:tc>
      </w:tr>
    </w:tbl>
    <w:p>
      <w:pPr>
        <w:pStyle w:val="7"/>
        <w:spacing w:before="0" w:beforeAutospacing="0" w:after="0" w:afterAutospacing="0" w:line="360" w:lineRule="auto"/>
        <w:ind w:firstLine="420"/>
        <w:rPr>
          <w:sz w:val="21"/>
          <w:szCs w:val="21"/>
        </w:rPr>
      </w:pPr>
      <w:r>
        <w:rPr>
          <w:rFonts w:hint="eastAsia"/>
          <w:b/>
          <w:bCs/>
          <w:sz w:val="21"/>
          <w:szCs w:val="21"/>
        </w:rPr>
        <w:t>(40)博时财富基金销售有限公司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王德英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崔丹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0755-83169999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0755-83195220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400-610-5568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www.boserawealth.com </w:t>
            </w:r>
          </w:p>
        </w:tc>
      </w:tr>
    </w:tbl>
    <w:p>
      <w:pPr>
        <w:pStyle w:val="7"/>
        <w:spacing w:before="0" w:beforeAutospacing="0" w:after="0" w:afterAutospacing="0" w:line="360" w:lineRule="auto"/>
        <w:ind w:firstLine="420"/>
        <w:rPr>
          <w:sz w:val="21"/>
          <w:szCs w:val="21"/>
        </w:rPr>
      </w:pPr>
      <w:r>
        <w:rPr>
          <w:rFonts w:hint="eastAsia"/>
          <w:b/>
          <w:bCs/>
          <w:sz w:val="21"/>
          <w:szCs w:val="21"/>
        </w:rPr>
        <w:t>(41)诺亚正行基金销售有限公司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上海市金山区廊下镇漕廊公路7650号205室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上海浦东新区银城中路68号时代金融中心8楼801室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汪静波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方成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021-38602377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021-38509777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400-821-5399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http://www.noah-fund.com </w:t>
            </w:r>
          </w:p>
        </w:tc>
      </w:tr>
    </w:tbl>
    <w:p>
      <w:pPr>
        <w:pStyle w:val="7"/>
        <w:spacing w:before="0" w:beforeAutospacing="0" w:after="0" w:afterAutospacing="0" w:line="360" w:lineRule="auto"/>
        <w:ind w:firstLine="420"/>
        <w:rPr>
          <w:sz w:val="21"/>
          <w:szCs w:val="21"/>
        </w:rPr>
      </w:pPr>
      <w:r>
        <w:rPr>
          <w:rFonts w:hint="eastAsia"/>
          <w:b/>
          <w:bCs/>
          <w:sz w:val="21"/>
          <w:szCs w:val="21"/>
        </w:rPr>
        <w:t>(42)深圳众禄基金销售股份有限公司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薛峰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童彩平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0755-33227950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0755-33227951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400-678-8887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https://www.zlfund.cn/ </w:t>
            </w:r>
          </w:p>
        </w:tc>
      </w:tr>
    </w:tbl>
    <w:p>
      <w:pPr>
        <w:pStyle w:val="7"/>
        <w:spacing w:before="0" w:beforeAutospacing="0" w:after="0" w:afterAutospacing="0" w:line="360" w:lineRule="auto"/>
        <w:ind w:firstLine="420"/>
        <w:rPr>
          <w:sz w:val="21"/>
          <w:szCs w:val="21"/>
        </w:rPr>
      </w:pPr>
      <w:r>
        <w:rPr>
          <w:rFonts w:hint="eastAsia"/>
          <w:b/>
          <w:bCs/>
          <w:sz w:val="21"/>
          <w:szCs w:val="21"/>
        </w:rPr>
        <w:t>(43)上海天天基金销售有限公司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上海市徐汇区龙田路190号2号楼2层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上海市徐汇区龙田路195号3C座9楼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其实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潘世友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021-54509998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021-64385308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400-181-8188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http://www.1234567.com.cn </w:t>
            </w:r>
          </w:p>
        </w:tc>
      </w:tr>
    </w:tbl>
    <w:p>
      <w:pPr>
        <w:pStyle w:val="7"/>
        <w:spacing w:before="0" w:beforeAutospacing="0" w:after="0" w:afterAutospacing="0" w:line="360" w:lineRule="auto"/>
        <w:ind w:firstLine="420"/>
        <w:rPr>
          <w:sz w:val="21"/>
          <w:szCs w:val="21"/>
        </w:rPr>
      </w:pPr>
      <w:r>
        <w:rPr>
          <w:rFonts w:hint="eastAsia"/>
          <w:b/>
          <w:bCs/>
          <w:sz w:val="21"/>
          <w:szCs w:val="21"/>
        </w:rPr>
        <w:t>(44)上海好买基金销售有限公司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上海市虹口区场中路685弄37号4号楼449室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上海市浦东新区浦东南路1118号鄂尔多斯国际大厦903～906室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杨文斌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021-20613610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400-700-9665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http://www.howbuy.com </w:t>
            </w:r>
          </w:p>
        </w:tc>
      </w:tr>
    </w:tbl>
    <w:p>
      <w:pPr>
        <w:pStyle w:val="7"/>
        <w:spacing w:before="0" w:beforeAutospacing="0" w:after="0" w:afterAutospacing="0" w:line="360" w:lineRule="auto"/>
        <w:ind w:firstLine="420"/>
        <w:rPr>
          <w:sz w:val="21"/>
          <w:szCs w:val="21"/>
        </w:rPr>
      </w:pPr>
      <w:r>
        <w:rPr>
          <w:rFonts w:hint="eastAsia"/>
          <w:b/>
          <w:bCs/>
          <w:sz w:val="21"/>
          <w:szCs w:val="21"/>
        </w:rPr>
        <w:t>(45)蚂蚁（杭州）基金销售有限公司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浙江省杭州市余杭区五常街道文一西路969号3幢5层599室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浙江省杭州市西湖区西溪路556号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韩爱彬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021-60897840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0571-26697013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http://www.fund123.cn </w:t>
            </w:r>
          </w:p>
        </w:tc>
      </w:tr>
    </w:tbl>
    <w:p>
      <w:pPr>
        <w:pStyle w:val="7"/>
        <w:spacing w:before="0" w:beforeAutospacing="0" w:after="0" w:afterAutospacing="0" w:line="360" w:lineRule="auto"/>
        <w:ind w:firstLine="420"/>
        <w:rPr>
          <w:sz w:val="21"/>
          <w:szCs w:val="21"/>
        </w:rPr>
      </w:pPr>
      <w:r>
        <w:rPr>
          <w:rFonts w:hint="eastAsia"/>
          <w:b/>
          <w:bCs/>
          <w:sz w:val="21"/>
          <w:szCs w:val="21"/>
        </w:rPr>
        <w:t>(46)上海长量基金销售有限公司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上海市浦东新区高翔路526号2幢220室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上海市浦东新区东方路1267号11层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张跃伟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敖玲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021-58788678-8201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021—58787698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400-820-2899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http://www.erichfund.com </w:t>
            </w:r>
          </w:p>
        </w:tc>
      </w:tr>
    </w:tbl>
    <w:p>
      <w:pPr>
        <w:pStyle w:val="7"/>
        <w:spacing w:before="0" w:beforeAutospacing="0" w:after="0" w:afterAutospacing="0" w:line="360" w:lineRule="auto"/>
        <w:ind w:firstLine="420"/>
        <w:rPr>
          <w:sz w:val="21"/>
          <w:szCs w:val="21"/>
        </w:rPr>
      </w:pPr>
      <w:r>
        <w:rPr>
          <w:rFonts w:hint="eastAsia"/>
          <w:b/>
          <w:bCs/>
          <w:sz w:val="21"/>
          <w:szCs w:val="21"/>
        </w:rPr>
        <w:t>(47)浙江同花顺基金销售有限公司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杭州市西湖区文二西路1号元茂大厦903室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浙江省杭州市余杭区五常街道同顺街18号同花顺大楼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凌顺平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吴杰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0571-88911818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0571-86800423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952555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www.5ifund.com </w:t>
            </w:r>
          </w:p>
        </w:tc>
      </w:tr>
    </w:tbl>
    <w:p>
      <w:pPr>
        <w:pStyle w:val="7"/>
        <w:spacing w:before="0" w:beforeAutospacing="0" w:after="0" w:afterAutospacing="0" w:line="360" w:lineRule="auto"/>
        <w:ind w:firstLine="420"/>
        <w:rPr>
          <w:sz w:val="21"/>
          <w:szCs w:val="21"/>
        </w:rPr>
      </w:pPr>
      <w:r>
        <w:rPr>
          <w:rFonts w:hint="eastAsia"/>
          <w:b/>
          <w:bCs/>
          <w:sz w:val="21"/>
          <w:szCs w:val="21"/>
        </w:rPr>
        <w:t>(48)上海利得基金销售有限公司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上海市宝山区蕴川路5475号1033室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上海浦东新区峨山路91弄61号10号楼12楼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李兴春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徐鹏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021-50583533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021-50583633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400-921-7755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http://a.leadfund.com.cn/ </w:t>
            </w:r>
          </w:p>
        </w:tc>
      </w:tr>
    </w:tbl>
    <w:p>
      <w:pPr>
        <w:pStyle w:val="7"/>
        <w:spacing w:before="0" w:beforeAutospacing="0" w:after="0" w:afterAutospacing="0" w:line="360" w:lineRule="auto"/>
        <w:ind w:firstLine="420"/>
        <w:rPr>
          <w:sz w:val="21"/>
          <w:szCs w:val="21"/>
        </w:rPr>
      </w:pPr>
      <w:r>
        <w:rPr>
          <w:rFonts w:hint="eastAsia"/>
          <w:b/>
          <w:bCs/>
          <w:sz w:val="21"/>
          <w:szCs w:val="21"/>
        </w:rPr>
        <w:t>(49)嘉实财富管理有限公司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上海市浦东新区世纪大道8号上海国金中心办公楼二期46层4609-10单元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北京市朝阳区建国门外大街21号北京国际俱乐部C座写字楼11层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赵学军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余永键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010-85097570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010-65215433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400-021-8850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www.harvestwm.cn </w:t>
            </w:r>
          </w:p>
        </w:tc>
      </w:tr>
    </w:tbl>
    <w:p>
      <w:pPr>
        <w:pStyle w:val="7"/>
        <w:spacing w:before="0" w:beforeAutospacing="0" w:after="0" w:afterAutospacing="0" w:line="360" w:lineRule="auto"/>
        <w:ind w:firstLine="420"/>
        <w:rPr>
          <w:sz w:val="21"/>
          <w:szCs w:val="21"/>
        </w:rPr>
      </w:pPr>
      <w:r>
        <w:rPr>
          <w:rFonts w:hint="eastAsia"/>
          <w:b/>
          <w:bCs/>
          <w:sz w:val="21"/>
          <w:szCs w:val="21"/>
        </w:rPr>
        <w:t>(50)乾道金融信息服务（北京）有限公司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北京市海淀区东北旺村南1号楼7层7117室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北京市西城区德外大街合生财富广场1302室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王兴吉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高雪超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010-62062880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010-82057741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400-088-8080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www.qiandaojr.com </w:t>
            </w:r>
          </w:p>
        </w:tc>
      </w:tr>
    </w:tbl>
    <w:p>
      <w:pPr>
        <w:pStyle w:val="7"/>
        <w:spacing w:before="0" w:beforeAutospacing="0" w:after="0" w:afterAutospacing="0" w:line="360" w:lineRule="auto"/>
        <w:ind w:firstLine="420"/>
        <w:rPr>
          <w:sz w:val="21"/>
          <w:szCs w:val="21"/>
        </w:rPr>
      </w:pPr>
      <w:r>
        <w:rPr>
          <w:rFonts w:hint="eastAsia"/>
          <w:b/>
          <w:bCs/>
          <w:sz w:val="21"/>
          <w:szCs w:val="21"/>
        </w:rPr>
        <w:t>(51)宜信普泽（北京）基金销售有限公司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北京市朝阳区建国路88号9号楼15层1809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北京市朝阳区建国路88号SOHO现代城C座18层1809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戎兵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010-52855713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010-85894285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400-609-9200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http://www.yixinfund.com </w:t>
            </w:r>
          </w:p>
        </w:tc>
      </w:tr>
    </w:tbl>
    <w:p>
      <w:pPr>
        <w:pStyle w:val="7"/>
        <w:spacing w:before="0" w:beforeAutospacing="0" w:after="0" w:afterAutospacing="0" w:line="360" w:lineRule="auto"/>
        <w:ind w:firstLine="420"/>
        <w:rPr>
          <w:sz w:val="21"/>
          <w:szCs w:val="21"/>
        </w:rPr>
      </w:pPr>
      <w:r>
        <w:rPr>
          <w:rFonts w:hint="eastAsia"/>
          <w:b/>
          <w:bCs/>
          <w:sz w:val="21"/>
          <w:szCs w:val="21"/>
        </w:rPr>
        <w:t>(52)南京苏宁基金销售有限公司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钱燕飞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喻明明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www.snjijin.com </w:t>
            </w:r>
          </w:p>
        </w:tc>
      </w:tr>
    </w:tbl>
    <w:p>
      <w:pPr>
        <w:pStyle w:val="7"/>
        <w:spacing w:before="0" w:beforeAutospacing="0" w:after="0" w:afterAutospacing="0" w:line="360" w:lineRule="auto"/>
        <w:ind w:firstLine="420"/>
        <w:rPr>
          <w:sz w:val="21"/>
          <w:szCs w:val="21"/>
        </w:rPr>
      </w:pPr>
      <w:r>
        <w:rPr>
          <w:rFonts w:hint="eastAsia"/>
          <w:b/>
          <w:bCs/>
          <w:sz w:val="21"/>
          <w:szCs w:val="21"/>
        </w:rPr>
        <w:t>(53)浦领基金销售有限公司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北京市朝阳区望京东园四区2号楼10层1001号04室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北京市朝阳区望京中航资本大厦10层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聂婉君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010-59497361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010-64788016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400-012-5899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www.zscffund.com </w:t>
            </w:r>
          </w:p>
        </w:tc>
      </w:tr>
    </w:tbl>
    <w:p>
      <w:pPr>
        <w:pStyle w:val="7"/>
        <w:spacing w:before="0" w:beforeAutospacing="0" w:after="0" w:afterAutospacing="0" w:line="360" w:lineRule="auto"/>
        <w:ind w:firstLine="420"/>
        <w:rPr>
          <w:sz w:val="21"/>
          <w:szCs w:val="21"/>
        </w:rPr>
      </w:pPr>
      <w:r>
        <w:rPr>
          <w:rFonts w:hint="eastAsia"/>
          <w:b/>
          <w:bCs/>
          <w:sz w:val="21"/>
          <w:szCs w:val="21"/>
        </w:rPr>
        <w:t>(54)北京中植基金销售有限公司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北京市北京经济技术开发区宏达北路10号五层5122室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北京市朝阳区大望路金地中心A座28层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武建华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丛瑞丰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010-59313555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010-56642623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400-8180-888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http://www.zzfund.com </w:t>
            </w:r>
          </w:p>
        </w:tc>
      </w:tr>
    </w:tbl>
    <w:p>
      <w:pPr>
        <w:pStyle w:val="7"/>
        <w:spacing w:before="0" w:beforeAutospacing="0" w:after="0" w:afterAutospacing="0" w:line="360" w:lineRule="auto"/>
        <w:ind w:firstLine="420"/>
        <w:rPr>
          <w:sz w:val="21"/>
          <w:szCs w:val="21"/>
        </w:rPr>
      </w:pPr>
      <w:r>
        <w:rPr>
          <w:rFonts w:hint="eastAsia"/>
          <w:b/>
          <w:bCs/>
          <w:sz w:val="21"/>
          <w:szCs w:val="21"/>
        </w:rPr>
        <w:t>(55)北京汇成基金销售有限公司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王伟刚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丁向坤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010-56282140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010-62680827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400-619-9059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www.hcjijin.com </w:t>
            </w:r>
          </w:p>
        </w:tc>
      </w:tr>
    </w:tbl>
    <w:p>
      <w:pPr>
        <w:pStyle w:val="7"/>
        <w:spacing w:before="0" w:beforeAutospacing="0" w:after="0" w:afterAutospacing="0" w:line="360" w:lineRule="auto"/>
        <w:ind w:firstLine="420"/>
        <w:rPr>
          <w:sz w:val="21"/>
          <w:szCs w:val="21"/>
        </w:rPr>
      </w:pPr>
      <w:r>
        <w:rPr>
          <w:rFonts w:hint="eastAsia"/>
          <w:b/>
          <w:bCs/>
          <w:sz w:val="21"/>
          <w:szCs w:val="21"/>
        </w:rPr>
        <w:t>(56)北京钱景基金销售有限公司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赵荣春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魏争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010-57418829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010-57569671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400-893-6885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www.qianjing.com </w:t>
            </w:r>
          </w:p>
        </w:tc>
      </w:tr>
    </w:tbl>
    <w:p>
      <w:pPr>
        <w:pStyle w:val="7"/>
        <w:spacing w:before="0" w:beforeAutospacing="0" w:after="0" w:afterAutospacing="0" w:line="360" w:lineRule="auto"/>
        <w:ind w:firstLine="420"/>
        <w:rPr>
          <w:sz w:val="21"/>
          <w:szCs w:val="21"/>
        </w:rPr>
      </w:pPr>
      <w:r>
        <w:rPr>
          <w:rFonts w:hint="eastAsia"/>
          <w:b/>
          <w:bCs/>
          <w:sz w:val="21"/>
          <w:szCs w:val="21"/>
        </w:rPr>
        <w:t>(57)上海万得基金销售有限公司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中国（上海）自由贸易试验区福山路33号11楼B座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上海市浦东新区浦明路1500号万得大厦11楼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王廷富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姜吉灵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021-5132 7185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021-6888 2281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400-821-0203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www.520fund.com.cn </w:t>
            </w:r>
          </w:p>
        </w:tc>
      </w:tr>
    </w:tbl>
    <w:p>
      <w:pPr>
        <w:pStyle w:val="7"/>
        <w:spacing w:before="0" w:beforeAutospacing="0" w:after="0" w:afterAutospacing="0" w:line="360" w:lineRule="auto"/>
        <w:ind w:firstLine="420"/>
        <w:rPr>
          <w:sz w:val="21"/>
          <w:szCs w:val="21"/>
        </w:rPr>
      </w:pPr>
      <w:r>
        <w:rPr>
          <w:rFonts w:hint="eastAsia"/>
          <w:b/>
          <w:bCs/>
          <w:sz w:val="21"/>
          <w:szCs w:val="21"/>
        </w:rPr>
        <w:t>(58)凤凰金信（海口）基金销售有限公司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宁夏回族自治区银川市金凤区阅海湾中央商务区万寿路142号14层1402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北京市朝阳区紫月路18号院 朝来高科技产业园18号楼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010-58160168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010-58160173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400-810-5919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www.fengfd.com </w:t>
            </w:r>
          </w:p>
        </w:tc>
      </w:tr>
    </w:tbl>
    <w:p>
      <w:pPr>
        <w:pStyle w:val="7"/>
        <w:spacing w:before="0" w:beforeAutospacing="0" w:after="0" w:afterAutospacing="0" w:line="360" w:lineRule="auto"/>
        <w:ind w:firstLine="420"/>
        <w:rPr>
          <w:sz w:val="21"/>
          <w:szCs w:val="21"/>
        </w:rPr>
      </w:pPr>
      <w:r>
        <w:rPr>
          <w:rFonts w:hint="eastAsia"/>
          <w:b/>
          <w:bCs/>
          <w:sz w:val="21"/>
          <w:szCs w:val="21"/>
        </w:rPr>
        <w:t>(59)上海联泰基金销售有限公司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中国（上海）自由贸易试验区富特北路277号3层310室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上海市长宁区福泉北路 518 号 8 座 3 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燕斌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兰敏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021-52822063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021-52975270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400-166-6788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www.66zichan.com </w:t>
            </w:r>
          </w:p>
        </w:tc>
      </w:tr>
    </w:tbl>
    <w:p>
      <w:pPr>
        <w:pStyle w:val="7"/>
        <w:spacing w:before="0" w:beforeAutospacing="0" w:after="0" w:afterAutospacing="0" w:line="360" w:lineRule="auto"/>
        <w:ind w:firstLine="420"/>
        <w:rPr>
          <w:sz w:val="21"/>
          <w:szCs w:val="21"/>
        </w:rPr>
      </w:pPr>
      <w:r>
        <w:rPr>
          <w:rFonts w:hint="eastAsia"/>
          <w:b/>
          <w:bCs/>
          <w:sz w:val="21"/>
          <w:szCs w:val="21"/>
        </w:rPr>
        <w:t>(60)上海基煜基金销售有限公司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上海市崇明县长兴镇路潘园公路1800号2号楼6153室（上海泰和经济发展区）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上海市浦东新区银城中路488号太平金融大厦1503室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蓝杰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021-65370077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021-55085991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400-820-5369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www.jiyufund.com.cn </w:t>
            </w:r>
          </w:p>
        </w:tc>
      </w:tr>
    </w:tbl>
    <w:p>
      <w:pPr>
        <w:pStyle w:val="7"/>
        <w:spacing w:before="0" w:beforeAutospacing="0" w:after="0" w:afterAutospacing="0" w:line="360" w:lineRule="auto"/>
        <w:ind w:firstLine="420"/>
        <w:rPr>
          <w:sz w:val="21"/>
          <w:szCs w:val="21"/>
        </w:rPr>
      </w:pPr>
      <w:r>
        <w:rPr>
          <w:rFonts w:hint="eastAsia"/>
          <w:b/>
          <w:bCs/>
          <w:sz w:val="21"/>
          <w:szCs w:val="21"/>
        </w:rPr>
        <w:t>(61)上海中正达广基金销售有限公司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黄欣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何源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13817792090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021-33768132-802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021-33635338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www.zhongzhengfund.com </w:t>
            </w:r>
          </w:p>
        </w:tc>
      </w:tr>
    </w:tbl>
    <w:p>
      <w:pPr>
        <w:pStyle w:val="7"/>
        <w:spacing w:before="0" w:beforeAutospacing="0" w:after="0" w:afterAutospacing="0" w:line="360" w:lineRule="auto"/>
        <w:ind w:firstLine="420"/>
        <w:rPr>
          <w:sz w:val="21"/>
          <w:szCs w:val="21"/>
        </w:rPr>
      </w:pPr>
      <w:r>
        <w:rPr>
          <w:rFonts w:hint="eastAsia"/>
          <w:b/>
          <w:bCs/>
          <w:sz w:val="21"/>
          <w:szCs w:val="21"/>
        </w:rPr>
        <w:t>(62)北京虹点基金销售有限公司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北京市朝阳区西大望路1号1号楼1603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北京市朝阳区工人体育馆北路甲2号盈科中心B座裙楼二层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董浩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于婷婷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010-56409010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010-56580660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400-618-0707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www.hongdianfund.com </w:t>
            </w:r>
          </w:p>
        </w:tc>
      </w:tr>
    </w:tbl>
    <w:p>
      <w:pPr>
        <w:pStyle w:val="7"/>
        <w:spacing w:before="0" w:beforeAutospacing="0" w:after="0" w:afterAutospacing="0" w:line="360" w:lineRule="auto"/>
        <w:ind w:firstLine="420"/>
        <w:rPr>
          <w:sz w:val="21"/>
          <w:szCs w:val="21"/>
        </w:rPr>
      </w:pPr>
      <w:r>
        <w:rPr>
          <w:rFonts w:hint="eastAsia"/>
          <w:b/>
          <w:bCs/>
          <w:sz w:val="21"/>
          <w:szCs w:val="21"/>
        </w:rPr>
        <w:t>(63)深圳新华信通基金销售有限公司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深圳市福田区深南大道2003号华嵘大厦1806单元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戴媛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刘雪敏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13760218733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400-000-5767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www.xintongfund.com </w:t>
            </w:r>
          </w:p>
        </w:tc>
      </w:tr>
    </w:tbl>
    <w:p>
      <w:pPr>
        <w:pStyle w:val="7"/>
        <w:spacing w:before="0" w:beforeAutospacing="0" w:after="0" w:afterAutospacing="0" w:line="360" w:lineRule="auto"/>
        <w:ind w:firstLine="420"/>
        <w:rPr>
          <w:sz w:val="21"/>
          <w:szCs w:val="21"/>
        </w:rPr>
      </w:pPr>
      <w:r>
        <w:rPr>
          <w:rFonts w:hint="eastAsia"/>
          <w:b/>
          <w:bCs/>
          <w:sz w:val="21"/>
          <w:szCs w:val="21"/>
        </w:rPr>
        <w:t>(64)深圳富济基金销售有限公司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深圳市福田区福田街道岗厦社区金田路3088号中洲大厦3203A单元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深圳市福田区福田街道岗厦社区金田路3088号中洲大厦3203A单元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祝中村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曾瑶敏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0755-83999907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0755-83999926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0755-83999907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www.fujifund.cn </w:t>
            </w:r>
          </w:p>
        </w:tc>
      </w:tr>
    </w:tbl>
    <w:p>
      <w:pPr>
        <w:pStyle w:val="7"/>
        <w:spacing w:before="0" w:beforeAutospacing="0" w:after="0" w:afterAutospacing="0" w:line="360" w:lineRule="auto"/>
        <w:ind w:firstLine="420"/>
        <w:rPr>
          <w:sz w:val="21"/>
          <w:szCs w:val="21"/>
        </w:rPr>
      </w:pPr>
      <w:r>
        <w:rPr>
          <w:rFonts w:hint="eastAsia"/>
          <w:b/>
          <w:bCs/>
          <w:sz w:val="21"/>
          <w:szCs w:val="21"/>
        </w:rPr>
        <w:t>(65)上海陆金所基金销售有限公司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上海市浦东新区陆家嘴环路1333号14楼09单元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上海市浦东新区陆家嘴环路1333号14楼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郭坚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宁博宇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021-20665952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021-22066653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400-821-9031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www.lufunds.com </w:t>
            </w:r>
          </w:p>
        </w:tc>
      </w:tr>
    </w:tbl>
    <w:p>
      <w:pPr>
        <w:pStyle w:val="7"/>
        <w:spacing w:before="0" w:beforeAutospacing="0" w:after="0" w:afterAutospacing="0" w:line="360" w:lineRule="auto"/>
        <w:ind w:firstLine="420"/>
        <w:rPr>
          <w:sz w:val="21"/>
          <w:szCs w:val="21"/>
        </w:rPr>
      </w:pPr>
      <w:r>
        <w:rPr>
          <w:rFonts w:hint="eastAsia"/>
          <w:b/>
          <w:bCs/>
          <w:sz w:val="21"/>
          <w:szCs w:val="21"/>
        </w:rPr>
        <w:t>(66)珠海盈米基金销售有限公司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珠海市横琴新区宝华路6号105室-3491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广州市海珠区琶洲大道东1号保利国际广场南塔12楼B1201-1203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肖雯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吴煜浩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020-89629099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020-89629011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020-89629066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www.yingmi.cn </w:t>
            </w:r>
          </w:p>
        </w:tc>
      </w:tr>
    </w:tbl>
    <w:p>
      <w:pPr>
        <w:pStyle w:val="7"/>
        <w:spacing w:before="0" w:beforeAutospacing="0" w:after="0" w:afterAutospacing="0" w:line="360" w:lineRule="auto"/>
        <w:ind w:firstLine="420"/>
        <w:rPr>
          <w:sz w:val="21"/>
          <w:szCs w:val="21"/>
        </w:rPr>
      </w:pPr>
      <w:r>
        <w:rPr>
          <w:rFonts w:hint="eastAsia"/>
          <w:b/>
          <w:bCs/>
          <w:sz w:val="21"/>
          <w:szCs w:val="21"/>
        </w:rPr>
        <w:t>(67)和耕传承基金销售有限公司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李淑慧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董亚芳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0371-85518391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0371-85518397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400-360-0000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www.nicaifu.com </w:t>
            </w:r>
          </w:p>
        </w:tc>
      </w:tr>
    </w:tbl>
    <w:p>
      <w:pPr>
        <w:pStyle w:val="7"/>
        <w:spacing w:before="0" w:beforeAutospacing="0" w:after="0" w:afterAutospacing="0" w:line="360" w:lineRule="auto"/>
        <w:ind w:firstLine="420"/>
        <w:rPr>
          <w:sz w:val="21"/>
          <w:szCs w:val="21"/>
        </w:rPr>
      </w:pPr>
      <w:r>
        <w:rPr>
          <w:rFonts w:hint="eastAsia"/>
          <w:b/>
          <w:bCs/>
          <w:sz w:val="21"/>
          <w:szCs w:val="21"/>
        </w:rPr>
        <w:t>(68)南京途牛基金销售有限公司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南京市玄武区玄武大道699-1号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南京市玄武区玄武大道699-32号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宋时琳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张士帅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025-86853969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025-86853999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4007-999-999转3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http://jr.tuniu.com/ </w:t>
            </w:r>
          </w:p>
        </w:tc>
      </w:tr>
    </w:tbl>
    <w:p>
      <w:pPr>
        <w:pStyle w:val="7"/>
        <w:spacing w:before="0" w:beforeAutospacing="0" w:after="0" w:afterAutospacing="0" w:line="360" w:lineRule="auto"/>
        <w:ind w:firstLine="420"/>
        <w:rPr>
          <w:sz w:val="21"/>
          <w:szCs w:val="21"/>
        </w:rPr>
      </w:pPr>
      <w:r>
        <w:rPr>
          <w:rFonts w:hint="eastAsia"/>
          <w:b/>
          <w:bCs/>
          <w:sz w:val="21"/>
          <w:szCs w:val="21"/>
        </w:rPr>
        <w:t>(69)中证金牛（北京）基金销售有限公司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北京市丰台区东管头1号2号楼2-45室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北京市西城区宣武门外大街甲1号环球财讯中心A座5层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钱昊旻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孙雯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010-59336519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010-59336500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400-890-9998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www.jnlc.com </w:t>
            </w:r>
          </w:p>
        </w:tc>
      </w:tr>
    </w:tbl>
    <w:p>
      <w:pPr>
        <w:pStyle w:val="7"/>
        <w:spacing w:before="0" w:beforeAutospacing="0" w:after="0" w:afterAutospacing="0" w:line="360" w:lineRule="auto"/>
        <w:ind w:firstLine="420"/>
        <w:rPr>
          <w:sz w:val="21"/>
          <w:szCs w:val="21"/>
        </w:rPr>
      </w:pPr>
      <w:r>
        <w:rPr>
          <w:rFonts w:hint="eastAsia"/>
          <w:b/>
          <w:bCs/>
          <w:sz w:val="21"/>
          <w:szCs w:val="21"/>
        </w:rPr>
        <w:t>(70)京东肯特瑞基金销售有限公司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北京市海淀区海淀东三街2号4层401-15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北京市经济开发区科创十一街18号院京东总部A座4层A428室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江卉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徐伯宇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400-098-8511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010-89188000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400-088-8816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http://jr.jd.com/ </w:t>
            </w:r>
          </w:p>
        </w:tc>
      </w:tr>
    </w:tbl>
    <w:p>
      <w:pPr>
        <w:pStyle w:val="7"/>
        <w:spacing w:before="0" w:beforeAutospacing="0" w:after="0" w:afterAutospacing="0" w:line="360" w:lineRule="auto"/>
        <w:ind w:firstLine="420"/>
        <w:rPr>
          <w:sz w:val="21"/>
          <w:szCs w:val="21"/>
        </w:rPr>
      </w:pPr>
      <w:r>
        <w:rPr>
          <w:rFonts w:hint="eastAsia"/>
          <w:b/>
          <w:bCs/>
          <w:sz w:val="21"/>
          <w:szCs w:val="21"/>
        </w:rPr>
        <w:t>(71)大连网金基金销售有限公司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0411-39027800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0411-39027888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400-089-9100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http://www.yibaijin.com/ </w:t>
            </w:r>
          </w:p>
        </w:tc>
      </w:tr>
    </w:tbl>
    <w:p>
      <w:pPr>
        <w:pStyle w:val="7"/>
        <w:spacing w:before="0" w:beforeAutospacing="0" w:after="0" w:afterAutospacing="0" w:line="360" w:lineRule="auto"/>
        <w:ind w:firstLine="420"/>
        <w:rPr>
          <w:sz w:val="21"/>
          <w:szCs w:val="21"/>
        </w:rPr>
      </w:pPr>
      <w:r>
        <w:rPr>
          <w:rFonts w:hint="eastAsia"/>
          <w:b/>
          <w:bCs/>
          <w:sz w:val="21"/>
          <w:szCs w:val="21"/>
        </w:rPr>
        <w:t>(72)深圳市金斧子基金销售有限公司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赖任军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刘昕霞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0755-29330513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0755-26920530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400-930-0660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www.jfzinv.com </w:t>
            </w:r>
          </w:p>
        </w:tc>
      </w:tr>
    </w:tbl>
    <w:p>
      <w:pPr>
        <w:pStyle w:val="7"/>
        <w:spacing w:before="0" w:beforeAutospacing="0" w:after="0" w:afterAutospacing="0" w:line="360" w:lineRule="auto"/>
        <w:ind w:firstLine="420"/>
        <w:rPr>
          <w:sz w:val="21"/>
          <w:szCs w:val="21"/>
        </w:rPr>
      </w:pPr>
      <w:r>
        <w:rPr>
          <w:rFonts w:hint="eastAsia"/>
          <w:b/>
          <w:bCs/>
          <w:sz w:val="21"/>
          <w:szCs w:val="21"/>
        </w:rPr>
        <w:t>(73)北京雪球基金销售有限公司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戚晓强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15810005516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010-85659484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400-061-8518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danjuanapp.com </w:t>
            </w:r>
          </w:p>
        </w:tc>
      </w:tr>
    </w:tbl>
    <w:p>
      <w:pPr>
        <w:pStyle w:val="7"/>
        <w:spacing w:before="0" w:beforeAutospacing="0" w:after="0" w:afterAutospacing="0" w:line="360" w:lineRule="auto"/>
        <w:ind w:firstLine="420"/>
        <w:rPr>
          <w:sz w:val="21"/>
          <w:szCs w:val="21"/>
        </w:rPr>
      </w:pPr>
      <w:r>
        <w:rPr>
          <w:rFonts w:hint="eastAsia"/>
          <w:b/>
          <w:bCs/>
          <w:sz w:val="21"/>
          <w:szCs w:val="21"/>
        </w:rPr>
        <w:t>(74)深圳前海财厚基金销售有限公司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深圳市南山区深圳湾科技生态园三区11栋A座3608室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杨艳平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叶见云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0755-86575665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0755-26640652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4001286800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www.caiho.cn </w:t>
            </w:r>
          </w:p>
        </w:tc>
      </w:tr>
    </w:tbl>
    <w:p>
      <w:pPr>
        <w:pStyle w:val="7"/>
        <w:spacing w:before="0" w:beforeAutospacing="0" w:after="0" w:afterAutospacing="0" w:line="360" w:lineRule="auto"/>
        <w:ind w:firstLine="420"/>
        <w:rPr>
          <w:sz w:val="21"/>
          <w:szCs w:val="21"/>
        </w:rPr>
      </w:pPr>
      <w:r>
        <w:rPr>
          <w:rFonts w:hint="eastAsia"/>
          <w:b/>
          <w:bCs/>
          <w:sz w:val="21"/>
          <w:szCs w:val="21"/>
        </w:rPr>
        <w:t>(75)万家财富基金销售（天津）有限公司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8"/>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天津自贸区（中心商务区）迎宾大道1988号滨海浙商大厦公寓2-2413室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北京市西城区丰盛胡同28号太平洋保险大厦5层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李修辞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孙雪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010-59013707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http://www.wanjiawealth.com/ </w:t>
            </w:r>
          </w:p>
        </w:tc>
      </w:tr>
    </w:tbl>
    <w:p>
      <w:pPr>
        <w:pStyle w:val="7"/>
        <w:spacing w:before="0" w:beforeAutospacing="0" w:after="0" w:afterAutospacing="0" w:line="360" w:lineRule="auto"/>
        <w:ind w:firstLine="420"/>
        <w:rPr>
          <w:sz w:val="21"/>
          <w:szCs w:val="21"/>
        </w:rPr>
      </w:pPr>
      <w:r>
        <w:rPr>
          <w:rFonts w:hint="eastAsia"/>
          <w:b/>
          <w:bCs/>
          <w:sz w:val="21"/>
          <w:szCs w:val="21"/>
        </w:rPr>
        <w:t>(76)洪泰财富（青岛）基金销售有限责任公司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山东省青岛市崂山区香港东路195号9号楼701室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山东省青岛市崂山区海尔路188号浦发银行大厦706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400-670-6863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www.hongtaiwealth.com </w:t>
            </w:r>
          </w:p>
        </w:tc>
      </w:tr>
    </w:tbl>
    <w:p>
      <w:pPr>
        <w:pStyle w:val="7"/>
        <w:spacing w:before="0" w:beforeAutospacing="0" w:after="0" w:afterAutospacing="0" w:line="360" w:lineRule="auto"/>
        <w:ind w:firstLine="420"/>
        <w:rPr>
          <w:sz w:val="21"/>
          <w:szCs w:val="21"/>
        </w:rPr>
      </w:pPr>
      <w:r>
        <w:rPr>
          <w:rFonts w:hint="eastAsia"/>
          <w:b/>
          <w:bCs/>
          <w:sz w:val="21"/>
          <w:szCs w:val="21"/>
        </w:rPr>
        <w:t>(77)海通期货股份有限公司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6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中国（上海）自由贸易试验区世纪大道1589号17楼，6楼01、03、04单元，25楼，2楼05、03单元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中国（上海）自由贸易试验区世纪大道1589号17楼，6楼01、03、04单元，25楼，2楼05、03单元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吴红松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俞永捷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021-38917098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021-68685550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4008209133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https://www.htfutures.com/main/gw/index.shtml </w:t>
            </w:r>
          </w:p>
        </w:tc>
      </w:tr>
    </w:tbl>
    <w:p>
      <w:pPr>
        <w:pStyle w:val="7"/>
        <w:spacing w:before="0" w:beforeAutospacing="0" w:after="0" w:afterAutospacing="0" w:line="360" w:lineRule="auto"/>
        <w:ind w:firstLine="420"/>
        <w:rPr>
          <w:sz w:val="21"/>
          <w:szCs w:val="21"/>
        </w:rPr>
      </w:pPr>
      <w:r>
        <w:rPr>
          <w:rFonts w:hint="eastAsia"/>
          <w:b/>
          <w:bCs/>
          <w:sz w:val="21"/>
          <w:szCs w:val="21"/>
        </w:rPr>
        <w:t>(78)中信期货有限公司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梁美娜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021-80365243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021-60819988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400-990-8826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www.citicsf.com </w:t>
            </w:r>
          </w:p>
        </w:tc>
      </w:tr>
    </w:tbl>
    <w:p>
      <w:pPr>
        <w:pStyle w:val="7"/>
        <w:spacing w:before="0" w:beforeAutospacing="0" w:after="0" w:afterAutospacing="0" w:line="360" w:lineRule="auto"/>
        <w:ind w:firstLine="420"/>
        <w:rPr>
          <w:sz w:val="21"/>
          <w:szCs w:val="21"/>
        </w:rPr>
      </w:pPr>
      <w:r>
        <w:rPr>
          <w:rFonts w:hint="eastAsia"/>
          <w:b/>
          <w:bCs/>
          <w:sz w:val="21"/>
          <w:szCs w:val="21"/>
        </w:rPr>
        <w:t>(79)和合期货有限公司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刘晓洁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关晓婷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400-660-4882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http://www.hhqh.com.cn </w:t>
            </w:r>
          </w:p>
        </w:tc>
      </w:tr>
    </w:tbl>
    <w:p>
      <w:pPr>
        <w:pStyle w:val="7"/>
        <w:spacing w:before="0" w:beforeAutospacing="0" w:after="0" w:afterAutospacing="0" w:line="360" w:lineRule="auto"/>
        <w:ind w:firstLine="420"/>
        <w:rPr>
          <w:sz w:val="21"/>
          <w:szCs w:val="21"/>
        </w:rPr>
      </w:pPr>
      <w:r>
        <w:rPr>
          <w:rFonts w:hint="eastAsia"/>
          <w:b/>
          <w:bCs/>
          <w:sz w:val="21"/>
          <w:szCs w:val="21"/>
        </w:rPr>
        <w:t>(80)国泰君安证券股份有限公司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中国（上海）自由贸易试验区商城路618号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上海市静安区新闸路669号博华广场21层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贺青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钟伟镇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021-38676666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021-38670666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95521/4008888666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https://www.gtja.com  </w:t>
            </w:r>
          </w:p>
        </w:tc>
      </w:tr>
    </w:tbl>
    <w:p>
      <w:pPr>
        <w:pStyle w:val="7"/>
        <w:spacing w:before="0" w:beforeAutospacing="0" w:after="0" w:afterAutospacing="0" w:line="360" w:lineRule="auto"/>
        <w:ind w:firstLine="420"/>
        <w:rPr>
          <w:sz w:val="21"/>
          <w:szCs w:val="21"/>
        </w:rPr>
      </w:pPr>
      <w:r>
        <w:rPr>
          <w:rFonts w:hint="eastAsia"/>
          <w:b/>
          <w:bCs/>
          <w:sz w:val="21"/>
          <w:szCs w:val="21"/>
        </w:rPr>
        <w:t>(81)中信建投证券股份有限公司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北京市朝阳区安立路66号4号楼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北京市朝阳门内大街188号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王常青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陈海静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010-65608231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010－65182261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4008888108/95587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http://www.csc108.com/ </w:t>
            </w:r>
          </w:p>
        </w:tc>
      </w:tr>
    </w:tbl>
    <w:p>
      <w:pPr>
        <w:pStyle w:val="7"/>
        <w:spacing w:before="0" w:beforeAutospacing="0" w:after="0" w:afterAutospacing="0" w:line="360" w:lineRule="auto"/>
        <w:ind w:firstLine="420"/>
        <w:rPr>
          <w:sz w:val="21"/>
          <w:szCs w:val="21"/>
        </w:rPr>
      </w:pPr>
      <w:r>
        <w:rPr>
          <w:rFonts w:hint="eastAsia"/>
          <w:b/>
          <w:bCs/>
          <w:sz w:val="21"/>
          <w:szCs w:val="21"/>
        </w:rPr>
        <w:t>(82)国信证券股份有限公司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深圳市罗湖区红岭中路1012号国信证券大厦十六层至二十六层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深圳市福田区福华一路125号国信金融大厦37楼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张纳沙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0755-82130833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0755-82133952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http://www.guosen.com.cn/ </w:t>
            </w:r>
          </w:p>
        </w:tc>
      </w:tr>
    </w:tbl>
    <w:p>
      <w:pPr>
        <w:pStyle w:val="7"/>
        <w:spacing w:before="0" w:beforeAutospacing="0" w:after="0" w:afterAutospacing="0" w:line="360" w:lineRule="auto"/>
        <w:ind w:firstLine="420"/>
        <w:rPr>
          <w:sz w:val="21"/>
          <w:szCs w:val="21"/>
        </w:rPr>
      </w:pPr>
      <w:r>
        <w:rPr>
          <w:rFonts w:hint="eastAsia"/>
          <w:b/>
          <w:bCs/>
          <w:sz w:val="21"/>
          <w:szCs w:val="21"/>
        </w:rPr>
        <w:t>(83)招商证券股份有限公司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深圳市福田区福田街道福华一路111号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深圳市福田区福华一路111号招商证券大厦23楼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霍达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黄婵君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0755-82943666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0755-83734343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4008888111；95565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http://www.newone.com.cn/ </w:t>
            </w:r>
          </w:p>
        </w:tc>
      </w:tr>
    </w:tbl>
    <w:p>
      <w:pPr>
        <w:pStyle w:val="7"/>
        <w:spacing w:before="0" w:beforeAutospacing="0" w:after="0" w:afterAutospacing="0" w:line="360" w:lineRule="auto"/>
        <w:ind w:firstLine="420"/>
        <w:rPr>
          <w:sz w:val="21"/>
          <w:szCs w:val="21"/>
        </w:rPr>
      </w:pPr>
      <w:r>
        <w:rPr>
          <w:rFonts w:hint="eastAsia"/>
          <w:b/>
          <w:bCs/>
          <w:sz w:val="21"/>
          <w:szCs w:val="21"/>
        </w:rPr>
        <w:t>(84)广发证券股份有限公司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广州市黄埔区中新广州知识城腾飞一街2号618室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广州市天河区马场路26号广发证券大厦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林传辉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黄岚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020－87555888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020－87555305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95575、020-95575或致电各地营业网点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http://www.gf.com.cn/ </w:t>
            </w:r>
          </w:p>
        </w:tc>
      </w:tr>
    </w:tbl>
    <w:p>
      <w:pPr>
        <w:pStyle w:val="7"/>
        <w:spacing w:before="0" w:beforeAutospacing="0" w:after="0" w:afterAutospacing="0" w:line="360" w:lineRule="auto"/>
        <w:ind w:firstLine="420"/>
        <w:rPr>
          <w:sz w:val="21"/>
          <w:szCs w:val="21"/>
        </w:rPr>
      </w:pPr>
      <w:r>
        <w:rPr>
          <w:rFonts w:hint="eastAsia"/>
          <w:b/>
          <w:bCs/>
          <w:sz w:val="21"/>
          <w:szCs w:val="21"/>
        </w:rPr>
        <w:t>(85)中信证券股份有限公司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广东省深圳市福田区中心三路8号卓越时代广场（二期）北座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北京朝阳区新源南路6号京城大厦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张佑君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杜杰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010-60833889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010－84865560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400-889-5548/95548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http://www.cs.ecitic.com/ </w:t>
            </w:r>
          </w:p>
        </w:tc>
      </w:tr>
    </w:tbl>
    <w:p>
      <w:pPr>
        <w:pStyle w:val="7"/>
        <w:spacing w:before="0" w:beforeAutospacing="0" w:after="0" w:afterAutospacing="0" w:line="360" w:lineRule="auto"/>
        <w:ind w:firstLine="420"/>
        <w:rPr>
          <w:sz w:val="21"/>
          <w:szCs w:val="21"/>
        </w:rPr>
      </w:pPr>
      <w:r>
        <w:rPr>
          <w:rFonts w:hint="eastAsia"/>
          <w:b/>
          <w:bCs/>
          <w:sz w:val="21"/>
          <w:szCs w:val="21"/>
        </w:rPr>
        <w:t>(86)海通证券股份有限公司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上海市淮海中路98号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上海市广东路689号海通证券大厦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周杰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李笑鸣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021-23219275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021－63602722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http://www.htsec.com/ </w:t>
            </w:r>
          </w:p>
        </w:tc>
      </w:tr>
    </w:tbl>
    <w:p>
      <w:pPr>
        <w:pStyle w:val="7"/>
        <w:spacing w:before="0" w:beforeAutospacing="0" w:after="0" w:afterAutospacing="0" w:line="360" w:lineRule="auto"/>
        <w:ind w:firstLine="420"/>
        <w:rPr>
          <w:sz w:val="21"/>
          <w:szCs w:val="21"/>
        </w:rPr>
      </w:pPr>
      <w:r>
        <w:rPr>
          <w:rFonts w:hint="eastAsia"/>
          <w:b/>
          <w:bCs/>
          <w:sz w:val="21"/>
          <w:szCs w:val="21"/>
        </w:rPr>
        <w:t>(87)申万宏源证券有限公司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上海市徐汇区长乐路989号45层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上海市徐汇区长乐路989号世纪商贸广场45层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杨玉成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021-33388999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021-33388224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(88)兴业证券股份有限公司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福州市湖东路268号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上海市浦东民生路1199弄五道口广场1号楼21层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杨华辉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乔琳雪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021-38565547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021－38565783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4008888123/95562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http://www.xyzq.com.cn/ </w:t>
            </w:r>
          </w:p>
        </w:tc>
      </w:tr>
    </w:tbl>
    <w:p>
      <w:pPr>
        <w:pStyle w:val="7"/>
        <w:spacing w:before="0" w:beforeAutospacing="0" w:after="0" w:afterAutospacing="0" w:line="360" w:lineRule="auto"/>
        <w:ind w:firstLine="420"/>
        <w:rPr>
          <w:sz w:val="21"/>
          <w:szCs w:val="21"/>
        </w:rPr>
      </w:pPr>
      <w:r>
        <w:rPr>
          <w:rFonts w:hint="eastAsia"/>
          <w:b/>
          <w:bCs/>
          <w:sz w:val="21"/>
          <w:szCs w:val="21"/>
        </w:rPr>
        <w:t>(89)长江证券股份有限公司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李新华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奚博宇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027-65799999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027-85481900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95579;4008-888-999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http://www.95579.com/ </w:t>
            </w:r>
          </w:p>
        </w:tc>
      </w:tr>
    </w:tbl>
    <w:p>
      <w:pPr>
        <w:pStyle w:val="7"/>
        <w:spacing w:before="0" w:beforeAutospacing="0" w:after="0" w:afterAutospacing="0" w:line="360" w:lineRule="auto"/>
        <w:ind w:firstLine="420"/>
        <w:rPr>
          <w:sz w:val="21"/>
          <w:szCs w:val="21"/>
        </w:rPr>
      </w:pPr>
      <w:r>
        <w:rPr>
          <w:rFonts w:hint="eastAsia"/>
          <w:b/>
          <w:bCs/>
          <w:sz w:val="21"/>
          <w:szCs w:val="21"/>
        </w:rPr>
        <w:t>(90)安信证券股份有限公司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1"/>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黄炎勋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刘志斌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0755-82558266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http://www.essence.com.cn/ </w:t>
            </w:r>
          </w:p>
        </w:tc>
      </w:tr>
    </w:tbl>
    <w:p>
      <w:pPr>
        <w:pStyle w:val="7"/>
        <w:spacing w:before="0" w:beforeAutospacing="0" w:after="0" w:afterAutospacing="0" w:line="360" w:lineRule="auto"/>
        <w:ind w:firstLine="420"/>
        <w:rPr>
          <w:sz w:val="21"/>
          <w:szCs w:val="21"/>
        </w:rPr>
      </w:pPr>
      <w:r>
        <w:rPr>
          <w:rFonts w:hint="eastAsia"/>
          <w:b/>
          <w:bCs/>
          <w:sz w:val="21"/>
          <w:szCs w:val="21"/>
        </w:rPr>
        <w:t>(91)渤海证券股份有限公司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天津经济技术开发区第二大街42号写字楼101室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天津市南开区宾水西道8号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安志勇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022-23861692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022－28451892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4006515988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http://www.ewww.com.cn </w:t>
            </w:r>
          </w:p>
        </w:tc>
      </w:tr>
    </w:tbl>
    <w:p>
      <w:pPr>
        <w:pStyle w:val="7"/>
        <w:spacing w:before="0" w:beforeAutospacing="0" w:after="0" w:afterAutospacing="0" w:line="360" w:lineRule="auto"/>
        <w:ind w:firstLine="420"/>
        <w:rPr>
          <w:sz w:val="21"/>
          <w:szCs w:val="21"/>
        </w:rPr>
      </w:pPr>
      <w:r>
        <w:rPr>
          <w:rFonts w:hint="eastAsia"/>
          <w:b/>
          <w:bCs/>
          <w:sz w:val="21"/>
          <w:szCs w:val="21"/>
        </w:rPr>
        <w:t>(92)中信证券（山东）有限责任公司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4"/>
        <w:gridCol w:w="6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青岛市崂山区深圳路222号青岛国际金融广场1号楼20层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青岛市市南区东海西路28号龙翔广场东2、5层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冯恩新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赵如意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0532-85022026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0532-85022605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http://www.cs.ecitic.com/newsite/ </w:t>
            </w:r>
          </w:p>
        </w:tc>
      </w:tr>
    </w:tbl>
    <w:p>
      <w:pPr>
        <w:pStyle w:val="7"/>
        <w:spacing w:before="0" w:beforeAutospacing="0" w:after="0" w:afterAutospacing="0" w:line="360" w:lineRule="auto"/>
        <w:ind w:firstLine="420"/>
        <w:rPr>
          <w:sz w:val="21"/>
          <w:szCs w:val="21"/>
        </w:rPr>
      </w:pPr>
      <w:r>
        <w:rPr>
          <w:rFonts w:hint="eastAsia"/>
          <w:b/>
          <w:bCs/>
          <w:sz w:val="21"/>
          <w:szCs w:val="21"/>
        </w:rPr>
        <w:t>(93)信达证券股份有限公司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张志刚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王薇安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010－83252170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010－63081344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http://www.cindasc.com </w:t>
            </w:r>
          </w:p>
        </w:tc>
      </w:tr>
    </w:tbl>
    <w:p>
      <w:pPr>
        <w:pStyle w:val="7"/>
        <w:spacing w:before="0" w:beforeAutospacing="0" w:after="0" w:afterAutospacing="0" w:line="360" w:lineRule="auto"/>
        <w:ind w:firstLine="420"/>
        <w:rPr>
          <w:sz w:val="21"/>
          <w:szCs w:val="21"/>
        </w:rPr>
      </w:pPr>
      <w:r>
        <w:rPr>
          <w:rFonts w:hint="eastAsia"/>
          <w:b/>
          <w:bCs/>
          <w:sz w:val="21"/>
          <w:szCs w:val="21"/>
        </w:rPr>
        <w:t>(94)东方证券股份有限公司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上海市中山南路318号2号楼22层－29层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上海市中山南路318号2号楼21层－29层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金文忠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朱琼玉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021-63325888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021－63326729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http://www.dfzq.com.cn </w:t>
            </w:r>
          </w:p>
        </w:tc>
      </w:tr>
    </w:tbl>
    <w:p>
      <w:pPr>
        <w:pStyle w:val="7"/>
        <w:spacing w:before="0" w:beforeAutospacing="0" w:after="0" w:afterAutospacing="0" w:line="360" w:lineRule="auto"/>
        <w:ind w:firstLine="420"/>
        <w:rPr>
          <w:sz w:val="21"/>
          <w:szCs w:val="21"/>
        </w:rPr>
      </w:pPr>
      <w:r>
        <w:rPr>
          <w:rFonts w:hint="eastAsia"/>
          <w:b/>
          <w:bCs/>
          <w:sz w:val="21"/>
          <w:szCs w:val="21"/>
        </w:rPr>
        <w:t>(95)方正证券股份有限公司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胡创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010-56437060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0731-85832214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http://www.foundersc.com </w:t>
            </w:r>
          </w:p>
        </w:tc>
      </w:tr>
    </w:tbl>
    <w:p>
      <w:pPr>
        <w:pStyle w:val="7"/>
        <w:spacing w:before="0" w:beforeAutospacing="0" w:after="0" w:afterAutospacing="0" w:line="360" w:lineRule="auto"/>
        <w:ind w:firstLine="420"/>
        <w:rPr>
          <w:sz w:val="21"/>
          <w:szCs w:val="21"/>
        </w:rPr>
      </w:pPr>
      <w:r>
        <w:rPr>
          <w:rFonts w:hint="eastAsia"/>
          <w:b/>
          <w:bCs/>
          <w:sz w:val="21"/>
          <w:szCs w:val="21"/>
        </w:rPr>
        <w:t>(96)长城证券股份有限公司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深圳市深南大道6008号特区报业大厦16、17层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深圳市深南大道6008号特区报业大厦14、16、17层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丁益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沈晓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0755-83464734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0755－83515567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4006666888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http://www.cgws.com </w:t>
            </w:r>
          </w:p>
        </w:tc>
      </w:tr>
    </w:tbl>
    <w:p>
      <w:pPr>
        <w:pStyle w:val="7"/>
        <w:spacing w:before="0" w:beforeAutospacing="0" w:after="0" w:afterAutospacing="0" w:line="360" w:lineRule="auto"/>
        <w:ind w:firstLine="420"/>
        <w:rPr>
          <w:sz w:val="21"/>
          <w:szCs w:val="21"/>
        </w:rPr>
      </w:pPr>
      <w:r>
        <w:rPr>
          <w:rFonts w:hint="eastAsia"/>
          <w:b/>
          <w:bCs/>
          <w:sz w:val="21"/>
          <w:szCs w:val="21"/>
        </w:rPr>
        <w:t>(97)光大证券股份有限公司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刘秋明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021-22169089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021－22169134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4008888788；95525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http://www.ebscn.com/ </w:t>
            </w:r>
          </w:p>
        </w:tc>
      </w:tr>
    </w:tbl>
    <w:p>
      <w:pPr>
        <w:pStyle w:val="7"/>
        <w:spacing w:before="0" w:beforeAutospacing="0" w:after="0" w:afterAutospacing="0" w:line="360" w:lineRule="auto"/>
        <w:ind w:firstLine="420"/>
        <w:rPr>
          <w:sz w:val="21"/>
          <w:szCs w:val="21"/>
        </w:rPr>
      </w:pPr>
      <w:r>
        <w:rPr>
          <w:rFonts w:hint="eastAsia"/>
          <w:b/>
          <w:bCs/>
          <w:sz w:val="21"/>
          <w:szCs w:val="21"/>
        </w:rPr>
        <w:t>(98)中信证券华南股份有限公司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胡伏云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郭杏燕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020-88836999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020-88836984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http://www.gzs.com.cn </w:t>
            </w:r>
          </w:p>
        </w:tc>
      </w:tr>
    </w:tbl>
    <w:p>
      <w:pPr>
        <w:pStyle w:val="7"/>
        <w:spacing w:before="0" w:beforeAutospacing="0" w:after="0" w:afterAutospacing="0" w:line="360" w:lineRule="auto"/>
        <w:ind w:firstLine="420"/>
        <w:rPr>
          <w:sz w:val="21"/>
          <w:szCs w:val="21"/>
        </w:rPr>
      </w:pPr>
      <w:r>
        <w:rPr>
          <w:rFonts w:hint="eastAsia"/>
          <w:b/>
          <w:bCs/>
          <w:sz w:val="21"/>
          <w:szCs w:val="21"/>
        </w:rPr>
        <w:t>(99)南京证券股份有限公司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李剑锋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潘月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025－52310569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025－52310586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4008285888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http://www.njzq.com.cn </w:t>
            </w:r>
          </w:p>
        </w:tc>
      </w:tr>
    </w:tbl>
    <w:p>
      <w:pPr>
        <w:pStyle w:val="7"/>
        <w:spacing w:before="0" w:beforeAutospacing="0" w:after="0" w:afterAutospacing="0" w:line="360" w:lineRule="auto"/>
        <w:ind w:firstLine="420"/>
        <w:rPr>
          <w:sz w:val="21"/>
          <w:szCs w:val="21"/>
        </w:rPr>
      </w:pPr>
      <w:r>
        <w:rPr>
          <w:rFonts w:hint="eastAsia"/>
          <w:b/>
          <w:bCs/>
          <w:sz w:val="21"/>
          <w:szCs w:val="21"/>
        </w:rPr>
        <w:t>(100)上海证券有限责任公司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上海市黄浦区四川中路213号7楼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上海市黄浦区四川中路213号久事商务大厦7楼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李俊杰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魏熠珲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021-53686278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021-53686835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4008918918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https://www.shzq.com/ </w:t>
            </w:r>
          </w:p>
        </w:tc>
      </w:tr>
    </w:tbl>
    <w:p>
      <w:pPr>
        <w:pStyle w:val="7"/>
        <w:spacing w:before="0" w:beforeAutospacing="0" w:after="0" w:afterAutospacing="0" w:line="360" w:lineRule="auto"/>
        <w:ind w:firstLine="420"/>
        <w:rPr>
          <w:sz w:val="21"/>
          <w:szCs w:val="21"/>
        </w:rPr>
      </w:pPr>
      <w:r>
        <w:rPr>
          <w:rFonts w:hint="eastAsia"/>
          <w:b/>
          <w:bCs/>
          <w:sz w:val="21"/>
          <w:szCs w:val="21"/>
        </w:rPr>
        <w:t>(101)大同证券有限责任公司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山西省大同市平城区迎宾街15号桐城中央21层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山西省太原市小店区长治路111号山西世贸中心A座F12、F13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董祥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薛津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0351－4130322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0351-7219891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4007121212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www.dtsbc.com.cn </w:t>
            </w:r>
          </w:p>
        </w:tc>
      </w:tr>
    </w:tbl>
    <w:p>
      <w:pPr>
        <w:pStyle w:val="7"/>
        <w:spacing w:before="0" w:beforeAutospacing="0" w:after="0" w:afterAutospacing="0" w:line="360" w:lineRule="auto"/>
        <w:ind w:firstLine="420"/>
        <w:rPr>
          <w:sz w:val="21"/>
          <w:szCs w:val="21"/>
        </w:rPr>
      </w:pPr>
      <w:r>
        <w:rPr>
          <w:rFonts w:hint="eastAsia"/>
          <w:b/>
          <w:bCs/>
          <w:sz w:val="21"/>
          <w:szCs w:val="21"/>
        </w:rPr>
        <w:t>(102)平安证券股份有限公司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何之江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021-38632136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0755－82400862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0755-22628888/95511-8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http:www.stock.pingan.com </w:t>
            </w:r>
          </w:p>
        </w:tc>
      </w:tr>
    </w:tbl>
    <w:p>
      <w:pPr>
        <w:pStyle w:val="7"/>
        <w:spacing w:before="0" w:beforeAutospacing="0" w:after="0" w:afterAutospacing="0" w:line="360" w:lineRule="auto"/>
        <w:ind w:firstLine="420"/>
        <w:rPr>
          <w:sz w:val="21"/>
          <w:szCs w:val="21"/>
        </w:rPr>
      </w:pPr>
      <w:r>
        <w:rPr>
          <w:rFonts w:hint="eastAsia"/>
          <w:b/>
          <w:bCs/>
          <w:sz w:val="21"/>
          <w:szCs w:val="21"/>
        </w:rPr>
        <w:t>(103)国都证券股份有限公司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北京市东城区东直门南大街3号国华投资大厦9层10层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北京市东城区东直门南大街3号国华投资大厦9层10层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翁振杰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黄静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010-84183333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010-84183311-3389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400-818-8118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http://www.guodu.com </w:t>
            </w:r>
          </w:p>
        </w:tc>
      </w:tr>
    </w:tbl>
    <w:p>
      <w:pPr>
        <w:pStyle w:val="7"/>
        <w:spacing w:before="0" w:beforeAutospacing="0" w:after="0" w:afterAutospacing="0" w:line="360" w:lineRule="auto"/>
        <w:ind w:firstLine="420"/>
        <w:rPr>
          <w:sz w:val="21"/>
          <w:szCs w:val="21"/>
        </w:rPr>
      </w:pPr>
      <w:r>
        <w:rPr>
          <w:rFonts w:hint="eastAsia"/>
          <w:b/>
          <w:bCs/>
          <w:sz w:val="21"/>
          <w:szCs w:val="21"/>
        </w:rPr>
        <w:t>(104)国盛证券有限责任公司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江西省南昌市新建区子实路1589号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江西省南昌市红谷滩新区凤凰中大道1115号北京银行大厦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周军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占文驰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0791－86283372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0791－6289395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956080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https://www.gszq.com/ </w:t>
            </w:r>
          </w:p>
        </w:tc>
      </w:tr>
    </w:tbl>
    <w:p>
      <w:pPr>
        <w:pStyle w:val="7"/>
        <w:spacing w:before="0" w:beforeAutospacing="0" w:after="0" w:afterAutospacing="0" w:line="360" w:lineRule="auto"/>
        <w:ind w:firstLine="420"/>
        <w:rPr>
          <w:sz w:val="21"/>
          <w:szCs w:val="21"/>
        </w:rPr>
      </w:pPr>
      <w:r>
        <w:rPr>
          <w:rFonts w:hint="eastAsia"/>
          <w:b/>
          <w:bCs/>
          <w:sz w:val="21"/>
          <w:szCs w:val="21"/>
        </w:rPr>
        <w:t>(105)华西证券股份有限公司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杨炯洋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赵静静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010-58124967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028-86150040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http://www.hx168.com.cn </w:t>
            </w:r>
          </w:p>
        </w:tc>
      </w:tr>
    </w:tbl>
    <w:p>
      <w:pPr>
        <w:pStyle w:val="7"/>
        <w:spacing w:before="0" w:beforeAutospacing="0" w:after="0" w:afterAutospacing="0" w:line="360" w:lineRule="auto"/>
        <w:ind w:firstLine="420"/>
        <w:rPr>
          <w:sz w:val="21"/>
          <w:szCs w:val="21"/>
        </w:rPr>
      </w:pPr>
      <w:r>
        <w:rPr>
          <w:rFonts w:hint="eastAsia"/>
          <w:b/>
          <w:bCs/>
          <w:sz w:val="21"/>
          <w:szCs w:val="21"/>
        </w:rPr>
        <w:t>(106)申万宏源西部证券有限公司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王献军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梁丽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0991-2307105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010-88085195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(107)中泰证券股份有限公司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山东省济南市经十路20518号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山东省济南市经七路86号23层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朱琴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021-20315161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0531-68889357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www.zts.com.cn </w:t>
            </w:r>
          </w:p>
        </w:tc>
      </w:tr>
    </w:tbl>
    <w:p>
      <w:pPr>
        <w:pStyle w:val="7"/>
        <w:spacing w:before="0" w:beforeAutospacing="0" w:after="0" w:afterAutospacing="0" w:line="360" w:lineRule="auto"/>
        <w:ind w:firstLine="420"/>
        <w:rPr>
          <w:sz w:val="21"/>
          <w:szCs w:val="21"/>
        </w:rPr>
      </w:pPr>
      <w:r>
        <w:rPr>
          <w:rFonts w:hint="eastAsia"/>
          <w:b/>
          <w:bCs/>
          <w:sz w:val="21"/>
          <w:szCs w:val="21"/>
        </w:rPr>
        <w:t>(108)第一创业证券股份有限公司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1"/>
        <w:gridCol w:w="6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深圳市福田区福华一路115号投行大厦20楼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深圳市福田区福华一路115号投行大厦18楼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刘学民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单晶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0755-23838750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0755-25838701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http://www.firstcapital.com.cn/ </w:t>
            </w:r>
          </w:p>
        </w:tc>
      </w:tr>
    </w:tbl>
    <w:p>
      <w:pPr>
        <w:pStyle w:val="7"/>
        <w:spacing w:before="0" w:beforeAutospacing="0" w:after="0" w:afterAutospacing="0" w:line="360" w:lineRule="auto"/>
        <w:ind w:firstLine="420"/>
        <w:rPr>
          <w:sz w:val="21"/>
          <w:szCs w:val="21"/>
        </w:rPr>
      </w:pPr>
      <w:r>
        <w:rPr>
          <w:rFonts w:hint="eastAsia"/>
          <w:b/>
          <w:bCs/>
          <w:sz w:val="21"/>
          <w:szCs w:val="21"/>
        </w:rPr>
        <w:t>(109)德邦证券股份有限公司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上海市普陀区曹杨路510号南半幢9楼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上海市浦东新区福山路500号城建国际中心26楼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武晓春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021-68761616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021-68767981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http://www.tebon.com.cn </w:t>
            </w:r>
          </w:p>
        </w:tc>
      </w:tr>
    </w:tbl>
    <w:p>
      <w:pPr>
        <w:pStyle w:val="7"/>
        <w:spacing w:before="0" w:beforeAutospacing="0" w:after="0" w:afterAutospacing="0" w:line="360" w:lineRule="auto"/>
        <w:ind w:firstLine="420"/>
        <w:rPr>
          <w:sz w:val="21"/>
          <w:szCs w:val="21"/>
        </w:rPr>
      </w:pPr>
      <w:r>
        <w:rPr>
          <w:rFonts w:hint="eastAsia"/>
          <w:b/>
          <w:bCs/>
          <w:sz w:val="21"/>
          <w:szCs w:val="21"/>
        </w:rPr>
        <w:t>(110)中国中金财富证券有限公司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深圳市福田区益田路与福中路交界处荣超商务中心A栋第18层-21层及第04层01、02、03、05、11、12、13、15、16、18、19、20、21、22、23单元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深圳市福田区益田路6003号荣超商务中心A栋第04、18层至21层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高涛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万玉琳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0755-82026907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0755-82026539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4006008008/95532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http://www.china-invs.cn/ </w:t>
            </w:r>
          </w:p>
        </w:tc>
      </w:tr>
    </w:tbl>
    <w:p>
      <w:pPr>
        <w:pStyle w:val="7"/>
        <w:spacing w:before="0" w:beforeAutospacing="0" w:after="0" w:afterAutospacing="0" w:line="360" w:lineRule="auto"/>
        <w:ind w:firstLine="420"/>
        <w:rPr>
          <w:sz w:val="21"/>
          <w:szCs w:val="21"/>
        </w:rPr>
      </w:pPr>
      <w:r>
        <w:rPr>
          <w:rFonts w:hint="eastAsia"/>
          <w:b/>
          <w:bCs/>
          <w:sz w:val="21"/>
          <w:szCs w:val="21"/>
        </w:rPr>
        <w:t>(111)东方财富证券股份有限公司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西藏自治区拉萨市柳梧新区国际总部城10栋楼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上海市徐汇区宛平南路88号金座东方财富大厦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戴彦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付佳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021-23586603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021-23586860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http://www.18.cn </w:t>
            </w:r>
          </w:p>
        </w:tc>
      </w:tr>
    </w:tbl>
    <w:p>
      <w:pPr>
        <w:pStyle w:val="7"/>
        <w:spacing w:before="0" w:beforeAutospacing="0" w:after="0" w:afterAutospacing="0" w:line="360" w:lineRule="auto"/>
        <w:ind w:firstLine="420"/>
        <w:rPr>
          <w:sz w:val="21"/>
          <w:szCs w:val="21"/>
        </w:rPr>
      </w:pPr>
      <w:r>
        <w:rPr>
          <w:rFonts w:hint="eastAsia"/>
          <w:b/>
          <w:bCs/>
          <w:sz w:val="21"/>
          <w:szCs w:val="21"/>
        </w:rPr>
        <w:t>(112)粤开证券股份有限公司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广州经济技术开发区科学大道60号开发区控股中心21、22、23层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深圳市福田区深南中路2002号中广核大厦北楼10层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严亦斌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彭莲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0755-83331195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http://www.ykzq.com </w:t>
            </w:r>
          </w:p>
        </w:tc>
      </w:tr>
    </w:tbl>
    <w:p>
      <w:pPr>
        <w:pStyle w:val="7"/>
        <w:spacing w:before="0" w:beforeAutospacing="0" w:after="0" w:afterAutospacing="0" w:line="360" w:lineRule="auto"/>
        <w:ind w:firstLine="420"/>
        <w:rPr>
          <w:sz w:val="21"/>
          <w:szCs w:val="21"/>
        </w:rPr>
      </w:pPr>
      <w:r>
        <w:rPr>
          <w:rFonts w:hint="eastAsia"/>
          <w:b/>
          <w:bCs/>
          <w:sz w:val="21"/>
          <w:szCs w:val="21"/>
        </w:rPr>
        <w:t>(113)江海证券有限公司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孙名扬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王金娇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0451-87765732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0451－82287211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4006662288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http://www.jhzq.com.cn </w:t>
            </w:r>
          </w:p>
        </w:tc>
      </w:tr>
    </w:tbl>
    <w:p>
      <w:pPr>
        <w:pStyle w:val="7"/>
        <w:spacing w:before="0" w:beforeAutospacing="0" w:after="0" w:afterAutospacing="0" w:line="360" w:lineRule="auto"/>
        <w:ind w:firstLine="420"/>
        <w:rPr>
          <w:sz w:val="21"/>
          <w:szCs w:val="21"/>
        </w:rPr>
      </w:pPr>
      <w:r>
        <w:rPr>
          <w:rFonts w:hint="eastAsia"/>
          <w:b/>
          <w:bCs/>
          <w:sz w:val="21"/>
          <w:szCs w:val="21"/>
        </w:rPr>
        <w:t>(114)九州证券股份有限公司 </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青海省西宁市城中区西大街11号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北京市西城区金融大街7号英蓝国际金融中心D座5层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魏先锋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张晓黎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010-57672186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4006543218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http://www.tyzq.com.cn </w:t>
            </w:r>
          </w:p>
        </w:tc>
      </w:tr>
    </w:tbl>
    <w:p>
      <w:pPr>
        <w:pStyle w:val="7"/>
        <w:spacing w:before="0" w:beforeAutospacing="0" w:after="0" w:afterAutospacing="0" w:line="360" w:lineRule="auto"/>
        <w:ind w:firstLine="420"/>
        <w:rPr>
          <w:sz w:val="21"/>
          <w:szCs w:val="21"/>
        </w:rPr>
      </w:pPr>
      <w:r>
        <w:rPr>
          <w:rFonts w:hint="eastAsia"/>
          <w:b/>
          <w:bCs/>
          <w:sz w:val="21"/>
          <w:szCs w:val="21"/>
        </w:rPr>
        <w:t>(115)国金证券股份有限公司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冉云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贾鹏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028-86690057、028-86690058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028-86690126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4006-600109/95310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http://www.gjzq.com.cn </w:t>
            </w:r>
          </w:p>
        </w:tc>
      </w:tr>
    </w:tbl>
    <w:p>
      <w:pPr>
        <w:pStyle w:val="7"/>
        <w:spacing w:before="0" w:beforeAutospacing="0" w:after="0" w:afterAutospacing="0" w:line="360" w:lineRule="auto"/>
        <w:ind w:firstLine="420"/>
        <w:rPr>
          <w:sz w:val="21"/>
          <w:szCs w:val="21"/>
        </w:rPr>
      </w:pPr>
      <w:r>
        <w:rPr>
          <w:rFonts w:hint="eastAsia"/>
          <w:b/>
          <w:bCs/>
          <w:sz w:val="21"/>
          <w:szCs w:val="21"/>
        </w:rPr>
        <w:t>(116)天风证券股份有限公司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湖北省武汉市武昌区中南路99号保利广场A座37楼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湖北省武汉市武昌区中南路99号保利广场A座37楼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余磊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王雅薇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027-87107535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400-800-5000/ 95391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http://www.tfzq.com/ </w:t>
            </w:r>
          </w:p>
        </w:tc>
      </w:tr>
    </w:tbl>
    <w:p>
      <w:pPr>
        <w:pStyle w:val="7"/>
        <w:spacing w:before="0" w:beforeAutospacing="0" w:after="0" w:afterAutospacing="0" w:line="360" w:lineRule="auto"/>
        <w:ind w:firstLine="420"/>
        <w:rPr>
          <w:sz w:val="21"/>
          <w:szCs w:val="21"/>
        </w:rPr>
      </w:pPr>
      <w:r>
        <w:rPr>
          <w:rFonts w:hint="eastAsia"/>
          <w:b/>
          <w:bCs/>
          <w:sz w:val="21"/>
          <w:szCs w:val="21"/>
        </w:rPr>
        <w:t>(117)太平洋证券股份有限公司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云南省昆明市青年路389号志远大厦18层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北京市西城区北展北街九号华远企业号D座三单元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李长伟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0871-68885858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0871-68898100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400-665-0999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http://www.tpyzq.com/ </w:t>
            </w:r>
          </w:p>
        </w:tc>
      </w:tr>
    </w:tbl>
    <w:p>
      <w:pPr>
        <w:pStyle w:val="7"/>
        <w:spacing w:before="0" w:beforeAutospacing="0" w:after="0" w:afterAutospacing="0" w:line="360" w:lineRule="auto"/>
        <w:ind w:firstLine="420"/>
        <w:rPr>
          <w:sz w:val="21"/>
          <w:szCs w:val="21"/>
        </w:rPr>
      </w:pPr>
      <w:r>
        <w:rPr>
          <w:rFonts w:hint="eastAsia"/>
          <w:b/>
          <w:bCs/>
          <w:sz w:val="21"/>
          <w:szCs w:val="21"/>
        </w:rPr>
        <w:t>(118)华瑞保险销售有限公司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上海市嘉定区南翔镇众仁路399号运通星财富广场1号楼B座13、14层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上海市浦东区向城路288号国华金融大厦8楼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路昊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张爽爽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021-68595976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021-68595766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4001115818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www.huaruisales.com </w:t>
            </w:r>
          </w:p>
        </w:tc>
      </w:tr>
    </w:tbl>
    <w:p>
      <w:pPr>
        <w:pStyle w:val="7"/>
        <w:spacing w:before="0" w:beforeAutospacing="0" w:after="0" w:afterAutospacing="0" w:line="360" w:lineRule="auto"/>
        <w:ind w:firstLine="420"/>
        <w:rPr>
          <w:sz w:val="21"/>
          <w:szCs w:val="21"/>
        </w:rPr>
      </w:pPr>
      <w:r>
        <w:rPr>
          <w:rFonts w:hint="eastAsia"/>
          <w:b/>
          <w:bCs/>
          <w:sz w:val="21"/>
          <w:szCs w:val="21"/>
        </w:rPr>
        <w:t>(119)玄元保险代理有限公司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马永谙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卢亚博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4000808208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www.licaimofang.com </w:t>
            </w:r>
          </w:p>
        </w:tc>
      </w:tr>
    </w:tbl>
    <w:p>
      <w:pPr>
        <w:pStyle w:val="7"/>
        <w:spacing w:before="0" w:beforeAutospacing="0" w:after="0" w:afterAutospacing="0" w:line="360" w:lineRule="auto"/>
        <w:ind w:firstLine="420"/>
        <w:rPr>
          <w:sz w:val="21"/>
          <w:szCs w:val="21"/>
        </w:rPr>
      </w:pPr>
      <w:r>
        <w:rPr>
          <w:rFonts w:hint="eastAsia"/>
          <w:b/>
          <w:bCs/>
          <w:sz w:val="21"/>
          <w:szCs w:val="21"/>
        </w:rPr>
        <w:t>(120)阳光人寿保险股份有限公司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海南省三亚市迎宾路360-1号三亚阳光金融广场16层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北京市朝阳区朝外大街20号联合大厦701A室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010-59053660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010-85632773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http://fund.sinosig.com/ </w:t>
            </w:r>
          </w:p>
        </w:tc>
      </w:tr>
    </w:tbl>
    <w:p>
      <w:pPr>
        <w:pStyle w:val="7"/>
        <w:spacing w:before="0" w:beforeAutospacing="0" w:after="0" w:afterAutospacing="0" w:line="360" w:lineRule="auto"/>
        <w:ind w:firstLine="420"/>
        <w:rPr>
          <w:sz w:val="21"/>
          <w:szCs w:val="21"/>
        </w:rPr>
      </w:pPr>
      <w:r>
        <w:rPr>
          <w:rFonts w:hint="eastAsia"/>
          <w:b/>
          <w:bCs/>
          <w:sz w:val="21"/>
          <w:szCs w:val="21"/>
        </w:rPr>
        <w:t>(121)中国人寿保险股份有限公司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秦泽伟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010-63631539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010-66222276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www.e-chinalife.com </w:t>
            </w:r>
          </w:p>
        </w:tc>
      </w:tr>
    </w:tbl>
    <w:p>
      <w:pPr>
        <w:pStyle w:val="7"/>
        <w:spacing w:before="0" w:beforeAutospacing="0" w:after="0" w:afterAutospacing="0" w:line="360" w:lineRule="auto"/>
        <w:ind w:firstLine="420"/>
        <w:rPr>
          <w:sz w:val="21"/>
          <w:szCs w:val="21"/>
        </w:rPr>
      </w:pPr>
      <w:r>
        <w:rPr>
          <w:rFonts w:hint="eastAsia"/>
          <w:b/>
          <w:bCs/>
          <w:sz w:val="21"/>
          <w:szCs w:val="21"/>
        </w:rPr>
        <w:t>(122)泉州银行股份有限公司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泉州市丰泽区云鹿路3号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泉州市丰泽区云鹿路3号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傅子能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董培姗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0595-22551071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0595-22505215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400-889-6312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www.qzccbank.com </w:t>
            </w:r>
          </w:p>
        </w:tc>
      </w:tr>
    </w:tbl>
    <w:p>
      <w:pPr>
        <w:pStyle w:val="7"/>
        <w:spacing w:before="0" w:beforeAutospacing="0" w:after="0" w:afterAutospacing="0" w:line="360" w:lineRule="auto"/>
        <w:ind w:firstLine="420"/>
        <w:rPr>
          <w:sz w:val="21"/>
          <w:szCs w:val="21"/>
        </w:rPr>
      </w:pPr>
      <w:r>
        <w:rPr>
          <w:rFonts w:hint="eastAsia"/>
          <w:b/>
          <w:bCs/>
          <w:sz w:val="21"/>
          <w:szCs w:val="21"/>
        </w:rPr>
        <w:t>(123)龙江银行股份有限公司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张建辉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闫勇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4006458888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www.lj-bank.com </w:t>
            </w:r>
          </w:p>
        </w:tc>
      </w:tr>
    </w:tbl>
    <w:p>
      <w:pPr>
        <w:pStyle w:val="7"/>
        <w:spacing w:before="0" w:beforeAutospacing="0" w:after="0" w:afterAutospacing="0" w:line="360" w:lineRule="auto"/>
        <w:ind w:firstLine="420"/>
        <w:rPr>
          <w:sz w:val="21"/>
          <w:szCs w:val="21"/>
        </w:rPr>
      </w:pPr>
      <w:r>
        <w:rPr>
          <w:rFonts w:hint="eastAsia"/>
          <w:b/>
          <w:bCs/>
          <w:sz w:val="21"/>
          <w:szCs w:val="21"/>
        </w:rPr>
        <w:t>(124)深圳前海微众银行股份有限公司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广东省深圳市前海深港合作区前湾一路 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广东省深圳市南山区田厦国际中心36楼、37楼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顾敏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唐宇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0755-89462525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0755-86700688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400-999-8877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http://www.webank.com/  </w:t>
            </w:r>
          </w:p>
        </w:tc>
      </w:tr>
    </w:tbl>
    <w:p>
      <w:pPr>
        <w:pStyle w:val="7"/>
        <w:spacing w:before="0" w:beforeAutospacing="0" w:after="0" w:afterAutospacing="0" w:line="360" w:lineRule="auto"/>
        <w:ind w:firstLine="420"/>
        <w:rPr>
          <w:sz w:val="21"/>
          <w:szCs w:val="21"/>
        </w:rPr>
      </w:pPr>
      <w:r>
        <w:rPr>
          <w:rFonts w:hint="eastAsia"/>
          <w:b/>
          <w:bCs/>
          <w:sz w:val="21"/>
          <w:szCs w:val="21"/>
        </w:rPr>
        <w:t>(125)桂林银行股份有限公司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周佩玲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0773-3810130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0773-3851691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400-86-96299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www.guilinbank.com.cn </w:t>
            </w:r>
          </w:p>
        </w:tc>
      </w:tr>
    </w:tbl>
    <w:p>
      <w:pPr>
        <w:pStyle w:val="7"/>
        <w:spacing w:before="0" w:beforeAutospacing="0" w:after="0" w:afterAutospacing="0" w:line="360" w:lineRule="auto"/>
        <w:ind w:firstLine="420"/>
        <w:rPr>
          <w:sz w:val="21"/>
          <w:szCs w:val="21"/>
        </w:rPr>
      </w:pPr>
      <w:r>
        <w:rPr>
          <w:rFonts w:hint="eastAsia"/>
          <w:b/>
          <w:bCs/>
          <w:sz w:val="21"/>
          <w:szCs w:val="21"/>
        </w:rPr>
        <w:t>(126)浙江德清农村商业银行股份有限公司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浙江省德清县武康街道沈长圩街50号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浙江省德清县武康街道沈长圩街50号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陈春仿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车杰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0572-8063963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0572-8068673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https://www.deqingbank.com/ </w:t>
            </w:r>
          </w:p>
        </w:tc>
      </w:tr>
    </w:tbl>
    <w:p>
      <w:pPr>
        <w:pStyle w:val="7"/>
        <w:spacing w:before="0" w:beforeAutospacing="0" w:after="0" w:afterAutospacing="0" w:line="360" w:lineRule="auto"/>
        <w:ind w:firstLine="420"/>
        <w:rPr>
          <w:sz w:val="21"/>
          <w:szCs w:val="21"/>
        </w:rPr>
      </w:pPr>
      <w:r>
        <w:rPr>
          <w:rFonts w:hint="eastAsia"/>
          <w:b/>
          <w:bCs/>
          <w:sz w:val="21"/>
          <w:szCs w:val="21"/>
        </w:rPr>
        <w:t>(127)中原银行股份有限公司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河南省郑州市郑东新区CBD商务外环路23号中科金座大厦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河南省郑州市郑东新区CBD商务外环路23号中科金座大厦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徐诺金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田力源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0371-61910219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0371-85519869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www.zybank.com.cn </w:t>
            </w:r>
          </w:p>
        </w:tc>
      </w:tr>
    </w:tbl>
    <w:p>
      <w:pPr>
        <w:pStyle w:val="7"/>
        <w:spacing w:before="0" w:beforeAutospacing="0" w:after="0" w:afterAutospacing="0" w:line="360" w:lineRule="auto"/>
        <w:ind w:firstLine="420"/>
        <w:rPr>
          <w:sz w:val="21"/>
          <w:szCs w:val="21"/>
        </w:rPr>
      </w:pPr>
      <w:r>
        <w:rPr>
          <w:rFonts w:hint="eastAsia"/>
          <w:b/>
          <w:bCs/>
          <w:sz w:val="21"/>
          <w:szCs w:val="21"/>
        </w:rPr>
        <w:t>(128)兰州银行股份有限公司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许建平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鱼倩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0931-96799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www.lzbank.com </w:t>
            </w:r>
          </w:p>
        </w:tc>
      </w:tr>
    </w:tbl>
    <w:p>
      <w:pPr>
        <w:pStyle w:val="7"/>
        <w:spacing w:before="0" w:beforeAutospacing="0" w:after="0" w:afterAutospacing="0" w:line="360" w:lineRule="auto"/>
        <w:ind w:firstLine="420"/>
        <w:rPr>
          <w:sz w:val="21"/>
          <w:szCs w:val="21"/>
        </w:rPr>
      </w:pPr>
      <w:r>
        <w:rPr>
          <w:rFonts w:hint="eastAsia"/>
          <w:b/>
          <w:bCs/>
          <w:sz w:val="21"/>
          <w:szCs w:val="21"/>
        </w:rPr>
        <w:t>(129)厦门国际银行股份有限公司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厦门市思明区鹭江道8-10号国际银行大厦1-6层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厦门市思明区鹭江道8-10号国际银行大厦1-6层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翁若同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林婉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0592-2078888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0592-2100752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4001-623-623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www.xib.com.cn </w:t>
            </w:r>
          </w:p>
        </w:tc>
      </w:tr>
    </w:tbl>
    <w:p>
      <w:pPr>
        <w:pStyle w:val="7"/>
        <w:spacing w:before="0" w:beforeAutospacing="0" w:after="0" w:afterAutospacing="0" w:line="360" w:lineRule="auto"/>
        <w:ind w:firstLine="420"/>
        <w:rPr>
          <w:sz w:val="21"/>
          <w:szCs w:val="21"/>
        </w:rPr>
      </w:pPr>
      <w:r>
        <w:rPr>
          <w:rFonts w:hint="eastAsia"/>
          <w:b/>
          <w:bCs/>
          <w:sz w:val="21"/>
          <w:szCs w:val="21"/>
        </w:rPr>
        <w:t>(130)湖北银行股份有限公司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武汉市武昌区水果湖街中北路86号汉街总部国际8栋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武汉市武昌区水果湖街中北路86号汉街总部国际8栋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陈大林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李昕雅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027-87139129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027-87135931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（湖北）96599（全国）400-85-96599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http://www.hubeibank.cn </w:t>
            </w:r>
          </w:p>
        </w:tc>
      </w:tr>
    </w:tbl>
    <w:p>
      <w:pPr>
        <w:pStyle w:val="7"/>
        <w:spacing w:before="0" w:beforeAutospacing="0" w:after="0" w:afterAutospacing="0" w:line="360" w:lineRule="auto"/>
        <w:ind w:firstLine="420"/>
        <w:rPr>
          <w:sz w:val="21"/>
          <w:szCs w:val="21"/>
        </w:rPr>
      </w:pPr>
      <w:r>
        <w:rPr>
          <w:rFonts w:hint="eastAsia"/>
          <w:b/>
          <w:bCs/>
          <w:sz w:val="21"/>
          <w:szCs w:val="21"/>
        </w:rPr>
        <w:t>(131)贵州银行股份有限公司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贵州省贵阳市云岩区瑞金中路41号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贵州省贵阳市云岩区瑞金中路41号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李志明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王浩懿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0851-86207815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0851-86507815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96655(贵州省)/4000696655(全国)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www.bgzchina.com </w:t>
            </w:r>
          </w:p>
        </w:tc>
      </w:tr>
    </w:tbl>
    <w:p>
      <w:pPr>
        <w:pStyle w:val="7"/>
        <w:spacing w:before="0" w:beforeAutospacing="0" w:after="0" w:afterAutospacing="0" w:line="360" w:lineRule="auto"/>
        <w:ind w:firstLine="420"/>
        <w:rPr>
          <w:sz w:val="21"/>
          <w:szCs w:val="21"/>
        </w:rPr>
      </w:pPr>
      <w:r>
        <w:rPr>
          <w:rFonts w:hint="eastAsia"/>
          <w:b/>
          <w:bCs/>
          <w:sz w:val="21"/>
          <w:szCs w:val="21"/>
        </w:rPr>
        <w:t>(132)中信百信银行股份有限公司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北京市朝阳区安定路5号院3号楼8层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北京市朝阳区安定路5号院3号楼6-11层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李如东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010-50925699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010-50925690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4008180100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www.aibank.com </w:t>
            </w:r>
          </w:p>
        </w:tc>
      </w:tr>
    </w:tbl>
    <w:p>
      <w:pPr>
        <w:pStyle w:val="7"/>
        <w:spacing w:before="0" w:beforeAutospacing="0" w:after="0" w:afterAutospacing="0" w:line="360" w:lineRule="auto"/>
        <w:ind w:firstLine="420"/>
        <w:rPr>
          <w:sz w:val="21"/>
          <w:szCs w:val="21"/>
        </w:rPr>
      </w:pPr>
      <w:bookmarkStart w:id="68" w:name="field_0_allproxysaletables_1_end"/>
      <w:bookmarkEnd w:id="68"/>
      <w:bookmarkStart w:id="69" w:name="chapter_level1_7_56_section_2_end"/>
      <w:bookmarkEnd w:id="69"/>
      <w:bookmarkStart w:id="70" w:name="chapter_level1_7_56_section_3"/>
      <w:bookmarkEnd w:id="70"/>
      <w:r>
        <w:rPr>
          <w:rStyle w:val="11"/>
          <w:rFonts w:hint="eastAsia"/>
          <w:sz w:val="21"/>
          <w:szCs w:val="21"/>
        </w:rPr>
        <w:t>二、登记机构</w:t>
      </w:r>
    </w:p>
    <w:p>
      <w:pPr>
        <w:pStyle w:val="7"/>
        <w:spacing w:before="0" w:beforeAutospacing="0" w:after="0" w:afterAutospacing="0" w:line="360" w:lineRule="auto"/>
        <w:ind w:firstLine="420"/>
        <w:rPr>
          <w:sz w:val="21"/>
          <w:szCs w:val="21"/>
        </w:rPr>
      </w:pPr>
      <w:bookmarkStart w:id="71" w:name="field_0_registercompanyinfo_1_start"/>
      <w:bookmarkEnd w:id="71"/>
      <w:r>
        <w:rPr>
          <w:rFonts w:hint="eastAsia"/>
          <w:sz w:val="21"/>
          <w:szCs w:val="21"/>
        </w:rPr>
        <w:t xml:space="preserve">名称：博时基金管理有限公司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办公地址：北京市东城区建国门内大街8号中粮广场C座6层609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电话： 010-65171166 </w:t>
      </w:r>
    </w:p>
    <w:p>
      <w:pPr>
        <w:pStyle w:val="7"/>
        <w:spacing w:before="0" w:beforeAutospacing="0" w:after="0" w:afterAutospacing="0" w:line="360" w:lineRule="auto"/>
        <w:ind w:firstLine="420"/>
        <w:rPr>
          <w:sz w:val="21"/>
          <w:szCs w:val="21"/>
        </w:rPr>
      </w:pPr>
      <w:r>
        <w:rPr>
          <w:rFonts w:hint="eastAsia"/>
          <w:sz w:val="21"/>
          <w:szCs w:val="21"/>
        </w:rPr>
        <w:t xml:space="preserve">传真： 010-65187068 </w:t>
      </w:r>
    </w:p>
    <w:p>
      <w:pPr>
        <w:pStyle w:val="7"/>
        <w:spacing w:before="0" w:beforeAutospacing="0" w:after="0" w:afterAutospacing="0" w:line="360" w:lineRule="auto"/>
        <w:ind w:firstLine="420"/>
        <w:rPr>
          <w:sz w:val="21"/>
          <w:szCs w:val="21"/>
        </w:rPr>
      </w:pPr>
      <w:r>
        <w:rPr>
          <w:rFonts w:hint="eastAsia"/>
          <w:sz w:val="21"/>
          <w:szCs w:val="21"/>
        </w:rPr>
        <w:t xml:space="preserve">联系人：何京京 </w:t>
      </w:r>
      <w:bookmarkStart w:id="72" w:name="field_0_registercompanyinfo_1_end"/>
      <w:bookmarkEnd w:id="72"/>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三、出具法律意见书的律师事务所</w:t>
      </w:r>
    </w:p>
    <w:p>
      <w:pPr>
        <w:pStyle w:val="7"/>
        <w:spacing w:before="0" w:beforeAutospacing="0" w:after="0" w:afterAutospacing="0" w:line="360" w:lineRule="auto"/>
        <w:ind w:firstLine="420"/>
        <w:rPr>
          <w:sz w:val="21"/>
          <w:szCs w:val="21"/>
        </w:rPr>
      </w:pPr>
      <w:r>
        <w:rPr>
          <w:rFonts w:hint="eastAsia"/>
          <w:sz w:val="21"/>
          <w:szCs w:val="21"/>
        </w:rPr>
        <w:t xml:space="preserve">名称：上海市通力律师事务所 </w:t>
      </w:r>
    </w:p>
    <w:p>
      <w:pPr>
        <w:pStyle w:val="7"/>
        <w:spacing w:before="0" w:beforeAutospacing="0" w:after="0" w:afterAutospacing="0" w:line="360" w:lineRule="auto"/>
        <w:ind w:firstLine="420"/>
        <w:rPr>
          <w:sz w:val="21"/>
          <w:szCs w:val="21"/>
        </w:rPr>
      </w:pPr>
      <w:r>
        <w:rPr>
          <w:rFonts w:hint="eastAsia"/>
          <w:sz w:val="21"/>
          <w:szCs w:val="21"/>
        </w:rPr>
        <w:t xml:space="preserve">注册地址：上海市银城中路68号时代金融中心19楼 </w:t>
      </w:r>
    </w:p>
    <w:p>
      <w:pPr>
        <w:pStyle w:val="7"/>
        <w:spacing w:before="0" w:beforeAutospacing="0" w:after="0" w:afterAutospacing="0" w:line="360" w:lineRule="auto"/>
        <w:ind w:firstLine="420"/>
        <w:rPr>
          <w:sz w:val="21"/>
          <w:szCs w:val="21"/>
        </w:rPr>
      </w:pPr>
      <w:r>
        <w:rPr>
          <w:rFonts w:hint="eastAsia"/>
          <w:sz w:val="21"/>
          <w:szCs w:val="21"/>
        </w:rPr>
        <w:t xml:space="preserve">办公地址：上海市银城中路68号时代金融中心19楼 </w:t>
      </w:r>
    </w:p>
    <w:p>
      <w:pPr>
        <w:pStyle w:val="7"/>
        <w:spacing w:before="0" w:beforeAutospacing="0" w:after="0" w:afterAutospacing="0" w:line="360" w:lineRule="auto"/>
        <w:ind w:firstLine="420"/>
        <w:rPr>
          <w:sz w:val="21"/>
          <w:szCs w:val="21"/>
        </w:rPr>
      </w:pPr>
      <w:r>
        <w:rPr>
          <w:rFonts w:hint="eastAsia"/>
          <w:sz w:val="21"/>
          <w:szCs w:val="21"/>
        </w:rPr>
        <w:t xml:space="preserve">电话： 021- 31358666 </w:t>
      </w:r>
    </w:p>
    <w:p>
      <w:pPr>
        <w:pStyle w:val="7"/>
        <w:spacing w:before="0" w:beforeAutospacing="0" w:after="0" w:afterAutospacing="0" w:line="360" w:lineRule="auto"/>
        <w:ind w:firstLine="420"/>
        <w:rPr>
          <w:sz w:val="21"/>
          <w:szCs w:val="21"/>
        </w:rPr>
      </w:pPr>
      <w:r>
        <w:rPr>
          <w:rFonts w:hint="eastAsia"/>
          <w:sz w:val="21"/>
          <w:szCs w:val="21"/>
        </w:rPr>
        <w:t xml:space="preserve">传真： 021- 31358600 </w:t>
      </w:r>
    </w:p>
    <w:p>
      <w:pPr>
        <w:pStyle w:val="7"/>
        <w:spacing w:before="0" w:beforeAutospacing="0" w:after="0" w:afterAutospacing="0" w:line="360" w:lineRule="auto"/>
        <w:ind w:firstLine="420"/>
        <w:rPr>
          <w:sz w:val="21"/>
          <w:szCs w:val="21"/>
        </w:rPr>
      </w:pPr>
      <w:r>
        <w:rPr>
          <w:rFonts w:hint="eastAsia"/>
          <w:sz w:val="21"/>
          <w:szCs w:val="21"/>
        </w:rPr>
        <w:t xml:space="preserve">负责人：俞卫锋 </w:t>
      </w:r>
    </w:p>
    <w:p>
      <w:pPr>
        <w:pStyle w:val="7"/>
        <w:spacing w:before="0" w:beforeAutospacing="0" w:after="0" w:afterAutospacing="0" w:line="360" w:lineRule="auto"/>
        <w:ind w:firstLine="420"/>
        <w:rPr>
          <w:sz w:val="21"/>
          <w:szCs w:val="21"/>
        </w:rPr>
      </w:pPr>
      <w:r>
        <w:rPr>
          <w:rFonts w:hint="eastAsia"/>
          <w:sz w:val="21"/>
          <w:szCs w:val="21"/>
        </w:rPr>
        <w:t xml:space="preserve">联系人：陆奇 </w:t>
      </w:r>
    </w:p>
    <w:p>
      <w:pPr>
        <w:pStyle w:val="7"/>
        <w:spacing w:before="0" w:beforeAutospacing="0" w:after="0" w:afterAutospacing="0" w:line="360" w:lineRule="auto"/>
        <w:ind w:firstLine="420"/>
        <w:rPr>
          <w:sz w:val="21"/>
          <w:szCs w:val="21"/>
        </w:rPr>
      </w:pPr>
      <w:r>
        <w:rPr>
          <w:rFonts w:hint="eastAsia"/>
          <w:sz w:val="21"/>
          <w:szCs w:val="21"/>
        </w:rPr>
        <w:t xml:space="preserve">经办律师：安冬、陆奇 </w:t>
      </w:r>
    </w:p>
    <w:p>
      <w:pPr>
        <w:pStyle w:val="7"/>
        <w:spacing w:before="0" w:beforeAutospacing="0" w:after="0" w:afterAutospacing="0" w:line="360" w:lineRule="auto"/>
        <w:ind w:firstLine="420"/>
        <w:rPr>
          <w:sz w:val="21"/>
          <w:szCs w:val="21"/>
        </w:rPr>
      </w:pPr>
      <w:r>
        <w:rPr>
          <w:rStyle w:val="11"/>
          <w:rFonts w:hint="eastAsia"/>
          <w:sz w:val="21"/>
          <w:szCs w:val="21"/>
        </w:rPr>
        <w:t>四、审计基金财产的会计师事务所</w:t>
      </w:r>
    </w:p>
    <w:p>
      <w:pPr>
        <w:pStyle w:val="7"/>
        <w:spacing w:before="0" w:beforeAutospacing="0" w:after="0" w:afterAutospacing="0" w:line="360" w:lineRule="auto"/>
        <w:ind w:firstLine="420"/>
        <w:rPr>
          <w:sz w:val="21"/>
          <w:szCs w:val="21"/>
        </w:rPr>
      </w:pPr>
      <w:bookmarkStart w:id="73" w:name="field_0_accountingcompanyinfo_1_start"/>
      <w:bookmarkEnd w:id="73"/>
      <w:r>
        <w:rPr>
          <w:rFonts w:hint="eastAsia"/>
          <w:sz w:val="21"/>
          <w:szCs w:val="21"/>
        </w:rPr>
        <w:t xml:space="preserve">名称：普华永道中天会计师事务所(特殊普通合伙）  </w:t>
      </w:r>
    </w:p>
    <w:p>
      <w:pPr>
        <w:pStyle w:val="7"/>
        <w:spacing w:before="0" w:beforeAutospacing="0" w:after="0" w:afterAutospacing="0" w:line="360" w:lineRule="auto"/>
        <w:ind w:firstLine="420"/>
        <w:rPr>
          <w:sz w:val="21"/>
          <w:szCs w:val="21"/>
        </w:rPr>
      </w:pPr>
      <w:r>
        <w:rPr>
          <w:rFonts w:hint="eastAsia"/>
          <w:sz w:val="21"/>
          <w:szCs w:val="21"/>
        </w:rPr>
        <w:t xml:space="preserve">住所：中国（上海）自由贸易试验区陆家嘴环路1318号星展银行大厦507单元01室  </w:t>
      </w:r>
    </w:p>
    <w:p>
      <w:pPr>
        <w:pStyle w:val="7"/>
        <w:spacing w:before="0" w:beforeAutospacing="0" w:after="0" w:afterAutospacing="0" w:line="360" w:lineRule="auto"/>
        <w:ind w:firstLine="420"/>
        <w:rPr>
          <w:sz w:val="21"/>
          <w:szCs w:val="21"/>
        </w:rPr>
      </w:pPr>
      <w:r>
        <w:rPr>
          <w:rFonts w:hint="eastAsia"/>
          <w:sz w:val="21"/>
          <w:szCs w:val="21"/>
        </w:rPr>
        <w:t xml:space="preserve">办公地址：上海市湖滨路202号普华永道中心11楼  </w:t>
      </w:r>
    </w:p>
    <w:p>
      <w:pPr>
        <w:pStyle w:val="7"/>
        <w:spacing w:before="0" w:beforeAutospacing="0" w:after="0" w:afterAutospacing="0" w:line="360" w:lineRule="auto"/>
        <w:ind w:firstLine="420"/>
        <w:rPr>
          <w:sz w:val="21"/>
          <w:szCs w:val="21"/>
        </w:rPr>
      </w:pPr>
      <w:r>
        <w:rPr>
          <w:rFonts w:hint="eastAsia"/>
          <w:sz w:val="21"/>
          <w:szCs w:val="21"/>
        </w:rPr>
        <w:t xml:space="preserve">执行事务合伙人：李丹  </w:t>
      </w:r>
    </w:p>
    <w:p>
      <w:pPr>
        <w:pStyle w:val="7"/>
        <w:spacing w:before="0" w:beforeAutospacing="0" w:after="0" w:afterAutospacing="0" w:line="360" w:lineRule="auto"/>
        <w:ind w:firstLine="420"/>
        <w:rPr>
          <w:sz w:val="21"/>
          <w:szCs w:val="21"/>
        </w:rPr>
      </w:pPr>
      <w:r>
        <w:rPr>
          <w:rFonts w:hint="eastAsia"/>
          <w:sz w:val="21"/>
          <w:szCs w:val="21"/>
        </w:rPr>
        <w:t xml:space="preserve">联系电话：（021）23238888  </w:t>
      </w:r>
    </w:p>
    <w:p>
      <w:pPr>
        <w:pStyle w:val="7"/>
        <w:spacing w:before="0" w:beforeAutospacing="0" w:after="0" w:afterAutospacing="0" w:line="360" w:lineRule="auto"/>
        <w:ind w:firstLine="420"/>
        <w:rPr>
          <w:sz w:val="21"/>
          <w:szCs w:val="21"/>
        </w:rPr>
      </w:pPr>
      <w:r>
        <w:rPr>
          <w:rFonts w:hint="eastAsia"/>
          <w:sz w:val="21"/>
          <w:szCs w:val="21"/>
        </w:rPr>
        <w:t xml:space="preserve">传真：（021）23238800  </w:t>
      </w:r>
    </w:p>
    <w:p>
      <w:pPr>
        <w:pStyle w:val="7"/>
        <w:spacing w:before="0" w:beforeAutospacing="0" w:after="0" w:afterAutospacing="0" w:line="360" w:lineRule="auto"/>
        <w:ind w:firstLine="420"/>
        <w:rPr>
          <w:sz w:val="21"/>
          <w:szCs w:val="21"/>
        </w:rPr>
      </w:pPr>
      <w:r>
        <w:rPr>
          <w:rFonts w:hint="eastAsia"/>
          <w:sz w:val="21"/>
          <w:szCs w:val="21"/>
        </w:rPr>
        <w:t xml:space="preserve">联系人：沈兆杰 </w:t>
      </w:r>
    </w:p>
    <w:p>
      <w:pPr>
        <w:pStyle w:val="7"/>
        <w:spacing w:before="0" w:beforeAutospacing="0" w:after="0" w:afterAutospacing="0" w:line="360" w:lineRule="auto"/>
        <w:ind w:firstLine="420"/>
        <w:rPr>
          <w:sz w:val="21"/>
          <w:szCs w:val="21"/>
        </w:rPr>
      </w:pPr>
      <w:bookmarkStart w:id="74" w:name="chapter_level1_7_56_section_3_end"/>
      <w:bookmarkEnd w:id="74"/>
      <w:r>
        <w:rPr>
          <w:rFonts w:hint="eastAsia"/>
          <w:sz w:val="21"/>
          <w:szCs w:val="21"/>
        </w:rPr>
        <w:t xml:space="preserve">经办注册会计师：薛竞、沈兆杰 </w:t>
      </w:r>
      <w:bookmarkStart w:id="75" w:name="field_0_accountingcompanyinfo_1_end"/>
      <w:bookmarkEnd w:id="75"/>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76" w:name="_Toc113628537"/>
      <w:bookmarkStart w:id="77" w:name="chapter_level1_9_58"/>
      <w:r>
        <w:rPr>
          <w:rFonts w:hint="eastAsia" w:ascii="宋体" w:hAnsi="宋体" w:eastAsia="宋体"/>
          <w:sz w:val="30"/>
        </w:rPr>
        <w:t>第六部分 基金的募集与基金合同的生效</w:t>
      </w:r>
      <w:bookmarkEnd w:id="76"/>
      <w:bookmarkEnd w:id="77"/>
    </w:p>
    <w:p>
      <w:pPr>
        <w:pStyle w:val="7"/>
        <w:spacing w:before="0" w:beforeAutospacing="0" w:after="0" w:afterAutospacing="0" w:line="360" w:lineRule="auto"/>
        <w:ind w:firstLine="420"/>
        <w:rPr>
          <w:sz w:val="21"/>
          <w:szCs w:val="21"/>
        </w:rPr>
      </w:pPr>
      <w:bookmarkStart w:id="78" w:name="chapter_level1_9_58_section_1"/>
      <w:bookmarkEnd w:id="78"/>
      <w:r>
        <w:rPr>
          <w:rStyle w:val="11"/>
          <w:rFonts w:hint="eastAsia"/>
          <w:sz w:val="21"/>
          <w:szCs w:val="21"/>
        </w:rPr>
        <w:t>一、 基金的募集</w:t>
      </w:r>
    </w:p>
    <w:p>
      <w:pPr>
        <w:pStyle w:val="7"/>
        <w:spacing w:before="0" w:beforeAutospacing="0" w:after="0" w:afterAutospacing="0" w:line="360" w:lineRule="auto"/>
        <w:ind w:firstLine="420"/>
        <w:rPr>
          <w:sz w:val="21"/>
          <w:szCs w:val="21"/>
        </w:rPr>
      </w:pPr>
      <w:r>
        <w:rPr>
          <w:rFonts w:hint="eastAsia"/>
          <w:sz w:val="21"/>
          <w:szCs w:val="21"/>
        </w:rPr>
        <w:t>基金管理人按照《基金法》、《运作办法》、《销售办法》、基金合同及其他有关规定募集本基金，并经中国证监会</w:t>
      </w:r>
      <w:bookmarkStart w:id="79" w:name="field_2343_approveddate_2"/>
      <w:r>
        <w:rPr>
          <w:sz w:val="21"/>
          <w:szCs w:val="21"/>
        </w:rPr>
        <w:t>2017年1月6日</w:t>
      </w:r>
      <w:bookmarkEnd w:id="79"/>
      <w:r>
        <w:rPr>
          <w:rFonts w:hint="eastAsia"/>
          <w:sz w:val="21"/>
          <w:szCs w:val="21"/>
        </w:rPr>
        <w:t>证监许可</w:t>
      </w:r>
      <w:bookmarkStart w:id="80" w:name="field_2343_lotnumber_2"/>
      <w:r>
        <w:rPr>
          <w:sz w:val="21"/>
          <w:szCs w:val="21"/>
        </w:rPr>
        <w:t>[2017]24</w:t>
      </w:r>
      <w:bookmarkEnd w:id="80"/>
      <w:r>
        <w:rPr>
          <w:rFonts w:hint="eastAsia"/>
          <w:sz w:val="21"/>
          <w:szCs w:val="21"/>
        </w:rPr>
        <w:t xml:space="preserve">号文准予募集注册。 </w:t>
      </w:r>
    </w:p>
    <w:p>
      <w:pPr>
        <w:pStyle w:val="7"/>
        <w:spacing w:before="0" w:beforeAutospacing="0" w:after="0" w:afterAutospacing="0" w:line="360" w:lineRule="auto"/>
        <w:ind w:firstLine="420"/>
        <w:rPr>
          <w:sz w:val="21"/>
          <w:szCs w:val="21"/>
        </w:rPr>
      </w:pPr>
      <w:r>
        <w:rPr>
          <w:rFonts w:hint="eastAsia"/>
          <w:sz w:val="21"/>
          <w:szCs w:val="21"/>
        </w:rPr>
        <w:t>本基金募集期从</w:t>
      </w:r>
      <w:bookmarkStart w:id="81" w:name="field_58_raisebegindate_1"/>
      <w:r>
        <w:rPr>
          <w:sz w:val="21"/>
          <w:szCs w:val="21"/>
        </w:rPr>
        <w:t>2017年3月13日</w:t>
      </w:r>
      <w:bookmarkEnd w:id="81"/>
      <w:r>
        <w:rPr>
          <w:rFonts w:hint="eastAsia"/>
          <w:sz w:val="21"/>
          <w:szCs w:val="21"/>
        </w:rPr>
        <w:t>起至</w:t>
      </w:r>
      <w:bookmarkStart w:id="82" w:name="field_58_raiseenddate_1"/>
      <w:r>
        <w:rPr>
          <w:sz w:val="21"/>
          <w:szCs w:val="21"/>
        </w:rPr>
        <w:t>2017年4月11日</w:t>
      </w:r>
      <w:bookmarkEnd w:id="82"/>
      <w:r>
        <w:rPr>
          <w:rFonts w:hint="eastAsia"/>
          <w:sz w:val="21"/>
          <w:szCs w:val="21"/>
        </w:rPr>
        <w:t>止，基金份额共募集</w:t>
      </w:r>
      <w:bookmarkStart w:id="83" w:name="field_58_raisetotal_1"/>
      <w:r>
        <w:rPr>
          <w:sz w:val="21"/>
          <w:szCs w:val="21"/>
        </w:rPr>
        <w:t>932,048,774.28</w:t>
      </w:r>
      <w:bookmarkEnd w:id="83"/>
      <w:r>
        <w:rPr>
          <w:rFonts w:hint="eastAsia"/>
          <w:sz w:val="21"/>
          <w:szCs w:val="21"/>
        </w:rPr>
        <w:t>份（含利息结转的份额），有效认购户数为</w:t>
      </w:r>
      <w:bookmarkStart w:id="84" w:name="field_58_effectivetotal_1"/>
      <w:r>
        <w:rPr>
          <w:sz w:val="21"/>
          <w:szCs w:val="21"/>
        </w:rPr>
        <w:t>8980</w:t>
      </w:r>
      <w:bookmarkEnd w:id="84"/>
      <w:r>
        <w:rPr>
          <w:rFonts w:hint="eastAsia"/>
          <w:sz w:val="21"/>
          <w:szCs w:val="21"/>
        </w:rPr>
        <w:t xml:space="preserve">户。 </w:t>
      </w:r>
    </w:p>
    <w:p>
      <w:pPr>
        <w:pStyle w:val="7"/>
        <w:spacing w:before="0" w:beforeAutospacing="0" w:after="0" w:afterAutospacing="0" w:line="360" w:lineRule="auto"/>
        <w:ind w:firstLine="420"/>
        <w:rPr>
          <w:sz w:val="21"/>
          <w:szCs w:val="21"/>
        </w:rPr>
      </w:pPr>
      <w:r>
        <w:rPr>
          <w:rStyle w:val="11"/>
          <w:rFonts w:hint="eastAsia"/>
          <w:sz w:val="21"/>
          <w:szCs w:val="21"/>
        </w:rPr>
        <w:t>二、基金合同的生效</w:t>
      </w:r>
    </w:p>
    <w:p>
      <w:pPr>
        <w:pStyle w:val="7"/>
        <w:spacing w:before="0" w:beforeAutospacing="0" w:after="0" w:afterAutospacing="0" w:line="360" w:lineRule="auto"/>
        <w:ind w:firstLine="420"/>
        <w:rPr>
          <w:sz w:val="21"/>
          <w:szCs w:val="21"/>
        </w:rPr>
      </w:pPr>
      <w:bookmarkStart w:id="85" w:name="chapter_level1_9_58_section_1_end"/>
      <w:bookmarkEnd w:id="85"/>
      <w:r>
        <w:rPr>
          <w:rFonts w:hint="eastAsia"/>
          <w:sz w:val="21"/>
          <w:szCs w:val="21"/>
        </w:rPr>
        <w:t>本基金的基金合同已于</w:t>
      </w:r>
      <w:bookmarkStart w:id="86" w:name="field_0_foundday_1"/>
      <w:r>
        <w:rPr>
          <w:sz w:val="21"/>
          <w:szCs w:val="21"/>
        </w:rPr>
        <w:t>2017年4月14日</w:t>
      </w:r>
      <w:bookmarkEnd w:id="86"/>
      <w:r>
        <w:rPr>
          <w:rFonts w:hint="eastAsia"/>
          <w:sz w:val="21"/>
          <w:szCs w:val="21"/>
        </w:rPr>
        <w:t xml:space="preserve">正式生效。 </w:t>
      </w:r>
    </w:p>
    <w:p>
      <w:pPr>
        <w:pStyle w:val="7"/>
        <w:spacing w:before="0" w:beforeAutospacing="0" w:after="0" w:afterAutospacing="0" w:line="360" w:lineRule="auto"/>
        <w:ind w:firstLine="420"/>
        <w:rPr>
          <w:sz w:val="21"/>
          <w:szCs w:val="21"/>
        </w:rPr>
      </w:pPr>
      <w:bookmarkStart w:id="87" w:name="chapter_level1_9_58_section_2"/>
      <w:bookmarkEnd w:id="87"/>
      <w:r>
        <w:rPr>
          <w:rStyle w:val="11"/>
          <w:rFonts w:hint="eastAsia"/>
          <w:sz w:val="21"/>
          <w:szCs w:val="21"/>
        </w:rPr>
        <w:t>三、基金存续期内的基金份额持有人数量和资产规模</w:t>
      </w:r>
    </w:p>
    <w:p>
      <w:pPr>
        <w:pStyle w:val="7"/>
        <w:spacing w:before="0" w:beforeAutospacing="0" w:after="0" w:afterAutospacing="0" w:line="360" w:lineRule="auto"/>
        <w:ind w:firstLine="420"/>
        <w:rPr>
          <w:sz w:val="21"/>
          <w:szCs w:val="21"/>
        </w:rPr>
      </w:pPr>
      <w:r>
        <w:rPr>
          <w:rFonts w:hint="eastAsia"/>
          <w:sz w:val="21"/>
          <w:szCs w:val="21"/>
        </w:rPr>
        <w:t>基金合同生效后，连续二十个工作日出现基金份额持有人数量不满</w:t>
      </w:r>
      <w:bookmarkStart w:id="88" w:name="field_58_minsubnumber_1"/>
      <w:r>
        <w:rPr>
          <w:rFonts w:hint="eastAsia"/>
          <w:sz w:val="21"/>
          <w:szCs w:val="21"/>
        </w:rPr>
        <w:t>二百</w:t>
      </w:r>
      <w:bookmarkEnd w:id="88"/>
      <w:r>
        <w:rPr>
          <w:rFonts w:hint="eastAsia"/>
          <w:sz w:val="21"/>
          <w:szCs w:val="21"/>
        </w:rPr>
        <w:t xml:space="preserve">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 </w:t>
      </w:r>
    </w:p>
    <w:p>
      <w:pPr>
        <w:pStyle w:val="7"/>
        <w:spacing w:before="0" w:beforeAutospacing="0" w:after="0" w:afterAutospacing="0" w:line="360" w:lineRule="auto"/>
        <w:ind w:firstLine="420"/>
        <w:rPr>
          <w:sz w:val="21"/>
          <w:szCs w:val="21"/>
        </w:rPr>
      </w:pPr>
      <w:bookmarkStart w:id="89" w:name="chapter_level1_9_58_section_2_end"/>
      <w:bookmarkEnd w:id="89"/>
      <w:r>
        <w:rPr>
          <w:rFonts w:hint="eastAsia"/>
          <w:sz w:val="21"/>
          <w:szCs w:val="21"/>
        </w:rPr>
        <w:t xml:space="preserve">法律法规或监管机构另有规定时，从其规定。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90" w:name="_Toc113628538"/>
      <w:bookmarkStart w:id="91" w:name="chapter_level1_10_59"/>
      <w:r>
        <w:rPr>
          <w:rFonts w:hint="eastAsia" w:ascii="宋体" w:hAnsi="宋体" w:eastAsia="宋体"/>
          <w:sz w:val="30"/>
        </w:rPr>
        <w:t>第七部分  基金份额的申购与赎回</w:t>
      </w:r>
      <w:bookmarkEnd w:id="90"/>
      <w:bookmarkEnd w:id="91"/>
    </w:p>
    <w:p>
      <w:pPr>
        <w:pStyle w:val="7"/>
        <w:spacing w:before="0" w:beforeAutospacing="0" w:after="0" w:afterAutospacing="0" w:line="360" w:lineRule="auto"/>
        <w:ind w:firstLine="420"/>
        <w:rPr>
          <w:sz w:val="21"/>
          <w:szCs w:val="21"/>
        </w:rPr>
      </w:pPr>
      <w:bookmarkStart w:id="92" w:name="chapter_level1_10_59_section_1"/>
      <w:bookmarkEnd w:id="92"/>
      <w:r>
        <w:rPr>
          <w:rStyle w:val="11"/>
          <w:rFonts w:hint="eastAsia"/>
          <w:sz w:val="21"/>
          <w:szCs w:val="21"/>
        </w:rPr>
        <w:t>一、申购、赎回及转换的场所</w:t>
      </w:r>
    </w:p>
    <w:p>
      <w:pPr>
        <w:pStyle w:val="7"/>
        <w:spacing w:before="0" w:beforeAutospacing="0" w:after="0" w:afterAutospacing="0" w:line="360" w:lineRule="auto"/>
        <w:ind w:firstLine="420"/>
        <w:rPr>
          <w:sz w:val="21"/>
          <w:szCs w:val="21"/>
        </w:rPr>
      </w:pPr>
      <w:r>
        <w:rPr>
          <w:rFonts w:hint="eastAsia"/>
          <w:sz w:val="21"/>
          <w:szCs w:val="21"/>
        </w:rPr>
        <w:t>本基金的申购与赎回将通过销售机构进行。本基金的销售机构包括基金管理人和基金管理人委托的其他销售机构。基金管理人可根据情况变更或增减销售机构，并在基金管理人网站公示。基金投资者应当在销售机构办理基金销售业务的营业场所或按销售机构提供的其他</w:t>
      </w:r>
      <w:bookmarkStart w:id="93" w:name="chapter_level1_10_59_section_1_end"/>
      <w:bookmarkEnd w:id="93"/>
      <w:r>
        <w:rPr>
          <w:rFonts w:hint="eastAsia"/>
          <w:sz w:val="21"/>
          <w:szCs w:val="21"/>
        </w:rPr>
        <w:t xml:space="preserve">方式办理基金份额的申购与赎回。 </w:t>
      </w:r>
    </w:p>
    <w:p>
      <w:pPr>
        <w:pStyle w:val="7"/>
        <w:spacing w:before="0" w:beforeAutospacing="0" w:after="0" w:afterAutospacing="0" w:line="360" w:lineRule="auto"/>
        <w:ind w:firstLine="420"/>
        <w:rPr>
          <w:sz w:val="21"/>
          <w:szCs w:val="21"/>
        </w:rPr>
      </w:pPr>
      <w:bookmarkStart w:id="94" w:name="chapter_level1_10_59_section_2"/>
      <w:bookmarkEnd w:id="94"/>
      <w:r>
        <w:rPr>
          <w:rStyle w:val="11"/>
          <w:rFonts w:hint="eastAsia"/>
          <w:sz w:val="21"/>
          <w:szCs w:val="21"/>
        </w:rPr>
        <w:t>二、申购、赎回开始日及业务办理时间</w:t>
      </w:r>
    </w:p>
    <w:p>
      <w:pPr>
        <w:pStyle w:val="7"/>
        <w:spacing w:before="0" w:beforeAutospacing="0" w:after="0" w:afterAutospacing="0" w:line="360" w:lineRule="auto"/>
        <w:ind w:firstLine="420"/>
        <w:rPr>
          <w:sz w:val="21"/>
          <w:szCs w:val="21"/>
        </w:rPr>
      </w:pPr>
      <w:r>
        <w:rPr>
          <w:rFonts w:hint="eastAsia"/>
          <w:sz w:val="21"/>
          <w:szCs w:val="21"/>
        </w:rPr>
        <w:t xml:space="preserve">1、开放日及开放时间 </w:t>
      </w:r>
    </w:p>
    <w:p>
      <w:pPr>
        <w:pStyle w:val="7"/>
        <w:spacing w:before="0" w:beforeAutospacing="0" w:after="0" w:afterAutospacing="0" w:line="360" w:lineRule="auto"/>
        <w:ind w:firstLine="420"/>
        <w:rPr>
          <w:sz w:val="21"/>
          <w:szCs w:val="21"/>
        </w:rPr>
      </w:pPr>
      <w:r>
        <w:rPr>
          <w:rFonts w:hint="eastAsia"/>
          <w:sz w:val="21"/>
          <w:szCs w:val="21"/>
        </w:rPr>
        <w:t xml:space="preserve">本基金于2017年6月12日开通日常申购、赎回业务。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 </w:t>
      </w:r>
    </w:p>
    <w:p>
      <w:pPr>
        <w:pStyle w:val="7"/>
        <w:spacing w:before="0" w:beforeAutospacing="0" w:after="0" w:afterAutospacing="0" w:line="360" w:lineRule="auto"/>
        <w:ind w:firstLine="420"/>
        <w:rPr>
          <w:sz w:val="21"/>
          <w:szCs w:val="21"/>
        </w:rPr>
      </w:pPr>
      <w:r>
        <w:rPr>
          <w:rFonts w:hint="eastAsia"/>
          <w:sz w:val="21"/>
          <w:szCs w:val="21"/>
        </w:rPr>
        <w:t xml:space="preserve">2、申购、赎回开始日及业务办理时间 </w:t>
      </w:r>
    </w:p>
    <w:p>
      <w:pPr>
        <w:pStyle w:val="7"/>
        <w:spacing w:before="0" w:beforeAutospacing="0" w:after="0" w:afterAutospacing="0" w:line="360" w:lineRule="auto"/>
        <w:ind w:firstLine="420"/>
        <w:rPr>
          <w:sz w:val="21"/>
          <w:szCs w:val="21"/>
        </w:rPr>
      </w:pPr>
      <w:r>
        <w:rPr>
          <w:rFonts w:hint="eastAsia"/>
          <w:sz w:val="21"/>
          <w:szCs w:val="21"/>
        </w:rPr>
        <w:t xml:space="preserve">基金管理人自基金合同生效之日起不超过3个月开始办理申购，具体业务办理时间在申购开始公告中规定。 </w:t>
      </w:r>
    </w:p>
    <w:p>
      <w:pPr>
        <w:pStyle w:val="7"/>
        <w:spacing w:before="0" w:beforeAutospacing="0" w:after="0" w:afterAutospacing="0" w:line="360" w:lineRule="auto"/>
        <w:ind w:firstLine="420"/>
        <w:rPr>
          <w:sz w:val="21"/>
          <w:szCs w:val="21"/>
        </w:rPr>
      </w:pPr>
      <w:r>
        <w:rPr>
          <w:rFonts w:hint="eastAsia"/>
          <w:sz w:val="21"/>
          <w:szCs w:val="21"/>
        </w:rPr>
        <w:t xml:space="preserve">基金管理人自基金合同生效之日起不超过3个月开始办理赎回，具体业务办理时间在赎回开始公告中规定。 </w:t>
      </w:r>
    </w:p>
    <w:p>
      <w:pPr>
        <w:pStyle w:val="7"/>
        <w:spacing w:before="0" w:beforeAutospacing="0" w:after="0" w:afterAutospacing="0" w:line="360" w:lineRule="auto"/>
        <w:ind w:firstLine="420"/>
        <w:rPr>
          <w:sz w:val="21"/>
          <w:szCs w:val="21"/>
        </w:rPr>
      </w:pPr>
      <w:r>
        <w:rPr>
          <w:rFonts w:hint="eastAsia"/>
          <w:sz w:val="21"/>
          <w:szCs w:val="21"/>
        </w:rPr>
        <w:t xml:space="preserve">在确定申购开始与赎回开始时间后，基金管理人应在申购、赎回开放日前依照《信息披露办法》的有关规定在指定媒介上公告申购与赎回的开始时间。 </w:t>
      </w:r>
    </w:p>
    <w:p>
      <w:pPr>
        <w:pStyle w:val="7"/>
        <w:spacing w:before="0" w:beforeAutospacing="0" w:after="0" w:afterAutospacing="0" w:line="360" w:lineRule="auto"/>
        <w:ind w:firstLine="420"/>
        <w:rPr>
          <w:sz w:val="21"/>
          <w:szCs w:val="21"/>
        </w:rPr>
      </w:pPr>
      <w:r>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w:t>
      </w:r>
      <w:bookmarkStart w:id="95" w:name="chapter_level1_10_59_section_2_end"/>
      <w:bookmarkEnd w:id="95"/>
      <w:r>
        <w:rPr>
          <w:rFonts w:hint="eastAsia"/>
          <w:sz w:val="21"/>
          <w:szCs w:val="21"/>
        </w:rPr>
        <w:t xml:space="preserve">受的，其基金份额申购、赎回价格为下一开放日该类别基金份额申购、赎回的价格。 </w:t>
      </w:r>
    </w:p>
    <w:p>
      <w:pPr>
        <w:pStyle w:val="7"/>
        <w:spacing w:before="0" w:beforeAutospacing="0" w:after="0" w:afterAutospacing="0" w:line="360" w:lineRule="auto"/>
        <w:ind w:firstLine="420"/>
        <w:rPr>
          <w:sz w:val="21"/>
          <w:szCs w:val="21"/>
        </w:rPr>
      </w:pPr>
      <w:bookmarkStart w:id="96" w:name="chapter_level1_10_59_section_3"/>
      <w:bookmarkEnd w:id="96"/>
      <w:r>
        <w:rPr>
          <w:rStyle w:val="11"/>
          <w:rFonts w:hint="eastAsia"/>
          <w:sz w:val="21"/>
          <w:szCs w:val="21"/>
        </w:rPr>
        <w:t>三、申购与赎回的数额限制</w:t>
      </w:r>
    </w:p>
    <w:p>
      <w:pPr>
        <w:pStyle w:val="7"/>
        <w:spacing w:before="0" w:beforeAutospacing="0" w:after="0" w:afterAutospacing="0" w:line="360" w:lineRule="auto"/>
        <w:ind w:firstLine="420"/>
        <w:rPr>
          <w:sz w:val="21"/>
          <w:szCs w:val="21"/>
        </w:rPr>
      </w:pPr>
      <w:r>
        <w:rPr>
          <w:rFonts w:hint="eastAsia"/>
          <w:sz w:val="21"/>
          <w:szCs w:val="21"/>
        </w:rPr>
        <w:t xml:space="preserve">1、投资人申购A类基金份额，首次单笔最低申购金额为人民币1元，追加申购单笔最低金额为人民币1元。投资人申购C类基金份额，首次单笔最低申购金额为人民币1元，追加申购单笔最低金额为人民币1元。 </w:t>
      </w:r>
    </w:p>
    <w:p>
      <w:pPr>
        <w:pStyle w:val="7"/>
        <w:spacing w:before="0" w:beforeAutospacing="0" w:after="0" w:afterAutospacing="0" w:line="360" w:lineRule="auto"/>
        <w:ind w:firstLine="420"/>
        <w:rPr>
          <w:sz w:val="21"/>
          <w:szCs w:val="21"/>
        </w:rPr>
      </w:pPr>
      <w:r>
        <w:rPr>
          <w:rFonts w:hint="eastAsia"/>
          <w:sz w:val="21"/>
          <w:szCs w:val="21"/>
        </w:rPr>
        <w:t xml:space="preserve">各销售机构在不低于上述规定的前提下，可根据自己的情况调整首次最低申购金额和追加最低申购金额限制，具体以销售机构公布的为准。 </w:t>
      </w:r>
    </w:p>
    <w:p>
      <w:pPr>
        <w:pStyle w:val="7"/>
        <w:spacing w:before="0" w:beforeAutospacing="0" w:after="0" w:afterAutospacing="0" w:line="360" w:lineRule="auto"/>
        <w:ind w:firstLine="420"/>
        <w:rPr>
          <w:sz w:val="21"/>
          <w:szCs w:val="21"/>
        </w:rPr>
      </w:pPr>
      <w:r>
        <w:rPr>
          <w:rFonts w:hint="eastAsia"/>
          <w:sz w:val="21"/>
          <w:szCs w:val="21"/>
        </w:rPr>
        <w:t>2、基金份额持有人在销售机构赎回时，每次赎回某一类别基金份额不得低于</w:t>
      </w:r>
      <w:bookmarkStart w:id="97" w:name="field_59_minholdshare_1"/>
      <w:r>
        <w:rPr>
          <w:sz w:val="21"/>
          <w:szCs w:val="21"/>
        </w:rPr>
        <w:t>0.01</w:t>
      </w:r>
      <w:bookmarkEnd w:id="97"/>
      <w:r>
        <w:rPr>
          <w:rFonts w:hint="eastAsia"/>
          <w:sz w:val="21"/>
          <w:szCs w:val="21"/>
        </w:rPr>
        <w:t>份；每个交易账户最低持有某一类别基金份额余额为</w:t>
      </w:r>
      <w:bookmarkStart w:id="98" w:name="field_59_minholdshare_2"/>
      <w:r>
        <w:rPr>
          <w:sz w:val="21"/>
          <w:szCs w:val="21"/>
        </w:rPr>
        <w:t>0.01</w:t>
      </w:r>
      <w:bookmarkEnd w:id="98"/>
      <w:r>
        <w:rPr>
          <w:rFonts w:hint="eastAsia"/>
          <w:sz w:val="21"/>
          <w:szCs w:val="21"/>
        </w:rPr>
        <w:t>份，若某笔赎回导致单个交易账户的某一类别基金份额余额少于</w:t>
      </w:r>
      <w:bookmarkStart w:id="99" w:name="field_59_minholdshare_3"/>
      <w:r>
        <w:rPr>
          <w:sz w:val="21"/>
          <w:szCs w:val="21"/>
        </w:rPr>
        <w:t>0.01</w:t>
      </w:r>
      <w:bookmarkEnd w:id="99"/>
      <w:r>
        <w:rPr>
          <w:rFonts w:hint="eastAsia"/>
          <w:sz w:val="21"/>
          <w:szCs w:val="21"/>
        </w:rPr>
        <w:t xml:space="preserve">份时，该类份额余额部分基金份额必须一同赎回。 </w:t>
      </w:r>
    </w:p>
    <w:p>
      <w:pPr>
        <w:pStyle w:val="7"/>
        <w:spacing w:before="0" w:beforeAutospacing="0" w:after="0" w:afterAutospacing="0" w:line="360" w:lineRule="auto"/>
        <w:ind w:firstLine="420"/>
        <w:rPr>
          <w:sz w:val="21"/>
          <w:szCs w:val="21"/>
        </w:rPr>
      </w:pPr>
      <w:r>
        <w:rPr>
          <w:rFonts w:hint="eastAsia"/>
          <w:sz w:val="21"/>
          <w:szCs w:val="21"/>
        </w:rPr>
        <w:t xml:space="preserve">3、基金管理人可以规定单个投资者累计持有的某一类别基金份额数量限制，具体规定见更新的招募说明书或相关公告。 </w:t>
      </w:r>
    </w:p>
    <w:p>
      <w:pPr>
        <w:pStyle w:val="7"/>
        <w:spacing w:before="0" w:beforeAutospacing="0" w:after="0" w:afterAutospacing="0" w:line="360" w:lineRule="auto"/>
        <w:ind w:firstLine="420"/>
        <w:rPr>
          <w:sz w:val="21"/>
          <w:szCs w:val="21"/>
        </w:rPr>
      </w:pPr>
      <w:r>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pPr>
        <w:pStyle w:val="7"/>
        <w:spacing w:before="0" w:beforeAutospacing="0" w:after="0" w:afterAutospacing="0" w:line="360" w:lineRule="auto"/>
        <w:ind w:firstLine="420"/>
        <w:rPr>
          <w:sz w:val="21"/>
          <w:szCs w:val="21"/>
        </w:rPr>
      </w:pPr>
      <w:r>
        <w:rPr>
          <w:rFonts w:hint="eastAsia"/>
          <w:sz w:val="21"/>
          <w:szCs w:val="21"/>
        </w:rPr>
        <w:t xml:space="preserve">5、基金管理人可在法律法规允许的情况下，调整上述规定申购金额和赎回份额等数量限制。基金管理人必须在调整实施前依照《信息披露办法》的有关规定在指定媒介上公告。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四、申购与赎回的原则</w:t>
      </w:r>
    </w:p>
    <w:p>
      <w:pPr>
        <w:pStyle w:val="7"/>
        <w:spacing w:before="0" w:beforeAutospacing="0" w:after="0" w:afterAutospacing="0" w:line="360" w:lineRule="auto"/>
        <w:ind w:firstLine="420"/>
        <w:rPr>
          <w:sz w:val="21"/>
          <w:szCs w:val="21"/>
        </w:rPr>
      </w:pPr>
      <w:r>
        <w:rPr>
          <w:rFonts w:hint="eastAsia"/>
          <w:sz w:val="21"/>
          <w:szCs w:val="21"/>
        </w:rPr>
        <w:t xml:space="preserve">1、“未知价”原则，即申购、赎回价格以申请当日收市后计算的某一类别基金份额净值为基准进行计算； </w:t>
      </w:r>
    </w:p>
    <w:p>
      <w:pPr>
        <w:pStyle w:val="7"/>
        <w:spacing w:before="0" w:beforeAutospacing="0" w:after="0" w:afterAutospacing="0" w:line="360" w:lineRule="auto"/>
        <w:ind w:firstLine="420"/>
        <w:rPr>
          <w:sz w:val="21"/>
          <w:szCs w:val="21"/>
        </w:rPr>
      </w:pPr>
      <w:r>
        <w:rPr>
          <w:rFonts w:hint="eastAsia"/>
          <w:sz w:val="21"/>
          <w:szCs w:val="21"/>
        </w:rPr>
        <w:t xml:space="preserve">2、“金额申购、份额赎回”原则，即申购以金额申请，赎回以份额申请； </w:t>
      </w:r>
    </w:p>
    <w:p>
      <w:pPr>
        <w:pStyle w:val="7"/>
        <w:spacing w:before="0" w:beforeAutospacing="0" w:after="0" w:afterAutospacing="0" w:line="360" w:lineRule="auto"/>
        <w:ind w:firstLine="420"/>
        <w:rPr>
          <w:sz w:val="21"/>
          <w:szCs w:val="21"/>
        </w:rPr>
      </w:pPr>
      <w:r>
        <w:rPr>
          <w:rFonts w:hint="eastAsia"/>
          <w:sz w:val="21"/>
          <w:szCs w:val="21"/>
        </w:rPr>
        <w:t xml:space="preserve">3、当日的申购与赎回申请可以在基金管理人规定的时间以内撤销； </w:t>
      </w:r>
    </w:p>
    <w:p>
      <w:pPr>
        <w:pStyle w:val="7"/>
        <w:spacing w:before="0" w:beforeAutospacing="0" w:after="0" w:afterAutospacing="0" w:line="360" w:lineRule="auto"/>
        <w:ind w:firstLine="420"/>
        <w:rPr>
          <w:sz w:val="21"/>
          <w:szCs w:val="21"/>
        </w:rPr>
      </w:pPr>
      <w:r>
        <w:rPr>
          <w:rFonts w:hint="eastAsia"/>
          <w:sz w:val="21"/>
          <w:szCs w:val="21"/>
        </w:rPr>
        <w:t xml:space="preserve">4、赎回遵循“先进先出”原则，即按照投资人认购、申购的先后次序进行顺序赎回。 </w:t>
      </w:r>
    </w:p>
    <w:p>
      <w:pPr>
        <w:pStyle w:val="7"/>
        <w:spacing w:before="0" w:beforeAutospacing="0" w:after="0" w:afterAutospacing="0" w:line="360" w:lineRule="auto"/>
        <w:ind w:firstLine="420"/>
        <w:rPr>
          <w:sz w:val="21"/>
          <w:szCs w:val="21"/>
        </w:rPr>
      </w:pPr>
      <w:r>
        <w:rPr>
          <w:rFonts w:hint="eastAsia"/>
          <w:sz w:val="21"/>
          <w:szCs w:val="21"/>
        </w:rPr>
        <w:t xml:space="preserve">基金管理人可在法律法规允许的情况下，对上述原则进行调整。基金管理人必须在新规则开始实施前依照《信息披露办法》的有关规定在指定媒介上公告。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五、申购与赎回的程序</w:t>
      </w:r>
    </w:p>
    <w:p>
      <w:pPr>
        <w:pStyle w:val="7"/>
        <w:spacing w:before="0" w:beforeAutospacing="0" w:after="0" w:afterAutospacing="0" w:line="360" w:lineRule="auto"/>
        <w:ind w:firstLine="420"/>
        <w:rPr>
          <w:sz w:val="21"/>
          <w:szCs w:val="21"/>
        </w:rPr>
      </w:pPr>
      <w:r>
        <w:rPr>
          <w:rFonts w:hint="eastAsia"/>
          <w:sz w:val="21"/>
          <w:szCs w:val="21"/>
        </w:rPr>
        <w:t xml:space="preserve">1、申购和赎回的申请方式 </w:t>
      </w:r>
    </w:p>
    <w:p>
      <w:pPr>
        <w:pStyle w:val="7"/>
        <w:spacing w:before="0" w:beforeAutospacing="0" w:after="0" w:afterAutospacing="0" w:line="360" w:lineRule="auto"/>
        <w:ind w:firstLine="420"/>
        <w:rPr>
          <w:sz w:val="21"/>
          <w:szCs w:val="21"/>
        </w:rPr>
      </w:pPr>
      <w:r>
        <w:rPr>
          <w:rFonts w:hint="eastAsia"/>
          <w:sz w:val="21"/>
          <w:szCs w:val="21"/>
        </w:rPr>
        <w:t xml:space="preserve">投资人必须根据销售机构规定的程序，在开放日的具体业务办理时间内提出申购或赎回的申请。 </w:t>
      </w:r>
    </w:p>
    <w:p>
      <w:pPr>
        <w:pStyle w:val="7"/>
        <w:spacing w:before="0" w:beforeAutospacing="0" w:after="0" w:afterAutospacing="0" w:line="360" w:lineRule="auto"/>
        <w:ind w:firstLine="420"/>
        <w:rPr>
          <w:sz w:val="21"/>
          <w:szCs w:val="21"/>
        </w:rPr>
      </w:pPr>
      <w:r>
        <w:rPr>
          <w:rFonts w:hint="eastAsia"/>
          <w:sz w:val="21"/>
          <w:szCs w:val="21"/>
        </w:rPr>
        <w:t xml:space="preserve">2、申购和赎回的款项支付 </w:t>
      </w:r>
    </w:p>
    <w:p>
      <w:pPr>
        <w:pStyle w:val="7"/>
        <w:spacing w:before="0" w:beforeAutospacing="0" w:after="0" w:afterAutospacing="0" w:line="360" w:lineRule="auto"/>
        <w:ind w:firstLine="420"/>
        <w:rPr>
          <w:sz w:val="21"/>
          <w:szCs w:val="21"/>
        </w:rPr>
      </w:pPr>
      <w:r>
        <w:rPr>
          <w:rFonts w:hint="eastAsia"/>
          <w:sz w:val="21"/>
          <w:szCs w:val="21"/>
        </w:rPr>
        <w:t xml:space="preserve">投资人申购基金份额时，必须全额交付申购款项，投资人在规定时间前全额交付申购款项，申购申请成立；登记机构确认基金份额时，申购生效。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递交赎回申请，赎回成立；登记机构确认赎回时，赎回生效。投资人赎回申请成功后，基金管理人将在T＋7日（包括该日）内支付赎回款项。在发生巨额赎回或基金合同约定的延缓支付赎回款项的情形时，款项的支付办法参照基金合同有关条款处理。 </w:t>
      </w:r>
    </w:p>
    <w:p>
      <w:pPr>
        <w:pStyle w:val="7"/>
        <w:spacing w:before="0" w:beforeAutospacing="0" w:after="0" w:afterAutospacing="0" w:line="360" w:lineRule="auto"/>
        <w:ind w:firstLine="420"/>
        <w:rPr>
          <w:sz w:val="21"/>
          <w:szCs w:val="21"/>
        </w:rPr>
      </w:pPr>
      <w:r>
        <w:rPr>
          <w:rFonts w:hint="eastAsia"/>
          <w:sz w:val="21"/>
          <w:szCs w:val="21"/>
        </w:rPr>
        <w:t xml:space="preserve">3、申购和赎回申请的确认 </w:t>
      </w:r>
    </w:p>
    <w:p>
      <w:pPr>
        <w:pStyle w:val="7"/>
        <w:spacing w:before="0" w:beforeAutospacing="0" w:after="0" w:afterAutospacing="0" w:line="360" w:lineRule="auto"/>
        <w:ind w:firstLine="420"/>
        <w:rPr>
          <w:sz w:val="21"/>
          <w:szCs w:val="21"/>
        </w:rPr>
      </w:pPr>
      <w:r>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pPr>
        <w:pStyle w:val="7"/>
        <w:spacing w:before="0" w:beforeAutospacing="0" w:after="0" w:afterAutospacing="0" w:line="360" w:lineRule="auto"/>
        <w:ind w:firstLine="420"/>
        <w:rPr>
          <w:sz w:val="21"/>
          <w:szCs w:val="21"/>
        </w:rPr>
      </w:pPr>
      <w:r>
        <w:rPr>
          <w:rFonts w:hint="eastAsia"/>
          <w:sz w:val="21"/>
          <w:szCs w:val="21"/>
        </w:rPr>
        <w:t xml:space="preserve">基金销售机构对申购、赎回申请的受理并不代表申请一定成功，而仅代表销售机构确实接收到申请。申购、赎回申请的确认以登记机构的确认结果为准。对于申请的确认情况，投资者应及时查询。 </w:t>
      </w:r>
    </w:p>
    <w:p>
      <w:pPr>
        <w:pStyle w:val="7"/>
        <w:spacing w:before="0" w:beforeAutospacing="0" w:after="0" w:afterAutospacing="0" w:line="360" w:lineRule="auto"/>
        <w:ind w:firstLine="420"/>
        <w:rPr>
          <w:sz w:val="21"/>
          <w:szCs w:val="21"/>
        </w:rPr>
      </w:pPr>
      <w:r>
        <w:rPr>
          <w:rStyle w:val="11"/>
          <w:rFonts w:hint="eastAsia"/>
          <w:sz w:val="21"/>
          <w:szCs w:val="21"/>
        </w:rPr>
        <w:t>六、申购费用、赎回费用</w:t>
      </w:r>
    </w:p>
    <w:p>
      <w:pPr>
        <w:pStyle w:val="7"/>
        <w:spacing w:before="0" w:beforeAutospacing="0" w:after="0" w:afterAutospacing="0" w:line="360" w:lineRule="auto"/>
        <w:ind w:firstLine="420"/>
        <w:rPr>
          <w:sz w:val="21"/>
          <w:szCs w:val="21"/>
        </w:rPr>
      </w:pPr>
      <w:r>
        <w:rPr>
          <w:rFonts w:hint="eastAsia"/>
          <w:sz w:val="21"/>
          <w:szCs w:val="21"/>
        </w:rPr>
        <w:t xml:space="preserve">1、申购费用 </w:t>
      </w:r>
    </w:p>
    <w:p>
      <w:pPr>
        <w:pStyle w:val="7"/>
        <w:spacing w:before="0" w:beforeAutospacing="0" w:after="0" w:afterAutospacing="0" w:line="360" w:lineRule="auto"/>
        <w:ind w:firstLine="420"/>
        <w:rPr>
          <w:sz w:val="21"/>
          <w:szCs w:val="21"/>
        </w:rPr>
      </w:pPr>
      <w:r>
        <w:rPr>
          <w:rFonts w:hint="eastAsia"/>
          <w:sz w:val="21"/>
          <w:szCs w:val="21"/>
        </w:rPr>
        <w:t xml:space="preserve">本基金基金份额采用金额申购方式，申购费率如下表。投资者在一天之内如果有多笔申购，费率按单笔分别计算。 </w:t>
      </w:r>
    </w:p>
    <w:p>
      <w:pPr>
        <w:pStyle w:val="7"/>
        <w:spacing w:before="0" w:beforeAutospacing="0" w:after="0" w:afterAutospacing="0" w:line="360" w:lineRule="auto"/>
        <w:ind w:firstLine="420"/>
        <w:rPr>
          <w:sz w:val="21"/>
          <w:szCs w:val="21"/>
        </w:rPr>
      </w:pPr>
      <w:r>
        <w:rPr>
          <w:rFonts w:hint="eastAsia"/>
          <w:sz w:val="21"/>
          <w:szCs w:val="21"/>
        </w:rPr>
        <w:t xml:space="preserve">表2：本基金的申购费率结构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5"/>
        <w:gridCol w:w="2843"/>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pct"/>
            <w:shd w:val="clear" w:color="auto" w:fill="auto"/>
          </w:tcPr>
          <w:p>
            <w:pPr>
              <w:pStyle w:val="7"/>
            </w:pPr>
            <w:r>
              <w:rPr>
                <w:rFonts w:hint="eastAsia"/>
              </w:rPr>
              <w:t xml:space="preserve">金额（M） </w:t>
            </w:r>
          </w:p>
        </w:tc>
        <w:tc>
          <w:tcPr>
            <w:tcW w:w="1669" w:type="pct"/>
            <w:shd w:val="clear" w:color="auto" w:fill="auto"/>
          </w:tcPr>
          <w:p>
            <w:pPr>
              <w:pStyle w:val="7"/>
            </w:pPr>
            <w:r>
              <w:rPr>
                <w:rFonts w:hint="eastAsia"/>
              </w:rPr>
              <w:t xml:space="preserve">A类基金份额申购费率 </w:t>
            </w:r>
          </w:p>
        </w:tc>
        <w:tc>
          <w:tcPr>
            <w:tcW w:w="1626" w:type="pct"/>
            <w:shd w:val="clear" w:color="auto" w:fill="auto"/>
          </w:tcPr>
          <w:p>
            <w:pPr>
              <w:pStyle w:val="7"/>
            </w:pPr>
            <w:r>
              <w:rPr>
                <w:rFonts w:hint="eastAsia"/>
              </w:rPr>
              <w:t xml:space="preserve">C类基金份额申购费率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pct"/>
            <w:shd w:val="clear" w:color="auto" w:fill="auto"/>
          </w:tcPr>
          <w:p>
            <w:pPr>
              <w:pStyle w:val="7"/>
            </w:pPr>
            <w:r>
              <w:rPr>
                <w:rFonts w:hint="eastAsia"/>
              </w:rPr>
              <w:t xml:space="preserve">M＜100万元 </w:t>
            </w:r>
          </w:p>
        </w:tc>
        <w:tc>
          <w:tcPr>
            <w:tcW w:w="1669" w:type="pct"/>
            <w:shd w:val="clear" w:color="auto" w:fill="auto"/>
          </w:tcPr>
          <w:p>
            <w:pPr>
              <w:pStyle w:val="7"/>
            </w:pPr>
            <w:r>
              <w:rPr>
                <w:rFonts w:hint="eastAsia"/>
              </w:rPr>
              <w:t xml:space="preserve">1.50% </w:t>
            </w:r>
          </w:p>
        </w:tc>
        <w:tc>
          <w:tcPr>
            <w:tcW w:w="1626" w:type="pct"/>
            <w:vMerge w:val="restart"/>
            <w:shd w:val="clear" w:color="auto" w:fill="auto"/>
          </w:tcPr>
          <w:p>
            <w:pPr>
              <w:pStyle w:val="7"/>
            </w:pPr>
            <w:r>
              <w:rPr>
                <w:rFonts w:hint="eastAsia"/>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pct"/>
            <w:shd w:val="clear" w:color="auto" w:fill="auto"/>
          </w:tcPr>
          <w:p>
            <w:pPr>
              <w:pStyle w:val="7"/>
            </w:pPr>
            <w:r>
              <w:rPr>
                <w:rFonts w:hint="eastAsia"/>
              </w:rPr>
              <w:t xml:space="preserve">100万元≤M＜500万元 </w:t>
            </w:r>
          </w:p>
        </w:tc>
        <w:tc>
          <w:tcPr>
            <w:tcW w:w="1669" w:type="pct"/>
            <w:shd w:val="clear" w:color="auto" w:fill="auto"/>
          </w:tcPr>
          <w:p>
            <w:pPr>
              <w:pStyle w:val="7"/>
            </w:pPr>
            <w:r>
              <w:rPr>
                <w:rFonts w:hint="eastAsia"/>
              </w:rPr>
              <w:t xml:space="preserve">0.60% </w:t>
            </w:r>
          </w:p>
        </w:tc>
        <w:tc>
          <w:tcPr>
            <w:tcW w:w="1626" w:type="pct"/>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pct"/>
            <w:shd w:val="clear" w:color="auto" w:fill="auto"/>
          </w:tcPr>
          <w:p>
            <w:pPr>
              <w:pStyle w:val="7"/>
            </w:pPr>
            <w:r>
              <w:rPr>
                <w:rFonts w:hint="eastAsia"/>
              </w:rPr>
              <w:t xml:space="preserve">M≥500万元 </w:t>
            </w:r>
          </w:p>
        </w:tc>
        <w:tc>
          <w:tcPr>
            <w:tcW w:w="1669" w:type="pct"/>
            <w:shd w:val="clear" w:color="auto" w:fill="auto"/>
          </w:tcPr>
          <w:p>
            <w:pPr>
              <w:pStyle w:val="7"/>
            </w:pPr>
            <w:r>
              <w:rPr>
                <w:rFonts w:hint="eastAsia"/>
              </w:rPr>
              <w:t xml:space="preserve">1000元/笔 </w:t>
            </w:r>
          </w:p>
        </w:tc>
        <w:tc>
          <w:tcPr>
            <w:tcW w:w="1626" w:type="pct"/>
            <w:vMerge w:val="continue"/>
            <w:shd w:val="clear" w:color="auto" w:fill="auto"/>
          </w:tcPr>
          <w:p>
            <w:pPr>
              <w:rPr>
                <w:rFonts w:ascii="宋体" w:hAnsi="宋体" w:eastAsia="宋体" w:cs="宋体"/>
                <w:sz w:val="24"/>
                <w:szCs w:val="24"/>
              </w:rPr>
            </w:pPr>
          </w:p>
        </w:tc>
      </w:tr>
    </w:tbl>
    <w:p>
      <w:pPr>
        <w:pStyle w:val="7"/>
        <w:spacing w:before="0" w:beforeAutospacing="0" w:after="0" w:afterAutospacing="0" w:line="360" w:lineRule="auto"/>
        <w:ind w:firstLine="420"/>
        <w:rPr>
          <w:sz w:val="21"/>
          <w:szCs w:val="21"/>
        </w:rPr>
      </w:pPr>
      <w:r>
        <w:rPr>
          <w:rFonts w:hint="eastAsia"/>
          <w:sz w:val="21"/>
          <w:szCs w:val="21"/>
        </w:rPr>
        <w:t xml:space="preserve">本基金的申购费用由申购人承担，不列入基金资产，用于基金的市场推广、销售、登记等各项费用。 </w:t>
      </w:r>
    </w:p>
    <w:p>
      <w:pPr>
        <w:pStyle w:val="7"/>
        <w:spacing w:before="0" w:beforeAutospacing="0" w:after="0" w:afterAutospacing="0" w:line="360" w:lineRule="auto"/>
        <w:ind w:firstLine="420"/>
        <w:rPr>
          <w:sz w:val="21"/>
          <w:szCs w:val="21"/>
        </w:rPr>
      </w:pPr>
      <w:r>
        <w:rPr>
          <w:rFonts w:hint="eastAsia"/>
          <w:sz w:val="21"/>
          <w:szCs w:val="21"/>
        </w:rPr>
        <w:t xml:space="preserve">2、赎回费用 </w:t>
      </w:r>
    </w:p>
    <w:p>
      <w:pPr>
        <w:pStyle w:val="7"/>
        <w:spacing w:before="0" w:beforeAutospacing="0" w:after="0" w:afterAutospacing="0" w:line="360" w:lineRule="auto"/>
        <w:ind w:firstLine="420"/>
        <w:rPr>
          <w:sz w:val="21"/>
          <w:szCs w:val="21"/>
        </w:rPr>
      </w:pPr>
      <w:r>
        <w:rPr>
          <w:rFonts w:hint="eastAsia"/>
          <w:sz w:val="21"/>
          <w:szCs w:val="21"/>
        </w:rPr>
        <w:t xml:space="preserve">本基金的A类基金份额、C类基金份额的赎回费率按基金份额持有期限递减，费率如下：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99"/>
        <w:gridCol w:w="2759"/>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1" w:type="pct"/>
            <w:shd w:val="clear" w:color="auto" w:fill="auto"/>
          </w:tcPr>
          <w:p>
            <w:pPr>
              <w:pStyle w:val="7"/>
            </w:pPr>
            <w:r>
              <w:rPr>
                <w:rFonts w:hint="eastAsia"/>
              </w:rPr>
              <w:t xml:space="preserve">持有基金份额期限（Y） </w:t>
            </w:r>
          </w:p>
        </w:tc>
        <w:tc>
          <w:tcPr>
            <w:tcW w:w="1620" w:type="pct"/>
            <w:shd w:val="clear" w:color="auto" w:fill="auto"/>
          </w:tcPr>
          <w:p>
            <w:pPr>
              <w:pStyle w:val="7"/>
            </w:pPr>
            <w:r>
              <w:rPr>
                <w:rFonts w:hint="eastAsia"/>
              </w:rPr>
              <w:t xml:space="preserve">A类基金份额赎回费率 </w:t>
            </w:r>
          </w:p>
        </w:tc>
        <w:tc>
          <w:tcPr>
            <w:tcW w:w="1620" w:type="pct"/>
            <w:shd w:val="clear" w:color="auto" w:fill="auto"/>
          </w:tcPr>
          <w:p>
            <w:pPr>
              <w:pStyle w:val="7"/>
            </w:pPr>
            <w:r>
              <w:rPr>
                <w:rFonts w:hint="eastAsia"/>
              </w:rPr>
              <w:t xml:space="preserve">C类基金份额赎回费率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1" w:type="pct"/>
            <w:shd w:val="clear" w:color="auto" w:fill="auto"/>
          </w:tcPr>
          <w:p>
            <w:pPr>
              <w:pStyle w:val="7"/>
            </w:pPr>
            <w:r>
              <w:rPr>
                <w:rFonts w:hint="eastAsia"/>
              </w:rPr>
              <w:t xml:space="preserve">Y &lt; 7日 </w:t>
            </w:r>
          </w:p>
        </w:tc>
        <w:tc>
          <w:tcPr>
            <w:tcW w:w="1620" w:type="pct"/>
            <w:shd w:val="clear" w:color="auto" w:fill="auto"/>
          </w:tcPr>
          <w:p>
            <w:pPr>
              <w:pStyle w:val="7"/>
            </w:pPr>
            <w:r>
              <w:rPr>
                <w:rFonts w:hint="eastAsia"/>
              </w:rPr>
              <w:t xml:space="preserve">1.5% </w:t>
            </w:r>
          </w:p>
        </w:tc>
        <w:tc>
          <w:tcPr>
            <w:tcW w:w="1620" w:type="pct"/>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1" w:type="pct"/>
            <w:shd w:val="clear" w:color="auto" w:fill="auto"/>
          </w:tcPr>
          <w:p>
            <w:pPr>
              <w:pStyle w:val="7"/>
            </w:pPr>
            <w:r>
              <w:rPr>
                <w:rFonts w:hint="eastAsia"/>
              </w:rPr>
              <w:t xml:space="preserve">7日≤ Y &lt; 30日 </w:t>
            </w:r>
          </w:p>
        </w:tc>
        <w:tc>
          <w:tcPr>
            <w:tcW w:w="1620" w:type="pct"/>
            <w:shd w:val="clear" w:color="auto" w:fill="auto"/>
          </w:tcPr>
          <w:p>
            <w:pPr>
              <w:pStyle w:val="7"/>
            </w:pPr>
            <w:r>
              <w:rPr>
                <w:rFonts w:hint="eastAsia"/>
              </w:rPr>
              <w:t xml:space="preserve">0.75% </w:t>
            </w:r>
          </w:p>
        </w:tc>
        <w:tc>
          <w:tcPr>
            <w:tcW w:w="1620" w:type="pct"/>
            <w:shd w:val="clear" w:color="auto" w:fill="auto"/>
          </w:tcPr>
          <w:p>
            <w:pPr>
              <w:pStyle w:val="7"/>
            </w:pPr>
            <w:r>
              <w:rPr>
                <w:rFonts w:hint="eastAsia"/>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1" w:type="pct"/>
            <w:shd w:val="clear" w:color="auto" w:fill="auto"/>
          </w:tcPr>
          <w:p>
            <w:pPr>
              <w:pStyle w:val="7"/>
            </w:pPr>
            <w:r>
              <w:rPr>
                <w:rFonts w:hint="eastAsia"/>
              </w:rPr>
              <w:t xml:space="preserve">30日≤ Y &lt; 6个月 </w:t>
            </w:r>
          </w:p>
        </w:tc>
        <w:tc>
          <w:tcPr>
            <w:tcW w:w="1620" w:type="pct"/>
            <w:shd w:val="clear" w:color="auto" w:fill="auto"/>
          </w:tcPr>
          <w:p>
            <w:pPr>
              <w:pStyle w:val="7"/>
            </w:pPr>
            <w:r>
              <w:rPr>
                <w:rFonts w:hint="eastAsia"/>
              </w:rPr>
              <w:t xml:space="preserve">0.5% </w:t>
            </w:r>
          </w:p>
        </w:tc>
        <w:tc>
          <w:tcPr>
            <w:tcW w:w="1620" w:type="pct"/>
            <w:shd w:val="clear" w:color="auto" w:fill="auto"/>
          </w:tcPr>
          <w:p>
            <w:pPr>
              <w:pStyle w:val="7"/>
            </w:pPr>
            <w:r>
              <w:rPr>
                <w:rFonts w:hint="eastAsia"/>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1" w:type="pct"/>
            <w:shd w:val="clear" w:color="auto" w:fill="auto"/>
          </w:tcPr>
          <w:p>
            <w:pPr>
              <w:pStyle w:val="7"/>
            </w:pPr>
            <w:r>
              <w:rPr>
                <w:rFonts w:hint="eastAsia"/>
              </w:rPr>
              <w:t xml:space="preserve">Y ≥6个月 </w:t>
            </w:r>
          </w:p>
        </w:tc>
        <w:tc>
          <w:tcPr>
            <w:tcW w:w="1620" w:type="pct"/>
            <w:shd w:val="clear" w:color="auto" w:fill="auto"/>
          </w:tcPr>
          <w:p>
            <w:pPr>
              <w:pStyle w:val="7"/>
            </w:pPr>
            <w:r>
              <w:rPr>
                <w:rFonts w:hint="eastAsia"/>
              </w:rPr>
              <w:t xml:space="preserve">0% </w:t>
            </w:r>
          </w:p>
        </w:tc>
        <w:tc>
          <w:tcPr>
            <w:tcW w:w="1620" w:type="pct"/>
            <w:shd w:val="clear" w:color="auto" w:fill="auto"/>
          </w:tcPr>
          <w:p>
            <w:pPr>
              <w:pStyle w:val="7"/>
            </w:pPr>
            <w:r>
              <w:rPr>
                <w:rFonts w:hint="eastAsia"/>
              </w:rPr>
              <w:t xml:space="preserve">0 </w:t>
            </w:r>
          </w:p>
        </w:tc>
      </w:tr>
    </w:tbl>
    <w:p>
      <w:pPr>
        <w:pStyle w:val="7"/>
        <w:spacing w:before="0" w:beforeAutospacing="0" w:after="0" w:afterAutospacing="0" w:line="360" w:lineRule="auto"/>
        <w:ind w:firstLine="420"/>
        <w:rPr>
          <w:sz w:val="21"/>
          <w:szCs w:val="21"/>
        </w:rPr>
      </w:pPr>
      <w:r>
        <w:rPr>
          <w:rFonts w:hint="eastAsia"/>
          <w:sz w:val="21"/>
          <w:szCs w:val="21"/>
        </w:rPr>
        <w:t xml:space="preserve">（注：一月指30日） </w:t>
      </w:r>
    </w:p>
    <w:p>
      <w:pPr>
        <w:pStyle w:val="7"/>
        <w:spacing w:before="0" w:beforeAutospacing="0" w:after="0" w:afterAutospacing="0" w:line="360" w:lineRule="auto"/>
        <w:ind w:firstLine="420"/>
        <w:rPr>
          <w:sz w:val="21"/>
          <w:szCs w:val="21"/>
        </w:rPr>
      </w:pPr>
      <w:r>
        <w:rPr>
          <w:rFonts w:hint="eastAsia"/>
          <w:sz w:val="21"/>
          <w:szCs w:val="21"/>
        </w:rPr>
        <w:t xml:space="preserve">赎回费用由赎回基金份额的基金份额持有人承担，在基金份额持有人赎回基金份额时收取。 </w:t>
      </w:r>
    </w:p>
    <w:p>
      <w:pPr>
        <w:pStyle w:val="7"/>
        <w:spacing w:before="0" w:beforeAutospacing="0" w:after="0" w:afterAutospacing="0" w:line="360" w:lineRule="auto"/>
        <w:ind w:firstLine="420"/>
        <w:rPr>
          <w:sz w:val="21"/>
          <w:szCs w:val="21"/>
        </w:rPr>
      </w:pPr>
      <w:r>
        <w:rPr>
          <w:rFonts w:hint="eastAsia"/>
          <w:sz w:val="21"/>
          <w:szCs w:val="21"/>
        </w:rPr>
        <w:t xml:space="preserve">对持续持有期少于30日的A类基金份额投资人收取的赎回费全额计入基金财产；对持续持有期30 日（含）且少于90日（不含）的A类基金份额持有人所收取赎回费用总额的75%计入基金财产；对持有期在90日以上（含）且少于180日（不含）的A类基金份额持有人所收取赎回费用总额的50%计入基金财产；对于持续持有C类基金份额少于30日的投资人收取的赎回费全额计入基金财产。 </w:t>
      </w:r>
    </w:p>
    <w:p>
      <w:pPr>
        <w:pStyle w:val="7"/>
        <w:spacing w:before="0" w:beforeAutospacing="0" w:after="0" w:afterAutospacing="0" w:line="360" w:lineRule="auto"/>
        <w:ind w:firstLine="420"/>
        <w:rPr>
          <w:sz w:val="21"/>
          <w:szCs w:val="21"/>
        </w:rPr>
      </w:pPr>
      <w:r>
        <w:rPr>
          <w:rFonts w:hint="eastAsia"/>
          <w:sz w:val="21"/>
          <w:szCs w:val="21"/>
        </w:rPr>
        <w:t xml:space="preserve">如法律法规对赎回费的强制性规定发生变动，本基金将依新法规进行修改，不需召开基金份额持有人大会。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3、基金管理人可以在基金合同约定的范围内调整费率或收费方式，并最迟应于新的费率或收费方式实施日前依照《信息披露办法》的有关规定在指定媒介上公告。 </w:t>
      </w:r>
    </w:p>
    <w:p>
      <w:pPr>
        <w:pStyle w:val="7"/>
        <w:spacing w:before="0" w:beforeAutospacing="0" w:after="0" w:afterAutospacing="0" w:line="360" w:lineRule="auto"/>
        <w:ind w:firstLine="420"/>
        <w:rPr>
          <w:sz w:val="21"/>
          <w:szCs w:val="21"/>
        </w:rPr>
      </w:pPr>
      <w:r>
        <w:rPr>
          <w:rFonts w:hint="eastAsia"/>
          <w:sz w:val="21"/>
          <w:szCs w:val="21"/>
        </w:rPr>
        <w:t xml:space="preserve">4、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 </w:t>
      </w:r>
    </w:p>
    <w:p>
      <w:pPr>
        <w:pStyle w:val="7"/>
        <w:spacing w:before="0" w:beforeAutospacing="0" w:after="0" w:afterAutospacing="0" w:line="360" w:lineRule="auto"/>
        <w:ind w:firstLine="420"/>
        <w:rPr>
          <w:sz w:val="21"/>
          <w:szCs w:val="21"/>
        </w:rPr>
      </w:pPr>
      <w:r>
        <w:rPr>
          <w:rStyle w:val="11"/>
          <w:rFonts w:hint="eastAsia"/>
          <w:sz w:val="21"/>
          <w:szCs w:val="21"/>
        </w:rPr>
        <w:t>七、A类基金份额与C类基金份额的申购份额与赎回金额的计算方式</w:t>
      </w:r>
    </w:p>
    <w:p>
      <w:pPr>
        <w:pStyle w:val="7"/>
        <w:spacing w:before="0" w:beforeAutospacing="0" w:after="0" w:afterAutospacing="0" w:line="360" w:lineRule="auto"/>
        <w:ind w:firstLine="420"/>
        <w:rPr>
          <w:sz w:val="21"/>
          <w:szCs w:val="21"/>
        </w:rPr>
      </w:pPr>
      <w:r>
        <w:rPr>
          <w:rFonts w:hint="eastAsia"/>
          <w:sz w:val="21"/>
          <w:szCs w:val="21"/>
        </w:rPr>
        <w:t xml:space="preserve">1、申购份额的计算方式： </w:t>
      </w:r>
    </w:p>
    <w:p>
      <w:pPr>
        <w:pStyle w:val="7"/>
        <w:spacing w:before="0" w:beforeAutospacing="0" w:after="0" w:afterAutospacing="0" w:line="360" w:lineRule="auto"/>
        <w:ind w:firstLine="420"/>
        <w:rPr>
          <w:sz w:val="21"/>
          <w:szCs w:val="21"/>
        </w:rPr>
      </w:pPr>
      <w:r>
        <w:rPr>
          <w:rFonts w:hint="eastAsia"/>
          <w:sz w:val="21"/>
          <w:szCs w:val="21"/>
        </w:rPr>
        <w:t xml:space="preserve">（1）当申购费适用比例费率时，申购份额的计算公式如下：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净申购金额=申购金额/（1+申购费率） </w:t>
      </w:r>
    </w:p>
    <w:p>
      <w:pPr>
        <w:pStyle w:val="7"/>
        <w:spacing w:before="0" w:beforeAutospacing="0" w:after="0" w:afterAutospacing="0" w:line="360" w:lineRule="auto"/>
        <w:ind w:firstLine="420"/>
        <w:rPr>
          <w:sz w:val="21"/>
          <w:szCs w:val="21"/>
        </w:rPr>
      </w:pPr>
      <w:r>
        <w:rPr>
          <w:rFonts w:hint="eastAsia"/>
          <w:sz w:val="21"/>
          <w:szCs w:val="21"/>
        </w:rPr>
        <w:t xml:space="preserve">申购费用=申购金额－净申购金额 </w:t>
      </w:r>
    </w:p>
    <w:p>
      <w:pPr>
        <w:pStyle w:val="7"/>
        <w:spacing w:before="0" w:beforeAutospacing="0" w:after="0" w:afterAutospacing="0" w:line="360" w:lineRule="auto"/>
        <w:ind w:firstLine="420"/>
        <w:rPr>
          <w:sz w:val="21"/>
          <w:szCs w:val="21"/>
        </w:rPr>
      </w:pPr>
      <w:r>
        <w:rPr>
          <w:rFonts w:hint="eastAsia"/>
          <w:sz w:val="21"/>
          <w:szCs w:val="21"/>
        </w:rPr>
        <w:t xml:space="preserve">申购份额=净申购金额/T 日该类基金份额净值 </w:t>
      </w:r>
    </w:p>
    <w:p>
      <w:pPr>
        <w:pStyle w:val="7"/>
        <w:spacing w:before="0" w:beforeAutospacing="0" w:after="0" w:afterAutospacing="0" w:line="360" w:lineRule="auto"/>
        <w:ind w:firstLine="420"/>
        <w:rPr>
          <w:sz w:val="21"/>
          <w:szCs w:val="21"/>
        </w:rPr>
      </w:pPr>
      <w:r>
        <w:rPr>
          <w:rFonts w:hint="eastAsia"/>
          <w:sz w:val="21"/>
          <w:szCs w:val="21"/>
        </w:rPr>
        <w:t xml:space="preserve">（2）当申购费用为固定金额时，申购份额的计算方法如下： </w:t>
      </w:r>
    </w:p>
    <w:p>
      <w:pPr>
        <w:pStyle w:val="7"/>
        <w:spacing w:before="0" w:beforeAutospacing="0" w:after="0" w:afterAutospacing="0" w:line="360" w:lineRule="auto"/>
        <w:ind w:firstLine="420"/>
        <w:rPr>
          <w:sz w:val="21"/>
          <w:szCs w:val="21"/>
        </w:rPr>
      </w:pPr>
      <w:r>
        <w:rPr>
          <w:rFonts w:hint="eastAsia"/>
          <w:sz w:val="21"/>
          <w:szCs w:val="21"/>
        </w:rPr>
        <w:t xml:space="preserve">申购费用＝固定费用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净申购金额＝申购金额－申购费用 </w:t>
      </w:r>
    </w:p>
    <w:p>
      <w:pPr>
        <w:pStyle w:val="7"/>
        <w:spacing w:before="0" w:beforeAutospacing="0" w:after="0" w:afterAutospacing="0" w:line="360" w:lineRule="auto"/>
        <w:ind w:firstLine="420"/>
        <w:rPr>
          <w:sz w:val="21"/>
          <w:szCs w:val="21"/>
        </w:rPr>
      </w:pPr>
      <w:r>
        <w:rPr>
          <w:rFonts w:hint="eastAsia"/>
          <w:sz w:val="21"/>
          <w:szCs w:val="21"/>
        </w:rPr>
        <w:t xml:space="preserve">申购份额＝净申购金额/T日该类基金份额净值 </w:t>
      </w:r>
    </w:p>
    <w:p>
      <w:pPr>
        <w:pStyle w:val="7"/>
        <w:spacing w:before="0" w:beforeAutospacing="0" w:after="0" w:afterAutospacing="0" w:line="360" w:lineRule="auto"/>
        <w:ind w:firstLine="420"/>
        <w:rPr>
          <w:sz w:val="21"/>
          <w:szCs w:val="21"/>
        </w:rPr>
      </w:pPr>
      <w:r>
        <w:rPr>
          <w:rFonts w:hint="eastAsia"/>
          <w:sz w:val="21"/>
          <w:szCs w:val="21"/>
        </w:rPr>
        <w:t xml:space="preserve">申购份额的计算结果按照四舍五入方法，保留小数点后两位，由此误差产生的收益或损失由基金财产承担。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例：某投资者投资10,000 元申购本基金A类基金份额，且该申购申请被全额确认，对应的申购费率为1.50%，假定申购当日A类基金份额基金份额净值为1.1500元，则可得到的申购份额为： </w:t>
      </w:r>
    </w:p>
    <w:p>
      <w:pPr>
        <w:pStyle w:val="7"/>
        <w:spacing w:before="0" w:beforeAutospacing="0" w:after="0" w:afterAutospacing="0" w:line="360" w:lineRule="auto"/>
        <w:ind w:firstLine="420"/>
        <w:rPr>
          <w:sz w:val="21"/>
          <w:szCs w:val="21"/>
        </w:rPr>
      </w:pPr>
      <w:r>
        <w:rPr>
          <w:rFonts w:hint="eastAsia"/>
          <w:sz w:val="21"/>
          <w:szCs w:val="21"/>
        </w:rPr>
        <w:t xml:space="preserve">申购金额=10,000 元 </w:t>
      </w:r>
    </w:p>
    <w:p>
      <w:pPr>
        <w:pStyle w:val="7"/>
        <w:spacing w:before="0" w:beforeAutospacing="0" w:after="0" w:afterAutospacing="0" w:line="360" w:lineRule="auto"/>
        <w:ind w:firstLine="420"/>
        <w:rPr>
          <w:sz w:val="21"/>
          <w:szCs w:val="21"/>
        </w:rPr>
      </w:pPr>
      <w:r>
        <w:rPr>
          <w:rFonts w:hint="eastAsia"/>
          <w:sz w:val="21"/>
          <w:szCs w:val="21"/>
        </w:rPr>
        <w:t xml:space="preserve">净申购金额＝10,000/(1+1.50%)＝9,852.22元 </w:t>
      </w:r>
    </w:p>
    <w:p>
      <w:pPr>
        <w:pStyle w:val="7"/>
        <w:spacing w:before="0" w:beforeAutospacing="0" w:after="0" w:afterAutospacing="0" w:line="360" w:lineRule="auto"/>
        <w:ind w:firstLine="420"/>
        <w:rPr>
          <w:sz w:val="21"/>
          <w:szCs w:val="21"/>
        </w:rPr>
      </w:pPr>
      <w:r>
        <w:rPr>
          <w:rFonts w:hint="eastAsia"/>
          <w:sz w:val="21"/>
          <w:szCs w:val="21"/>
        </w:rPr>
        <w:t xml:space="preserve">申购费用＝10,000－9,852.22＝147.78元 </w:t>
      </w:r>
    </w:p>
    <w:p>
      <w:pPr>
        <w:pStyle w:val="7"/>
        <w:spacing w:before="0" w:beforeAutospacing="0" w:after="0" w:afterAutospacing="0" w:line="360" w:lineRule="auto"/>
        <w:ind w:firstLine="420"/>
        <w:rPr>
          <w:sz w:val="21"/>
          <w:szCs w:val="21"/>
        </w:rPr>
      </w:pPr>
      <w:r>
        <w:rPr>
          <w:rFonts w:hint="eastAsia"/>
          <w:sz w:val="21"/>
          <w:szCs w:val="21"/>
        </w:rPr>
        <w:t xml:space="preserve">申购份额＝9,852.22/1.1500=8,567.15份 </w:t>
      </w:r>
    </w:p>
    <w:p>
      <w:pPr>
        <w:pStyle w:val="7"/>
        <w:spacing w:before="0" w:beforeAutospacing="0" w:after="0" w:afterAutospacing="0" w:line="360" w:lineRule="auto"/>
        <w:ind w:firstLine="420"/>
        <w:rPr>
          <w:sz w:val="21"/>
          <w:szCs w:val="21"/>
        </w:rPr>
      </w:pPr>
      <w:r>
        <w:rPr>
          <w:rFonts w:hint="eastAsia"/>
          <w:sz w:val="21"/>
          <w:szCs w:val="21"/>
        </w:rPr>
        <w:t xml:space="preserve">即投资者选择投资10,000 元本金申购本基金A类基金份额，假定申购当日A类基金份额净值为1.1500元，可得到8,567.15份基金份额。 </w:t>
      </w:r>
    </w:p>
    <w:p>
      <w:pPr>
        <w:pStyle w:val="7"/>
        <w:spacing w:before="0" w:beforeAutospacing="0" w:after="0" w:afterAutospacing="0" w:line="360" w:lineRule="auto"/>
        <w:ind w:firstLine="420"/>
        <w:rPr>
          <w:sz w:val="21"/>
          <w:szCs w:val="21"/>
        </w:rPr>
      </w:pPr>
      <w:r>
        <w:rPr>
          <w:rFonts w:hint="eastAsia"/>
          <w:sz w:val="21"/>
          <w:szCs w:val="21"/>
        </w:rPr>
        <w:t xml:space="preserve">2、 赎回金额的计算方式： </w:t>
      </w:r>
    </w:p>
    <w:p>
      <w:pPr>
        <w:pStyle w:val="7"/>
        <w:spacing w:before="0" w:beforeAutospacing="0" w:after="0" w:afterAutospacing="0" w:line="360" w:lineRule="auto"/>
        <w:ind w:firstLine="420"/>
        <w:rPr>
          <w:sz w:val="21"/>
          <w:szCs w:val="21"/>
        </w:rPr>
      </w:pPr>
      <w:r>
        <w:rPr>
          <w:rFonts w:hint="eastAsia"/>
          <w:sz w:val="21"/>
          <w:szCs w:val="21"/>
        </w:rPr>
        <w:t xml:space="preserve">某一类别基金份额赎回金额为按实际确认的有效赎回份额乘以当日某一类别基金份额净值并扣除相应的费用，计算结果保留到小数点后2 位，小数点后第3 位四舍五入，由此产生的收益或损失由基金财产承担。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计算方式为： </w:t>
      </w:r>
    </w:p>
    <w:p>
      <w:pPr>
        <w:pStyle w:val="7"/>
        <w:spacing w:before="0" w:beforeAutospacing="0" w:after="0" w:afterAutospacing="0" w:line="360" w:lineRule="auto"/>
        <w:ind w:firstLine="420"/>
        <w:rPr>
          <w:sz w:val="21"/>
          <w:szCs w:val="21"/>
        </w:rPr>
      </w:pPr>
      <w:r>
        <w:rPr>
          <w:rFonts w:hint="eastAsia"/>
          <w:sz w:val="21"/>
          <w:szCs w:val="21"/>
        </w:rPr>
        <w:t xml:space="preserve">赎回总金额=赎回份额×T 日该类基金份额净值 </w:t>
      </w:r>
    </w:p>
    <w:p>
      <w:pPr>
        <w:pStyle w:val="7"/>
        <w:spacing w:before="0" w:beforeAutospacing="0" w:after="0" w:afterAutospacing="0" w:line="360" w:lineRule="auto"/>
        <w:ind w:firstLine="420"/>
        <w:rPr>
          <w:sz w:val="21"/>
          <w:szCs w:val="21"/>
        </w:rPr>
      </w:pPr>
      <w:r>
        <w:rPr>
          <w:rFonts w:hint="eastAsia"/>
          <w:sz w:val="21"/>
          <w:szCs w:val="21"/>
        </w:rPr>
        <w:t xml:space="preserve">赎回费用=赎回总金额×赎回费率 </w:t>
      </w:r>
    </w:p>
    <w:p>
      <w:pPr>
        <w:pStyle w:val="7"/>
        <w:spacing w:before="0" w:beforeAutospacing="0" w:after="0" w:afterAutospacing="0" w:line="360" w:lineRule="auto"/>
        <w:ind w:firstLine="420"/>
        <w:rPr>
          <w:sz w:val="21"/>
          <w:szCs w:val="21"/>
        </w:rPr>
      </w:pPr>
      <w:r>
        <w:rPr>
          <w:rFonts w:hint="eastAsia"/>
          <w:sz w:val="21"/>
          <w:szCs w:val="21"/>
        </w:rPr>
        <w:t xml:space="preserve">净赎回金额=赎回总金额－赎回费用 </w:t>
      </w:r>
    </w:p>
    <w:p>
      <w:pPr>
        <w:pStyle w:val="7"/>
        <w:spacing w:before="0" w:beforeAutospacing="0" w:after="0" w:afterAutospacing="0" w:line="360" w:lineRule="auto"/>
        <w:ind w:firstLine="420"/>
        <w:rPr>
          <w:sz w:val="21"/>
          <w:szCs w:val="21"/>
        </w:rPr>
      </w:pPr>
      <w:r>
        <w:rPr>
          <w:rFonts w:hint="eastAsia"/>
          <w:sz w:val="21"/>
          <w:szCs w:val="21"/>
        </w:rPr>
        <w:t xml:space="preserve">上述计算结果均按四舍五入方法，保留到小数点后2位，由此产生的收益或损失由基金财产承担。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例：某投资者赎回10,000 份A类基金份额且持有时间大于30 日但不满6个月，赎回费率为0.5%，假设赎回申请当日A类基金份额净值是1.0680 元，则可得到的赎回金额为： </w:t>
      </w:r>
    </w:p>
    <w:p>
      <w:pPr>
        <w:pStyle w:val="7"/>
        <w:spacing w:before="0" w:beforeAutospacing="0" w:after="0" w:afterAutospacing="0" w:line="360" w:lineRule="auto"/>
        <w:ind w:firstLine="420"/>
        <w:rPr>
          <w:sz w:val="21"/>
          <w:szCs w:val="21"/>
        </w:rPr>
      </w:pPr>
      <w:r>
        <w:rPr>
          <w:rFonts w:hint="eastAsia"/>
          <w:sz w:val="21"/>
          <w:szCs w:val="21"/>
        </w:rPr>
        <w:t xml:space="preserve">赎回总额 = 10,000 ×1.0680= 10,680.00 元 </w:t>
      </w:r>
    </w:p>
    <w:p>
      <w:pPr>
        <w:pStyle w:val="7"/>
        <w:spacing w:before="0" w:beforeAutospacing="0" w:after="0" w:afterAutospacing="0" w:line="360" w:lineRule="auto"/>
        <w:ind w:firstLine="420"/>
        <w:rPr>
          <w:sz w:val="21"/>
          <w:szCs w:val="21"/>
        </w:rPr>
      </w:pPr>
      <w:r>
        <w:rPr>
          <w:rFonts w:hint="eastAsia"/>
          <w:sz w:val="21"/>
          <w:szCs w:val="21"/>
        </w:rPr>
        <w:t xml:space="preserve">赎回费用 = 10,680.00 ×0.5% = 53.40 元 </w:t>
      </w:r>
    </w:p>
    <w:p>
      <w:pPr>
        <w:pStyle w:val="7"/>
        <w:spacing w:before="0" w:beforeAutospacing="0" w:after="0" w:afterAutospacing="0" w:line="360" w:lineRule="auto"/>
        <w:ind w:firstLine="420"/>
        <w:rPr>
          <w:sz w:val="21"/>
          <w:szCs w:val="21"/>
        </w:rPr>
      </w:pPr>
      <w:r>
        <w:rPr>
          <w:rFonts w:hint="eastAsia"/>
          <w:sz w:val="21"/>
          <w:szCs w:val="21"/>
        </w:rPr>
        <w:t xml:space="preserve">赎回金额 = 10,680.00 - 53.40 = 10,626.60 元 </w:t>
      </w:r>
    </w:p>
    <w:p>
      <w:pPr>
        <w:pStyle w:val="7"/>
        <w:spacing w:before="0" w:beforeAutospacing="0" w:after="0" w:afterAutospacing="0" w:line="360" w:lineRule="auto"/>
        <w:ind w:firstLine="420"/>
        <w:rPr>
          <w:sz w:val="21"/>
          <w:szCs w:val="21"/>
        </w:rPr>
      </w:pPr>
      <w:r>
        <w:rPr>
          <w:rFonts w:hint="eastAsia"/>
          <w:sz w:val="21"/>
          <w:szCs w:val="21"/>
        </w:rPr>
        <w:t xml:space="preserve">即：投资者赎回 10,000 份A类基金份额且持有时间大于30 日但不满6个月，假设赎回当日A类基金份额的基金份额净值是1.0680 元，则其可得到的赎回金额为10,626.60 元。 </w:t>
      </w:r>
    </w:p>
    <w:p>
      <w:pPr>
        <w:pStyle w:val="7"/>
        <w:spacing w:before="0" w:beforeAutospacing="0" w:after="0" w:afterAutospacing="0" w:line="360" w:lineRule="auto"/>
        <w:ind w:firstLine="420"/>
        <w:rPr>
          <w:sz w:val="21"/>
          <w:szCs w:val="21"/>
        </w:rPr>
      </w:pPr>
      <w:r>
        <w:rPr>
          <w:rFonts w:hint="eastAsia"/>
          <w:sz w:val="21"/>
          <w:szCs w:val="21"/>
        </w:rPr>
        <w:t xml:space="preserve">3、本基金A类基金份额和C类基金份额分别设置代码，分别计算和公告两类基金份额净值和两类基金份额累计净值。本基金两类基金份额净值的计算，保留到小数点后4位，小数点后第5位四舍五入，由此产生的收益或损失由基金财产承担。T日的两类基金份额净值在当天收市后计算，并按照基金合同约定公告。遇特殊情况，经中国证监会同意，可以适当延迟计算或公告。 </w:t>
      </w:r>
    </w:p>
    <w:p>
      <w:pPr>
        <w:pStyle w:val="7"/>
        <w:spacing w:before="0" w:beforeAutospacing="0" w:after="0" w:afterAutospacing="0" w:line="360" w:lineRule="auto"/>
        <w:ind w:firstLine="420"/>
        <w:rPr>
          <w:sz w:val="21"/>
          <w:szCs w:val="21"/>
        </w:rPr>
      </w:pPr>
      <w:r>
        <w:rPr>
          <w:rStyle w:val="11"/>
          <w:rFonts w:hint="eastAsia"/>
          <w:sz w:val="21"/>
          <w:szCs w:val="21"/>
        </w:rPr>
        <w:t>八、申购与赎回的登记业务</w:t>
      </w:r>
    </w:p>
    <w:p>
      <w:pPr>
        <w:pStyle w:val="7"/>
        <w:spacing w:before="0" w:beforeAutospacing="0" w:after="0" w:afterAutospacing="0" w:line="360" w:lineRule="auto"/>
        <w:ind w:firstLine="420"/>
        <w:rPr>
          <w:sz w:val="21"/>
          <w:szCs w:val="21"/>
        </w:rPr>
      </w:pPr>
      <w:r>
        <w:rPr>
          <w:rFonts w:hint="eastAsia"/>
          <w:sz w:val="21"/>
          <w:szCs w:val="21"/>
        </w:rPr>
        <w:t xml:space="preserve">1、投资人申购基金成功后，在正常情况下，基金登记机构在T+1日为投资者登记权益并办理登记手续，投资者自T+2日（含该日）后有权赎回该部分基金份额。 </w:t>
      </w:r>
    </w:p>
    <w:p>
      <w:pPr>
        <w:pStyle w:val="7"/>
        <w:spacing w:before="0" w:beforeAutospacing="0" w:after="0" w:afterAutospacing="0" w:line="360" w:lineRule="auto"/>
        <w:ind w:firstLine="420"/>
        <w:rPr>
          <w:sz w:val="21"/>
          <w:szCs w:val="21"/>
        </w:rPr>
      </w:pPr>
      <w:r>
        <w:rPr>
          <w:rFonts w:hint="eastAsia"/>
          <w:sz w:val="21"/>
          <w:szCs w:val="21"/>
        </w:rPr>
        <w:t xml:space="preserve">2、投资人赎回基金成功后，在正常情况下，基金登记机构在T+1日为投资者办理扣除权益的登记手续。 </w:t>
      </w:r>
    </w:p>
    <w:p>
      <w:pPr>
        <w:pStyle w:val="7"/>
        <w:spacing w:before="0" w:beforeAutospacing="0" w:after="0" w:afterAutospacing="0" w:line="360" w:lineRule="auto"/>
        <w:ind w:firstLine="420"/>
        <w:rPr>
          <w:sz w:val="21"/>
          <w:szCs w:val="21"/>
        </w:rPr>
      </w:pPr>
      <w:r>
        <w:rPr>
          <w:rFonts w:hint="eastAsia"/>
          <w:sz w:val="21"/>
          <w:szCs w:val="21"/>
        </w:rPr>
        <w:t xml:space="preserve">3、基金管理人可以在法律法规允许的范围内，对上述登记办理时间进行调整，但不得实质影响投资者的合法权益，并最迟于开始实施前依照《信息披露办法》的有关规定在指定媒介公告。 </w:t>
      </w:r>
    </w:p>
    <w:p>
      <w:pPr>
        <w:pStyle w:val="7"/>
        <w:spacing w:before="0" w:beforeAutospacing="0" w:after="0" w:afterAutospacing="0" w:line="360" w:lineRule="auto"/>
        <w:ind w:firstLine="420"/>
        <w:rPr>
          <w:sz w:val="21"/>
          <w:szCs w:val="21"/>
        </w:rPr>
      </w:pPr>
      <w:r>
        <w:rPr>
          <w:rStyle w:val="11"/>
          <w:rFonts w:hint="eastAsia"/>
          <w:sz w:val="21"/>
          <w:szCs w:val="21"/>
        </w:rPr>
        <w:t>九、拒绝或暂停申购的情形及处理</w:t>
      </w:r>
    </w:p>
    <w:p>
      <w:pPr>
        <w:pStyle w:val="7"/>
        <w:spacing w:before="0" w:beforeAutospacing="0" w:after="0" w:afterAutospacing="0" w:line="360" w:lineRule="auto"/>
        <w:ind w:firstLine="420"/>
        <w:rPr>
          <w:sz w:val="21"/>
          <w:szCs w:val="21"/>
        </w:rPr>
      </w:pPr>
      <w:r>
        <w:rPr>
          <w:rFonts w:hint="eastAsia"/>
          <w:sz w:val="21"/>
          <w:szCs w:val="21"/>
        </w:rPr>
        <w:t xml:space="preserve">发生下列情况时，基金管理人可拒绝或暂停接受投资人的申购申请：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1、因不可抗力导致基金无法正常运作。 </w:t>
      </w:r>
    </w:p>
    <w:p>
      <w:pPr>
        <w:pStyle w:val="7"/>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2、发生基金合同规定的暂停基金资产估值情况时，基金管理人可暂停接受投资人的申购申请。 </w:t>
      </w:r>
    </w:p>
    <w:p>
      <w:pPr>
        <w:pStyle w:val="7"/>
        <w:spacing w:before="0" w:beforeAutospacing="0" w:after="0" w:afterAutospacing="0" w:line="360" w:lineRule="auto"/>
        <w:ind w:firstLine="420"/>
        <w:rPr>
          <w:sz w:val="21"/>
          <w:szCs w:val="21"/>
        </w:rPr>
      </w:pPr>
      <w:r>
        <w:rPr>
          <w:rFonts w:hint="eastAsia"/>
          <w:sz w:val="21"/>
          <w:szCs w:val="21"/>
        </w:rPr>
        <w:t xml:space="preserve">3、证券、期货交易所交易时间非正常停市，导致基金管理人无法计算当日基金资产净值。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4、基金管理人接受某笔或某些申购申请会损害现有基金份额持有人利益或对存量基金份额持有人利益构成潜在重大不利影响时。 </w:t>
      </w:r>
    </w:p>
    <w:p>
      <w:pPr>
        <w:pStyle w:val="7"/>
        <w:spacing w:before="0" w:beforeAutospacing="0" w:after="0" w:afterAutospacing="0" w:line="360" w:lineRule="auto"/>
        <w:ind w:firstLine="420"/>
        <w:rPr>
          <w:sz w:val="21"/>
          <w:szCs w:val="21"/>
        </w:rPr>
      </w:pPr>
      <w:r>
        <w:rPr>
          <w:rFonts w:hint="eastAsia"/>
          <w:sz w:val="21"/>
          <w:szCs w:val="21"/>
        </w:rPr>
        <w:t xml:space="preserve">5、基金资产规模过大，使基金管理人无法找到合适的投资品种，或其他可能对基金业绩产生负面影响，或发生其他损害现有基金份额持有人利益的情形。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6、基金管理人、基金托管人、销售机构或登记机构的技术故障等异常情况导致基金销售系统、基金注册登记系统或基金会计系统无法正常运行。 </w:t>
      </w:r>
    </w:p>
    <w:p>
      <w:pPr>
        <w:pStyle w:val="7"/>
        <w:spacing w:before="0" w:beforeAutospacing="0" w:after="0" w:afterAutospacing="0" w:line="360" w:lineRule="auto"/>
        <w:ind w:firstLine="420"/>
        <w:rPr>
          <w:sz w:val="21"/>
          <w:szCs w:val="21"/>
        </w:rPr>
      </w:pPr>
      <w:r>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pPr>
        <w:pStyle w:val="7"/>
        <w:spacing w:before="0" w:beforeAutospacing="0" w:after="0" w:afterAutospacing="0" w:line="360" w:lineRule="auto"/>
        <w:ind w:firstLine="420"/>
        <w:rPr>
          <w:sz w:val="21"/>
          <w:szCs w:val="21"/>
        </w:rPr>
      </w:pPr>
      <w:r>
        <w:rPr>
          <w:rFonts w:hint="eastAsia"/>
          <w:sz w:val="21"/>
          <w:szCs w:val="21"/>
        </w:rPr>
        <w:t xml:space="preserve">8、基金管理人接受某笔或者某些申购申请有可能导致单一投资者持有基金份额的比例达到或者超过50％，或者变相规避50％集中度的情形时。 </w:t>
      </w:r>
    </w:p>
    <w:p>
      <w:pPr>
        <w:pStyle w:val="7"/>
        <w:spacing w:before="0" w:beforeAutospacing="0" w:after="0" w:afterAutospacing="0" w:line="360" w:lineRule="auto"/>
        <w:ind w:firstLine="420"/>
        <w:rPr>
          <w:sz w:val="21"/>
          <w:szCs w:val="21"/>
        </w:rPr>
      </w:pPr>
      <w:r>
        <w:rPr>
          <w:rFonts w:hint="eastAsia"/>
          <w:sz w:val="21"/>
          <w:szCs w:val="21"/>
        </w:rPr>
        <w:t xml:space="preserve">9、法律法规规定或中国证监会认定的其他情形。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第1、2、3、5、6、7、9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 </w:t>
      </w:r>
    </w:p>
    <w:p>
      <w:pPr>
        <w:pStyle w:val="7"/>
        <w:spacing w:before="0" w:beforeAutospacing="0" w:after="0" w:afterAutospacing="0" w:line="360" w:lineRule="auto"/>
        <w:ind w:firstLine="420"/>
        <w:rPr>
          <w:sz w:val="21"/>
          <w:szCs w:val="21"/>
        </w:rPr>
      </w:pPr>
      <w:r>
        <w:rPr>
          <w:rStyle w:val="11"/>
          <w:rFonts w:hint="eastAsia"/>
          <w:sz w:val="21"/>
          <w:szCs w:val="21"/>
        </w:rPr>
        <w:t>十、暂停赎回或延缓支付赎回款项的情形及处理</w:t>
      </w:r>
    </w:p>
    <w:p>
      <w:pPr>
        <w:pStyle w:val="7"/>
        <w:spacing w:before="0" w:beforeAutospacing="0" w:after="0" w:afterAutospacing="0" w:line="360" w:lineRule="auto"/>
        <w:ind w:firstLine="420"/>
        <w:rPr>
          <w:sz w:val="21"/>
          <w:szCs w:val="21"/>
        </w:rPr>
      </w:pPr>
      <w:r>
        <w:rPr>
          <w:rFonts w:hint="eastAsia"/>
          <w:sz w:val="21"/>
          <w:szCs w:val="21"/>
        </w:rPr>
        <w:t xml:space="preserve">发生下列情形时，基金管理人可暂停接受投资人的赎回申请或延缓支付赎回款项：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1、因不可抗力导致基金管理人不能支付赎回款项。 </w:t>
      </w:r>
    </w:p>
    <w:p>
      <w:pPr>
        <w:pStyle w:val="7"/>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2、发生基金合同规定的暂停基金资产估值情况时，基金管理人可暂停接受投资人的赎回申请或延缓支付赎回款项。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3、证券、期货交易所交易时间非正常停市，导致基金管理人无法计算当日基金资产净值。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4、连续两个或两个以上开放日发生巨额赎回。 </w:t>
      </w:r>
    </w:p>
    <w:p>
      <w:pPr>
        <w:pStyle w:val="7"/>
        <w:spacing w:before="0" w:beforeAutospacing="0" w:after="0" w:afterAutospacing="0" w:line="360" w:lineRule="auto"/>
        <w:ind w:firstLine="420"/>
        <w:rPr>
          <w:sz w:val="21"/>
          <w:szCs w:val="21"/>
        </w:rPr>
      </w:pPr>
      <w:r>
        <w:rPr>
          <w:rFonts w:hint="eastAsia"/>
          <w:sz w:val="21"/>
          <w:szCs w:val="21"/>
        </w:rPr>
        <w:t xml:space="preserve">5、继续接受赎回申请将损害现有基金份额持有人利益的情形时，基金管理人可暂停接受投资人的赎回申请。 </w:t>
      </w:r>
    </w:p>
    <w:p>
      <w:pPr>
        <w:pStyle w:val="7"/>
        <w:spacing w:before="0" w:beforeAutospacing="0" w:after="0" w:afterAutospacing="0" w:line="360" w:lineRule="auto"/>
        <w:ind w:firstLine="420"/>
        <w:rPr>
          <w:sz w:val="21"/>
          <w:szCs w:val="21"/>
        </w:rPr>
      </w:pPr>
      <w:r>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pPr>
        <w:pStyle w:val="7"/>
        <w:spacing w:before="0" w:beforeAutospacing="0" w:after="0" w:afterAutospacing="0" w:line="360" w:lineRule="auto"/>
        <w:ind w:firstLine="420"/>
        <w:rPr>
          <w:sz w:val="21"/>
          <w:szCs w:val="21"/>
        </w:rPr>
      </w:pPr>
      <w:r>
        <w:rPr>
          <w:rFonts w:hint="eastAsia"/>
          <w:sz w:val="21"/>
          <w:szCs w:val="21"/>
        </w:rPr>
        <w:t xml:space="preserve">7、法律法规规定或中国证监会认定的其他情形。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情形之一且基金管理人决定拒绝接受或暂停接受基金份额持有人的赎回申请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pPr>
        <w:pStyle w:val="7"/>
        <w:spacing w:before="0" w:beforeAutospacing="0" w:after="0" w:afterAutospacing="0" w:line="360" w:lineRule="auto"/>
        <w:ind w:firstLine="420"/>
        <w:rPr>
          <w:sz w:val="21"/>
          <w:szCs w:val="21"/>
        </w:rPr>
      </w:pPr>
      <w:r>
        <w:rPr>
          <w:rStyle w:val="11"/>
          <w:rFonts w:hint="eastAsia"/>
          <w:sz w:val="21"/>
          <w:szCs w:val="21"/>
        </w:rPr>
        <w:t>十一、巨额赎回的情形及处理方式</w:t>
      </w:r>
    </w:p>
    <w:p>
      <w:pPr>
        <w:pStyle w:val="7"/>
        <w:spacing w:before="0" w:beforeAutospacing="0" w:after="0" w:afterAutospacing="0" w:line="360" w:lineRule="auto"/>
        <w:ind w:firstLine="420"/>
        <w:rPr>
          <w:sz w:val="21"/>
          <w:szCs w:val="21"/>
        </w:rPr>
      </w:pPr>
      <w:r>
        <w:rPr>
          <w:rFonts w:hint="eastAsia"/>
          <w:sz w:val="21"/>
          <w:szCs w:val="21"/>
        </w:rPr>
        <w:t xml:space="preserve">1、巨额赎回的认定 </w:t>
      </w:r>
    </w:p>
    <w:p>
      <w:pPr>
        <w:pStyle w:val="7"/>
        <w:spacing w:before="0" w:beforeAutospacing="0" w:after="0" w:afterAutospacing="0" w:line="360" w:lineRule="auto"/>
        <w:ind w:firstLine="420"/>
        <w:rPr>
          <w:sz w:val="21"/>
          <w:szCs w:val="21"/>
        </w:rPr>
      </w:pPr>
      <w:r>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0" w:name="field_49_mintredeemscale_2"/>
      <w:r>
        <w:rPr>
          <w:sz w:val="21"/>
          <w:szCs w:val="21"/>
        </w:rPr>
        <w:t>10</w:t>
      </w:r>
      <w:bookmarkEnd w:id="100"/>
      <w:r>
        <w:rPr>
          <w:rFonts w:hint="eastAsia"/>
          <w:sz w:val="21"/>
          <w:szCs w:val="21"/>
        </w:rPr>
        <w:t xml:space="preserve">%，即认为是发生了巨额赎回。 </w:t>
      </w:r>
    </w:p>
    <w:p>
      <w:pPr>
        <w:pStyle w:val="7"/>
        <w:spacing w:before="0" w:beforeAutospacing="0" w:after="0" w:afterAutospacing="0" w:line="360" w:lineRule="auto"/>
        <w:ind w:firstLine="420"/>
        <w:rPr>
          <w:sz w:val="21"/>
          <w:szCs w:val="21"/>
        </w:rPr>
      </w:pPr>
      <w:r>
        <w:rPr>
          <w:rFonts w:hint="eastAsia"/>
          <w:sz w:val="21"/>
          <w:szCs w:val="21"/>
        </w:rPr>
        <w:t xml:space="preserve">2、巨额赎回的处理方式 </w:t>
      </w:r>
    </w:p>
    <w:p>
      <w:pPr>
        <w:pStyle w:val="7"/>
        <w:spacing w:before="0" w:beforeAutospacing="0" w:after="0" w:afterAutospacing="0" w:line="360" w:lineRule="auto"/>
        <w:ind w:firstLine="420"/>
        <w:rPr>
          <w:sz w:val="21"/>
          <w:szCs w:val="21"/>
        </w:rPr>
      </w:pPr>
      <w:r>
        <w:rPr>
          <w:rFonts w:hint="eastAsia"/>
          <w:sz w:val="21"/>
          <w:szCs w:val="21"/>
        </w:rPr>
        <w:t xml:space="preserve">当基金出现巨额赎回时，基金管理人可以根据基金当时的资产组合状况决定全额赎回或部分延期赎回。 </w:t>
      </w:r>
    </w:p>
    <w:p>
      <w:pPr>
        <w:pStyle w:val="7"/>
        <w:spacing w:before="0" w:beforeAutospacing="0" w:after="0" w:afterAutospacing="0" w:line="360" w:lineRule="auto"/>
        <w:ind w:firstLine="420"/>
        <w:rPr>
          <w:sz w:val="21"/>
          <w:szCs w:val="21"/>
        </w:rPr>
      </w:pPr>
      <w:r>
        <w:rPr>
          <w:rFonts w:hint="eastAsia"/>
          <w:sz w:val="21"/>
          <w:szCs w:val="21"/>
        </w:rPr>
        <w:t xml:space="preserve">（1）全额赎回：当基金管理人认为有能力支付投资人的全部赎回申请时，按正常赎回程序执行。 </w:t>
      </w:r>
    </w:p>
    <w:p>
      <w:pPr>
        <w:pStyle w:val="7"/>
        <w:spacing w:before="0" w:beforeAutospacing="0" w:after="0" w:afterAutospacing="0" w:line="360" w:lineRule="auto"/>
        <w:ind w:firstLine="420"/>
        <w:rPr>
          <w:sz w:val="21"/>
          <w:szCs w:val="21"/>
        </w:rPr>
      </w:pPr>
      <w:r>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bookmarkStart w:id="101" w:name="field_49_mintredeemscale_3"/>
      <w:r>
        <w:rPr>
          <w:sz w:val="21"/>
          <w:szCs w:val="21"/>
        </w:rPr>
        <w:t>10</w:t>
      </w:r>
      <w:bookmarkEnd w:id="101"/>
      <w:r>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某一类别的基金份额净值为基础计算赎回金额，以此类推，直到全部赎回为止。如投资人在提交赎回申请时未作明确选择，投资人未能赎回部分作自动延期赎回处理。 </w:t>
      </w:r>
    </w:p>
    <w:p>
      <w:pPr>
        <w:pStyle w:val="7"/>
        <w:spacing w:before="0" w:beforeAutospacing="0" w:after="0" w:afterAutospacing="0" w:line="360" w:lineRule="auto"/>
        <w:ind w:firstLine="420"/>
        <w:rPr>
          <w:sz w:val="21"/>
          <w:szCs w:val="21"/>
        </w:rPr>
      </w:pPr>
      <w:r>
        <w:rPr>
          <w:rFonts w:hint="eastAsia"/>
          <w:sz w:val="21"/>
          <w:szCs w:val="21"/>
        </w:rPr>
        <w:t>（3）本基金发生巨额赎回时，对于单个基金份额持有人当日赎回申请超过上一开放日基金总份额</w:t>
      </w:r>
      <w:bookmarkStart w:id="102" w:name="field_49_mintredeemscale_4"/>
      <w:r>
        <w:rPr>
          <w:sz w:val="21"/>
          <w:szCs w:val="21"/>
        </w:rPr>
        <w:t>10</w:t>
      </w:r>
      <w:bookmarkEnd w:id="102"/>
      <w:r>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某一类别的基金份额净值为基础计算赎回金额，以此类推，直到全部赎回为止）；对于该基金份额持有人申请赎回的份额中未超过上一开放日基金总份额</w:t>
      </w:r>
      <w:bookmarkStart w:id="103" w:name="field_49_mintredeemscale_5"/>
      <w:r>
        <w:rPr>
          <w:sz w:val="21"/>
          <w:szCs w:val="21"/>
        </w:rPr>
        <w:t>10</w:t>
      </w:r>
      <w:bookmarkEnd w:id="103"/>
      <w:r>
        <w:rPr>
          <w:rFonts w:hint="eastAsia"/>
          <w:sz w:val="21"/>
          <w:szCs w:val="21"/>
        </w:rPr>
        <w:t xml:space="preserve">％的部分，基金管理人根据前段“（1）全额赎回”或“（2）部分延期赎回”的约定方式与其他基金份额持有人的赎回申请一并办理。但是，如该持有人在提交赎回申请时选择取消赎回，则其当日未获受理的部分赎回申请将被撤销。 </w:t>
      </w:r>
    </w:p>
    <w:p>
      <w:pPr>
        <w:pStyle w:val="7"/>
        <w:spacing w:before="0" w:beforeAutospacing="0" w:after="0" w:afterAutospacing="0" w:line="360" w:lineRule="auto"/>
        <w:ind w:firstLine="420"/>
        <w:rPr>
          <w:sz w:val="21"/>
          <w:szCs w:val="21"/>
        </w:rPr>
      </w:pPr>
      <w:r>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在指定媒介上进行公告。 </w:t>
      </w:r>
    </w:p>
    <w:p>
      <w:pPr>
        <w:pStyle w:val="7"/>
        <w:spacing w:before="0" w:beforeAutospacing="0" w:after="0" w:afterAutospacing="0" w:line="360" w:lineRule="auto"/>
        <w:ind w:firstLine="420"/>
        <w:rPr>
          <w:sz w:val="21"/>
          <w:szCs w:val="21"/>
        </w:rPr>
      </w:pPr>
      <w:r>
        <w:rPr>
          <w:rFonts w:hint="eastAsia"/>
          <w:sz w:val="21"/>
          <w:szCs w:val="21"/>
        </w:rPr>
        <w:t xml:space="preserve">3、巨额赎回的公告 </w:t>
      </w:r>
    </w:p>
    <w:p>
      <w:pPr>
        <w:pStyle w:val="7"/>
        <w:spacing w:before="0" w:beforeAutospacing="0" w:after="0" w:afterAutospacing="0" w:line="360" w:lineRule="auto"/>
        <w:ind w:firstLine="420"/>
        <w:rPr>
          <w:sz w:val="21"/>
          <w:szCs w:val="21"/>
        </w:rPr>
      </w:pPr>
      <w:r>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当发生上述巨额赎回并延期办理时，基金管理人应当通过邮寄、传真或者招募说明书规定的其他方式在3个交易日内通知基金份额持有人，说明有关处理方法，并在2日内在指定媒介上刊登公告。 </w:t>
      </w:r>
    </w:p>
    <w:p>
      <w:pPr>
        <w:pStyle w:val="7"/>
        <w:spacing w:before="0" w:beforeAutospacing="0" w:after="0" w:afterAutospacing="0" w:line="360" w:lineRule="auto"/>
        <w:ind w:firstLine="420"/>
        <w:rPr>
          <w:sz w:val="21"/>
          <w:szCs w:val="21"/>
        </w:rPr>
      </w:pPr>
      <w:r>
        <w:rPr>
          <w:rStyle w:val="11"/>
          <w:rFonts w:hint="eastAsia"/>
          <w:sz w:val="21"/>
          <w:szCs w:val="21"/>
        </w:rPr>
        <w:t>十二、暂停申购或赎回的公告和重新开放申购或赎回的公告</w:t>
      </w:r>
    </w:p>
    <w:p>
      <w:pPr>
        <w:pStyle w:val="7"/>
        <w:spacing w:before="0" w:beforeAutospacing="0" w:after="0" w:afterAutospacing="0" w:line="360" w:lineRule="auto"/>
        <w:ind w:firstLine="420"/>
        <w:rPr>
          <w:sz w:val="21"/>
          <w:szCs w:val="21"/>
        </w:rPr>
      </w:pPr>
      <w:r>
        <w:rPr>
          <w:rFonts w:hint="eastAsia"/>
          <w:sz w:val="21"/>
          <w:szCs w:val="21"/>
        </w:rPr>
        <w:t xml:space="preserve">1、发生上述暂停申购或赎回情况的，基金管理人应在规定期限内在指定媒介上刊登暂停公告。 </w:t>
      </w:r>
    </w:p>
    <w:p>
      <w:pPr>
        <w:pStyle w:val="7"/>
        <w:spacing w:before="0" w:beforeAutospacing="0" w:after="0" w:afterAutospacing="0" w:line="360" w:lineRule="auto"/>
        <w:ind w:firstLine="420"/>
        <w:rPr>
          <w:sz w:val="21"/>
          <w:szCs w:val="21"/>
        </w:rPr>
      </w:pPr>
      <w:r>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pPr>
        <w:pStyle w:val="7"/>
        <w:spacing w:before="0" w:beforeAutospacing="0" w:after="0" w:afterAutospacing="0" w:line="360" w:lineRule="auto"/>
        <w:ind w:firstLine="420"/>
        <w:rPr>
          <w:sz w:val="21"/>
          <w:szCs w:val="21"/>
        </w:rPr>
      </w:pPr>
      <w:r>
        <w:rPr>
          <w:rFonts w:hint="eastAsia"/>
          <w:sz w:val="21"/>
          <w:szCs w:val="21"/>
        </w:rPr>
        <w:t>3、上述暂停申购或赎回情况消除的，基金管理人应于重新开放日公布最近1个工作日</w:t>
      </w:r>
      <w:bookmarkStart w:id="104" w:name="chapter_level1_10_59_section_3_end"/>
      <w:bookmarkEnd w:id="104"/>
      <w:r>
        <w:rPr>
          <w:rFonts w:hint="eastAsia"/>
          <w:sz w:val="21"/>
          <w:szCs w:val="21"/>
        </w:rPr>
        <w:t xml:space="preserve">两类基金份额净值。 </w:t>
      </w:r>
    </w:p>
    <w:p>
      <w:pPr>
        <w:pStyle w:val="7"/>
        <w:spacing w:before="0" w:beforeAutospacing="0" w:after="0" w:afterAutospacing="0" w:line="360" w:lineRule="auto"/>
        <w:ind w:firstLine="420"/>
        <w:rPr>
          <w:sz w:val="21"/>
          <w:szCs w:val="21"/>
        </w:rPr>
      </w:pPr>
      <w:bookmarkStart w:id="105" w:name="chapter_level1_10_59_section_4"/>
      <w:bookmarkEnd w:id="105"/>
      <w:r>
        <w:rPr>
          <w:rStyle w:val="11"/>
          <w:rFonts w:hint="eastAsia"/>
          <w:sz w:val="21"/>
          <w:szCs w:val="21"/>
        </w:rPr>
        <w:t>十三、基金转换</w:t>
      </w:r>
    </w:p>
    <w:p>
      <w:pPr>
        <w:pStyle w:val="7"/>
        <w:spacing w:before="0" w:beforeAutospacing="0" w:after="0" w:afterAutospacing="0" w:line="360" w:lineRule="auto"/>
        <w:ind w:firstLine="420"/>
        <w:rPr>
          <w:sz w:val="21"/>
          <w:szCs w:val="21"/>
        </w:rPr>
      </w:pPr>
      <w:r>
        <w:rPr>
          <w:rFonts w:hint="eastAsia"/>
          <w:sz w:val="21"/>
          <w:szCs w:val="21"/>
        </w:rPr>
        <w:t xml:space="preserve">本基金已于2017年6月12日开通日常转换业务。 </w:t>
      </w:r>
    </w:p>
    <w:p>
      <w:pPr>
        <w:pStyle w:val="7"/>
        <w:spacing w:before="0" w:beforeAutospacing="0" w:after="0" w:afterAutospacing="0" w:line="360" w:lineRule="auto"/>
        <w:ind w:firstLine="420"/>
        <w:rPr>
          <w:sz w:val="21"/>
          <w:szCs w:val="21"/>
        </w:rPr>
      </w:pPr>
      <w:r>
        <w:rPr>
          <w:rFonts w:hint="eastAsia"/>
          <w:sz w:val="21"/>
          <w:szCs w:val="21"/>
        </w:rPr>
        <w:t xml:space="preserve">（1）转换费用 </w:t>
      </w:r>
    </w:p>
    <w:p>
      <w:pPr>
        <w:pStyle w:val="7"/>
        <w:spacing w:before="0" w:beforeAutospacing="0" w:after="0" w:afterAutospacing="0" w:line="360" w:lineRule="auto"/>
        <w:ind w:firstLine="420"/>
        <w:rPr>
          <w:sz w:val="21"/>
          <w:szCs w:val="21"/>
        </w:rPr>
      </w:pPr>
      <w:r>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pPr>
        <w:pStyle w:val="7"/>
        <w:spacing w:before="0" w:beforeAutospacing="0" w:after="0" w:afterAutospacing="0" w:line="360" w:lineRule="auto"/>
        <w:ind w:firstLine="420"/>
        <w:rPr>
          <w:sz w:val="21"/>
          <w:szCs w:val="21"/>
        </w:rPr>
      </w:pPr>
      <w:r>
        <w:rPr>
          <w:rFonts w:hint="eastAsia"/>
          <w:sz w:val="21"/>
          <w:szCs w:val="21"/>
        </w:rPr>
        <w:t xml:space="preserve">（2）其他与转换相关的事项 </w:t>
      </w:r>
    </w:p>
    <w:p>
      <w:pPr>
        <w:pStyle w:val="7"/>
        <w:spacing w:before="0" w:beforeAutospacing="0" w:after="0" w:afterAutospacing="0" w:line="360" w:lineRule="auto"/>
        <w:ind w:firstLine="420"/>
        <w:rPr>
          <w:sz w:val="21"/>
          <w:szCs w:val="21"/>
        </w:rPr>
      </w:pPr>
      <w:r>
        <w:rPr>
          <w:rFonts w:hint="eastAsia"/>
          <w:sz w:val="21"/>
          <w:szCs w:val="21"/>
        </w:rPr>
        <w:t xml:space="preserve">1）业务规则 </w:t>
      </w:r>
    </w:p>
    <w:p>
      <w:pPr>
        <w:pStyle w:val="7"/>
        <w:spacing w:before="0" w:beforeAutospacing="0" w:after="0" w:afterAutospacing="0" w:line="360" w:lineRule="auto"/>
        <w:ind w:firstLine="420"/>
        <w:rPr>
          <w:sz w:val="21"/>
          <w:szCs w:val="21"/>
        </w:rPr>
      </w:pPr>
      <w:r>
        <w:rPr>
          <w:rFonts w:hint="eastAsia"/>
          <w:sz w:val="21"/>
          <w:szCs w:val="21"/>
        </w:rPr>
        <w:t xml:space="preserve">①基金转换只能在同一销售机构进行。转换的两只基金必须都是该销售机构代理的同一基金管理人管理的、在同一注册登记机构处注册登记的基金。 </w:t>
      </w:r>
    </w:p>
    <w:p>
      <w:pPr>
        <w:pStyle w:val="7"/>
        <w:spacing w:before="0" w:beforeAutospacing="0" w:after="0" w:afterAutospacing="0" w:line="360" w:lineRule="auto"/>
        <w:ind w:firstLine="420"/>
        <w:rPr>
          <w:sz w:val="21"/>
          <w:szCs w:val="21"/>
        </w:rPr>
      </w:pPr>
      <w:r>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pPr>
        <w:pStyle w:val="7"/>
        <w:spacing w:before="0" w:beforeAutospacing="0" w:after="0" w:afterAutospacing="0" w:line="360" w:lineRule="auto"/>
        <w:ind w:firstLine="420"/>
        <w:rPr>
          <w:sz w:val="21"/>
          <w:szCs w:val="21"/>
        </w:rPr>
      </w:pPr>
      <w:r>
        <w:rPr>
          <w:rFonts w:hint="eastAsia"/>
          <w:sz w:val="21"/>
          <w:szCs w:val="21"/>
        </w:rPr>
        <w:t xml:space="preserve">③基金转换的目标基金份额按新交易计算持有时间。基金转出视为赎回，转入视为申购。基金转换后可赎回的时间为T＋2日。 </w:t>
      </w:r>
    </w:p>
    <w:p>
      <w:pPr>
        <w:pStyle w:val="7"/>
        <w:spacing w:before="0" w:beforeAutospacing="0" w:after="0" w:afterAutospacing="0" w:line="360" w:lineRule="auto"/>
        <w:ind w:firstLine="420"/>
        <w:rPr>
          <w:sz w:val="21"/>
          <w:szCs w:val="21"/>
        </w:rPr>
      </w:pPr>
      <w:r>
        <w:rPr>
          <w:rFonts w:hint="eastAsia"/>
          <w:sz w:val="21"/>
          <w:szCs w:val="21"/>
        </w:rPr>
        <w:t xml:space="preserve">④基金分红时再投资的份额可在权益登记日的T＋2日提交基金转换申请。 </w:t>
      </w:r>
    </w:p>
    <w:p>
      <w:pPr>
        <w:pStyle w:val="7"/>
        <w:spacing w:before="0" w:beforeAutospacing="0" w:after="0" w:afterAutospacing="0" w:line="360" w:lineRule="auto"/>
        <w:ind w:firstLine="420"/>
        <w:rPr>
          <w:sz w:val="21"/>
          <w:szCs w:val="21"/>
        </w:rPr>
      </w:pPr>
      <w:r>
        <w:rPr>
          <w:rFonts w:hint="eastAsia"/>
          <w:sz w:val="21"/>
          <w:szCs w:val="21"/>
        </w:rPr>
        <w:t xml:space="preserve">⑤基金转换以申请当日基金份额净值为基础计算。投资者采用“份额转换”的原则提交申请。转出基金份额必须是可用份额，并遵循“先进先出”的原则。 </w:t>
      </w:r>
    </w:p>
    <w:p>
      <w:pPr>
        <w:pStyle w:val="7"/>
        <w:spacing w:before="0" w:beforeAutospacing="0" w:after="0" w:afterAutospacing="0" w:line="360" w:lineRule="auto"/>
        <w:ind w:firstLine="420"/>
        <w:rPr>
          <w:sz w:val="21"/>
          <w:szCs w:val="21"/>
        </w:rPr>
      </w:pPr>
      <w:r>
        <w:rPr>
          <w:rFonts w:hint="eastAsia"/>
          <w:sz w:val="21"/>
          <w:szCs w:val="21"/>
        </w:rPr>
        <w:t xml:space="preserve">2）暂停基金转换的情形及处理 </w:t>
      </w:r>
    </w:p>
    <w:p>
      <w:pPr>
        <w:pStyle w:val="7"/>
        <w:spacing w:before="0" w:beforeAutospacing="0" w:after="0" w:afterAutospacing="0" w:line="360" w:lineRule="auto"/>
        <w:ind w:firstLine="420"/>
        <w:rPr>
          <w:sz w:val="21"/>
          <w:szCs w:val="21"/>
        </w:rPr>
      </w:pPr>
      <w:r>
        <w:rPr>
          <w:rFonts w:hint="eastAsia"/>
          <w:sz w:val="21"/>
          <w:szCs w:val="21"/>
        </w:rPr>
        <w:t xml:space="preserve">基金转换视同为转出基金的赎回和转入基金的申购，因此有关转出基金和转入基金暂停或拒绝申购、暂停赎回的有关规定适用于基金转换。 </w:t>
      </w:r>
    </w:p>
    <w:p>
      <w:pPr>
        <w:pStyle w:val="7"/>
        <w:spacing w:before="0" w:beforeAutospacing="0" w:after="0" w:afterAutospacing="0" w:line="360" w:lineRule="auto"/>
        <w:ind w:firstLine="420"/>
        <w:rPr>
          <w:sz w:val="21"/>
          <w:szCs w:val="21"/>
        </w:rPr>
      </w:pPr>
      <w:r>
        <w:rPr>
          <w:rFonts w:hint="eastAsia"/>
          <w:sz w:val="21"/>
          <w:szCs w:val="21"/>
        </w:rPr>
        <w:t xml:space="preserve">出现法律、法规、规章规定的其它情形或其它在《基金合同》、《招募说明书》已载明并获中国证监会批准的特殊情形时，基金管理人可以暂停基金转换业务。 </w:t>
      </w:r>
    </w:p>
    <w:p>
      <w:pPr>
        <w:pStyle w:val="7"/>
        <w:spacing w:before="0" w:beforeAutospacing="0" w:after="0" w:afterAutospacing="0" w:line="360" w:lineRule="auto"/>
        <w:ind w:firstLine="420"/>
        <w:rPr>
          <w:sz w:val="21"/>
          <w:szCs w:val="21"/>
        </w:rPr>
      </w:pPr>
      <w:r>
        <w:rPr>
          <w:rFonts w:hint="eastAsia"/>
          <w:sz w:val="21"/>
          <w:szCs w:val="21"/>
        </w:rPr>
        <w:t xml:space="preserve">3）重要提示 </w:t>
      </w:r>
    </w:p>
    <w:p>
      <w:pPr>
        <w:pStyle w:val="7"/>
        <w:spacing w:before="0" w:beforeAutospacing="0" w:after="0" w:afterAutospacing="0" w:line="360" w:lineRule="auto"/>
        <w:ind w:firstLine="420"/>
        <w:rPr>
          <w:sz w:val="21"/>
          <w:szCs w:val="21"/>
        </w:rPr>
      </w:pPr>
      <w:r>
        <w:rPr>
          <w:rFonts w:hint="eastAsia"/>
          <w:sz w:val="21"/>
          <w:szCs w:val="21"/>
        </w:rPr>
        <w:t>①本基金转换业务适用于可以销售包括</w:t>
      </w:r>
      <w:bookmarkStart w:id="106" w:name="field_0_productfullname_10"/>
      <w:r>
        <w:rPr>
          <w:rFonts w:hint="eastAsia"/>
          <w:sz w:val="21"/>
          <w:szCs w:val="21"/>
        </w:rPr>
        <w:t>博时逆向投资混合型证券投资基金</w:t>
      </w:r>
      <w:bookmarkEnd w:id="106"/>
      <w:r>
        <w:rPr>
          <w:rFonts w:hint="eastAsia"/>
          <w:sz w:val="21"/>
          <w:szCs w:val="21"/>
        </w:rPr>
        <w:t xml:space="preserve">在内的两只以上（含两只），且基金注册登记机构为同一机构的博时旗下基金的销售机构。 </w:t>
      </w:r>
    </w:p>
    <w:p>
      <w:pPr>
        <w:pStyle w:val="7"/>
        <w:spacing w:before="0" w:beforeAutospacing="0" w:after="0" w:afterAutospacing="0" w:line="360" w:lineRule="auto"/>
        <w:ind w:firstLine="420"/>
        <w:rPr>
          <w:sz w:val="21"/>
          <w:szCs w:val="21"/>
        </w:rPr>
      </w:pPr>
      <w:r>
        <w:rPr>
          <w:rFonts w:hint="eastAsia"/>
          <w:sz w:val="21"/>
          <w:szCs w:val="21"/>
        </w:rPr>
        <w:t>②转换业务的收费计算公式及举例参见2010年3月16日刊登于本公司网站的《</w:t>
      </w:r>
      <w:bookmarkStart w:id="107" w:name="field_0_managerorgfullname_6"/>
      <w:r>
        <w:rPr>
          <w:rFonts w:hint="eastAsia"/>
          <w:sz w:val="21"/>
          <w:szCs w:val="21"/>
        </w:rPr>
        <w:t>博时基金管理有限公司</w:t>
      </w:r>
      <w:bookmarkEnd w:id="107"/>
      <w:r>
        <w:rPr>
          <w:rFonts w:hint="eastAsia"/>
          <w:sz w:val="21"/>
          <w:szCs w:val="21"/>
        </w:rPr>
        <w:t xml:space="preserve">关于旗下开放式基金转换业务的公告》。 </w:t>
      </w:r>
    </w:p>
    <w:p>
      <w:pPr>
        <w:pStyle w:val="7"/>
        <w:spacing w:before="0" w:beforeAutospacing="0" w:after="0" w:afterAutospacing="0" w:line="360" w:lineRule="auto"/>
        <w:ind w:firstLine="420"/>
        <w:rPr>
          <w:sz w:val="21"/>
          <w:szCs w:val="21"/>
        </w:rPr>
      </w:pPr>
      <w:bookmarkStart w:id="108" w:name="chapter_level1_10_59_section_4_end"/>
      <w:bookmarkEnd w:id="108"/>
      <w:r>
        <w:rPr>
          <w:rFonts w:hint="eastAsia"/>
          <w:sz w:val="21"/>
          <w:szCs w:val="21"/>
        </w:rPr>
        <w:t xml:space="preserve">③本公司管理基金的转换业务的解释权归本公司。 </w:t>
      </w:r>
    </w:p>
    <w:p>
      <w:pPr>
        <w:pStyle w:val="7"/>
        <w:spacing w:before="0" w:beforeAutospacing="0" w:after="0" w:afterAutospacing="0" w:line="360" w:lineRule="auto"/>
        <w:ind w:firstLine="420"/>
        <w:rPr>
          <w:sz w:val="21"/>
          <w:szCs w:val="21"/>
        </w:rPr>
      </w:pPr>
      <w:bookmarkStart w:id="109" w:name="chapter_level1_10_59_section_5"/>
      <w:bookmarkEnd w:id="109"/>
      <w:r>
        <w:rPr>
          <w:rStyle w:val="11"/>
          <w:rFonts w:hint="eastAsia"/>
          <w:sz w:val="21"/>
          <w:szCs w:val="21"/>
        </w:rPr>
        <w:t>十四、基金份额的转让</w:t>
      </w:r>
    </w:p>
    <w:p>
      <w:pPr>
        <w:pStyle w:val="7"/>
        <w:spacing w:before="0" w:beforeAutospacing="0" w:after="0" w:afterAutospacing="0" w:line="360" w:lineRule="auto"/>
        <w:ind w:firstLine="420"/>
        <w:rPr>
          <w:sz w:val="21"/>
          <w:szCs w:val="21"/>
        </w:rPr>
      </w:pPr>
      <w:r>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pPr>
        <w:pStyle w:val="7"/>
        <w:spacing w:before="0" w:beforeAutospacing="0" w:after="0" w:afterAutospacing="0" w:line="360" w:lineRule="auto"/>
        <w:ind w:firstLine="420"/>
        <w:rPr>
          <w:sz w:val="21"/>
          <w:szCs w:val="21"/>
        </w:rPr>
      </w:pPr>
      <w:r>
        <w:rPr>
          <w:rStyle w:val="11"/>
          <w:rFonts w:hint="eastAsia"/>
          <w:sz w:val="21"/>
          <w:szCs w:val="21"/>
        </w:rPr>
        <w:t>十五、基金的非交易过户</w:t>
      </w:r>
    </w:p>
    <w:p>
      <w:pPr>
        <w:pStyle w:val="7"/>
        <w:spacing w:before="0" w:beforeAutospacing="0" w:after="0" w:afterAutospacing="0" w:line="360" w:lineRule="auto"/>
        <w:ind w:firstLine="420"/>
        <w:rPr>
          <w:sz w:val="21"/>
          <w:szCs w:val="21"/>
        </w:rPr>
      </w:pPr>
      <w:r>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pPr>
        <w:pStyle w:val="7"/>
        <w:spacing w:before="0" w:beforeAutospacing="0" w:after="0" w:afterAutospacing="0" w:line="360" w:lineRule="auto"/>
        <w:ind w:firstLine="420"/>
        <w:rPr>
          <w:sz w:val="21"/>
          <w:szCs w:val="21"/>
        </w:rPr>
      </w:pPr>
      <w:r>
        <w:rPr>
          <w:rStyle w:val="11"/>
          <w:rFonts w:hint="eastAsia"/>
          <w:sz w:val="21"/>
          <w:szCs w:val="21"/>
        </w:rPr>
        <w:t>十六、基金的转托管</w:t>
      </w:r>
    </w:p>
    <w:p>
      <w:pPr>
        <w:pStyle w:val="7"/>
        <w:spacing w:before="0" w:beforeAutospacing="0" w:after="0" w:afterAutospacing="0" w:line="360" w:lineRule="auto"/>
        <w:ind w:firstLine="420"/>
        <w:rPr>
          <w:sz w:val="21"/>
          <w:szCs w:val="21"/>
        </w:rPr>
      </w:pPr>
      <w:r>
        <w:rPr>
          <w:rFonts w:hint="eastAsia"/>
          <w:sz w:val="21"/>
          <w:szCs w:val="21"/>
        </w:rPr>
        <w:t>基金份额持有人可办理已持有基金份额在不同销售机构之间的转托管，基金销售机构可</w:t>
      </w:r>
      <w:bookmarkStart w:id="110" w:name="chapter_level1_10_59_section_5_end"/>
      <w:bookmarkEnd w:id="110"/>
      <w:r>
        <w:rPr>
          <w:rFonts w:hint="eastAsia"/>
          <w:sz w:val="21"/>
          <w:szCs w:val="21"/>
        </w:rPr>
        <w:t xml:space="preserve">以按照规定的标准收取转托管费。 </w:t>
      </w:r>
    </w:p>
    <w:p>
      <w:pPr>
        <w:pStyle w:val="7"/>
        <w:spacing w:before="0" w:beforeAutospacing="0" w:after="0" w:afterAutospacing="0" w:line="360" w:lineRule="auto"/>
        <w:ind w:firstLine="420"/>
        <w:rPr>
          <w:sz w:val="21"/>
          <w:szCs w:val="21"/>
        </w:rPr>
      </w:pPr>
      <w:bookmarkStart w:id="111" w:name="chapter_level1_10_59_section_6"/>
      <w:bookmarkEnd w:id="111"/>
      <w:r>
        <w:rPr>
          <w:rStyle w:val="11"/>
          <w:rFonts w:hint="eastAsia"/>
          <w:sz w:val="21"/>
          <w:szCs w:val="21"/>
        </w:rPr>
        <w:t>十七、定期定额投资计划</w:t>
      </w:r>
    </w:p>
    <w:p>
      <w:pPr>
        <w:pStyle w:val="7"/>
        <w:spacing w:before="0" w:beforeAutospacing="0" w:after="0" w:afterAutospacing="0" w:line="360" w:lineRule="auto"/>
        <w:ind w:firstLine="420"/>
        <w:rPr>
          <w:sz w:val="21"/>
          <w:szCs w:val="21"/>
        </w:rPr>
      </w:pPr>
      <w:r>
        <w:rPr>
          <w:rFonts w:hint="eastAsia"/>
          <w:sz w:val="21"/>
          <w:szCs w:val="21"/>
        </w:rPr>
        <w:t xml:space="preserve">本基金于2017年6月12日开通定期定额投资业务。 </w:t>
      </w:r>
    </w:p>
    <w:p>
      <w:pPr>
        <w:pStyle w:val="7"/>
        <w:spacing w:before="0" w:beforeAutospacing="0" w:after="0" w:afterAutospacing="0" w:line="360" w:lineRule="auto"/>
        <w:ind w:firstLine="420"/>
        <w:rPr>
          <w:sz w:val="21"/>
          <w:szCs w:val="21"/>
        </w:rPr>
      </w:pPr>
      <w:r>
        <w:rPr>
          <w:rFonts w:hint="eastAsia"/>
          <w:sz w:val="21"/>
          <w:szCs w:val="21"/>
        </w:rPr>
        <w:t xml:space="preserve">（1）适用投资者范围 </w:t>
      </w:r>
    </w:p>
    <w:p>
      <w:pPr>
        <w:pStyle w:val="7"/>
        <w:spacing w:before="0" w:beforeAutospacing="0" w:after="0" w:afterAutospacing="0" w:line="360" w:lineRule="auto"/>
        <w:ind w:firstLine="420"/>
        <w:rPr>
          <w:sz w:val="21"/>
          <w:szCs w:val="21"/>
        </w:rPr>
      </w:pPr>
      <w:r>
        <w:rPr>
          <w:rFonts w:hint="eastAsia"/>
          <w:sz w:val="21"/>
          <w:szCs w:val="21"/>
        </w:rPr>
        <w:t xml:space="preserve">个人投资者、机构投资者、合格境外机构投资者以及法律法规或中国证监会规定允许购买证券投资基金的其他投资者。 </w:t>
      </w:r>
    </w:p>
    <w:p>
      <w:pPr>
        <w:pStyle w:val="7"/>
        <w:spacing w:before="0" w:beforeAutospacing="0" w:after="0" w:afterAutospacing="0" w:line="360" w:lineRule="auto"/>
        <w:ind w:firstLine="420"/>
        <w:rPr>
          <w:sz w:val="21"/>
          <w:szCs w:val="21"/>
        </w:rPr>
      </w:pPr>
      <w:r>
        <w:rPr>
          <w:rFonts w:hint="eastAsia"/>
          <w:sz w:val="21"/>
          <w:szCs w:val="21"/>
        </w:rPr>
        <w:t xml:space="preserve">（2）申购费率 </w:t>
      </w:r>
    </w:p>
    <w:p>
      <w:pPr>
        <w:pStyle w:val="7"/>
        <w:spacing w:before="0" w:beforeAutospacing="0" w:after="0" w:afterAutospacing="0" w:line="360" w:lineRule="auto"/>
        <w:ind w:firstLine="420"/>
        <w:rPr>
          <w:sz w:val="21"/>
          <w:szCs w:val="21"/>
        </w:rPr>
      </w:pPr>
      <w:r>
        <w:rPr>
          <w:rFonts w:hint="eastAsia"/>
          <w:sz w:val="21"/>
          <w:szCs w:val="21"/>
        </w:rPr>
        <w:t xml:space="preserve">本基金定期定额投资的申购费率与普通申购业务的费率相同。 </w:t>
      </w:r>
    </w:p>
    <w:p>
      <w:pPr>
        <w:pStyle w:val="7"/>
        <w:spacing w:before="0" w:beforeAutospacing="0" w:after="0" w:afterAutospacing="0" w:line="360" w:lineRule="auto"/>
        <w:ind w:firstLine="420"/>
        <w:rPr>
          <w:sz w:val="21"/>
          <w:szCs w:val="21"/>
        </w:rPr>
      </w:pPr>
      <w:r>
        <w:rPr>
          <w:rFonts w:hint="eastAsia"/>
          <w:sz w:val="21"/>
          <w:szCs w:val="21"/>
        </w:rPr>
        <w:t xml:space="preserve">表：本基金的申购费率结构表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5"/>
        <w:gridCol w:w="2843"/>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pct"/>
            <w:shd w:val="clear" w:color="auto" w:fill="auto"/>
          </w:tcPr>
          <w:p>
            <w:pPr>
              <w:pStyle w:val="7"/>
            </w:pPr>
            <w:r>
              <w:rPr>
                <w:rFonts w:hint="eastAsia"/>
              </w:rPr>
              <w:t xml:space="preserve">金额（M） </w:t>
            </w:r>
          </w:p>
        </w:tc>
        <w:tc>
          <w:tcPr>
            <w:tcW w:w="1669" w:type="pct"/>
            <w:shd w:val="clear" w:color="auto" w:fill="auto"/>
          </w:tcPr>
          <w:p>
            <w:pPr>
              <w:pStyle w:val="7"/>
            </w:pPr>
            <w:r>
              <w:rPr>
                <w:rFonts w:hint="eastAsia"/>
              </w:rPr>
              <w:t xml:space="preserve">A类基金份额申购费率 </w:t>
            </w:r>
          </w:p>
        </w:tc>
        <w:tc>
          <w:tcPr>
            <w:tcW w:w="1626" w:type="pct"/>
            <w:shd w:val="clear" w:color="auto" w:fill="auto"/>
          </w:tcPr>
          <w:p>
            <w:pPr>
              <w:pStyle w:val="7"/>
            </w:pPr>
            <w:r>
              <w:rPr>
                <w:rFonts w:hint="eastAsia"/>
              </w:rPr>
              <w:t xml:space="preserve">C类基金份额申购费率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pct"/>
            <w:shd w:val="clear" w:color="auto" w:fill="auto"/>
          </w:tcPr>
          <w:p>
            <w:pPr>
              <w:pStyle w:val="7"/>
            </w:pPr>
            <w:r>
              <w:rPr>
                <w:rFonts w:hint="eastAsia"/>
              </w:rPr>
              <w:t xml:space="preserve">M＜100万元 </w:t>
            </w:r>
          </w:p>
        </w:tc>
        <w:tc>
          <w:tcPr>
            <w:tcW w:w="1669" w:type="pct"/>
            <w:shd w:val="clear" w:color="auto" w:fill="auto"/>
          </w:tcPr>
          <w:p>
            <w:pPr>
              <w:pStyle w:val="7"/>
            </w:pPr>
            <w:r>
              <w:rPr>
                <w:rFonts w:hint="eastAsia"/>
              </w:rPr>
              <w:t xml:space="preserve">1.50% </w:t>
            </w:r>
          </w:p>
        </w:tc>
        <w:tc>
          <w:tcPr>
            <w:tcW w:w="1626" w:type="pct"/>
            <w:vMerge w:val="restart"/>
            <w:shd w:val="clear" w:color="auto" w:fill="auto"/>
          </w:tcPr>
          <w:p>
            <w:pPr>
              <w:pStyle w:val="7"/>
            </w:pPr>
            <w:r>
              <w:rPr>
                <w:rFonts w:hint="eastAsia"/>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pct"/>
            <w:shd w:val="clear" w:color="auto" w:fill="auto"/>
          </w:tcPr>
          <w:p>
            <w:pPr>
              <w:pStyle w:val="7"/>
            </w:pPr>
            <w:r>
              <w:rPr>
                <w:rFonts w:hint="eastAsia"/>
              </w:rPr>
              <w:t xml:space="preserve">100万元≤M＜500万元 </w:t>
            </w:r>
          </w:p>
        </w:tc>
        <w:tc>
          <w:tcPr>
            <w:tcW w:w="1669" w:type="pct"/>
            <w:shd w:val="clear" w:color="auto" w:fill="auto"/>
          </w:tcPr>
          <w:p>
            <w:pPr>
              <w:pStyle w:val="7"/>
            </w:pPr>
            <w:r>
              <w:rPr>
                <w:rFonts w:hint="eastAsia"/>
              </w:rPr>
              <w:t xml:space="preserve">0.60% </w:t>
            </w:r>
          </w:p>
        </w:tc>
        <w:tc>
          <w:tcPr>
            <w:tcW w:w="1626" w:type="pct"/>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pct"/>
            <w:shd w:val="clear" w:color="auto" w:fill="auto"/>
          </w:tcPr>
          <w:p>
            <w:pPr>
              <w:pStyle w:val="7"/>
            </w:pPr>
            <w:r>
              <w:rPr>
                <w:rFonts w:hint="eastAsia"/>
              </w:rPr>
              <w:t xml:space="preserve">M≥500万元 </w:t>
            </w:r>
          </w:p>
        </w:tc>
        <w:tc>
          <w:tcPr>
            <w:tcW w:w="1669" w:type="pct"/>
            <w:shd w:val="clear" w:color="auto" w:fill="auto"/>
          </w:tcPr>
          <w:p>
            <w:pPr>
              <w:pStyle w:val="7"/>
            </w:pPr>
            <w:r>
              <w:rPr>
                <w:rFonts w:hint="eastAsia"/>
              </w:rPr>
              <w:t xml:space="preserve">1000元/笔 </w:t>
            </w:r>
          </w:p>
        </w:tc>
        <w:tc>
          <w:tcPr>
            <w:tcW w:w="1626" w:type="pct"/>
            <w:vMerge w:val="continue"/>
            <w:shd w:val="clear" w:color="auto" w:fill="auto"/>
          </w:tcPr>
          <w:p>
            <w:pPr>
              <w:rPr>
                <w:rFonts w:ascii="宋体" w:hAnsi="宋体" w:eastAsia="宋体" w:cs="宋体"/>
                <w:sz w:val="24"/>
                <w:szCs w:val="24"/>
              </w:rPr>
            </w:pPr>
          </w:p>
        </w:tc>
      </w:tr>
    </w:tbl>
    <w:p>
      <w:pPr>
        <w:pStyle w:val="7"/>
        <w:spacing w:before="0" w:beforeAutospacing="0" w:after="0" w:afterAutospacing="0" w:line="360" w:lineRule="auto"/>
        <w:ind w:firstLine="420"/>
        <w:rPr>
          <w:sz w:val="21"/>
          <w:szCs w:val="21"/>
        </w:rPr>
      </w:pPr>
      <w:r>
        <w:rPr>
          <w:rFonts w:hint="eastAsia"/>
          <w:sz w:val="21"/>
          <w:szCs w:val="21"/>
        </w:rPr>
        <w:t xml:space="preserve">来源：博时基金 </w:t>
      </w:r>
    </w:p>
    <w:p>
      <w:pPr>
        <w:pStyle w:val="7"/>
        <w:spacing w:before="0" w:beforeAutospacing="0" w:after="0" w:afterAutospacing="0" w:line="360" w:lineRule="auto"/>
        <w:ind w:firstLine="420"/>
        <w:rPr>
          <w:sz w:val="21"/>
          <w:szCs w:val="21"/>
        </w:rPr>
      </w:pPr>
      <w:r>
        <w:rPr>
          <w:rFonts w:hint="eastAsia"/>
          <w:sz w:val="21"/>
          <w:szCs w:val="21"/>
        </w:rPr>
        <w:t xml:space="preserve">本基金的申购费用由申购人承担，不列入基金资产，用于基金的市场推广、销售、登记等各项费用。 </w:t>
      </w:r>
    </w:p>
    <w:p>
      <w:pPr>
        <w:pStyle w:val="7"/>
        <w:spacing w:before="0" w:beforeAutospacing="0" w:after="0" w:afterAutospacing="0" w:line="360" w:lineRule="auto"/>
        <w:ind w:firstLine="420"/>
        <w:rPr>
          <w:sz w:val="21"/>
          <w:szCs w:val="21"/>
        </w:rPr>
      </w:pPr>
      <w:r>
        <w:rPr>
          <w:rFonts w:hint="eastAsia"/>
          <w:sz w:val="21"/>
          <w:szCs w:val="21"/>
        </w:rPr>
        <w:t xml:space="preserve">（3）扣款日期和扣款金额 </w:t>
      </w:r>
    </w:p>
    <w:p>
      <w:pPr>
        <w:pStyle w:val="7"/>
        <w:spacing w:before="0" w:beforeAutospacing="0" w:after="0" w:afterAutospacing="0" w:line="360" w:lineRule="auto"/>
        <w:ind w:firstLine="420"/>
        <w:rPr>
          <w:sz w:val="21"/>
          <w:szCs w:val="21"/>
        </w:rPr>
      </w:pPr>
      <w:r>
        <w:rPr>
          <w:rFonts w:hint="eastAsia"/>
          <w:sz w:val="21"/>
          <w:szCs w:val="21"/>
        </w:rPr>
        <w:t xml:space="preserve">投资者须遵循各销售机构有关扣款日期的规定，定投金额A类基金份额每次不少于人民币1元（含1元），定投金额C类基金份额每次不少于人民币1元（含1元）。 </w:t>
      </w:r>
    </w:p>
    <w:p>
      <w:pPr>
        <w:pStyle w:val="7"/>
        <w:spacing w:before="0" w:beforeAutospacing="0" w:after="0" w:afterAutospacing="0" w:line="360" w:lineRule="auto"/>
        <w:ind w:firstLine="420"/>
        <w:rPr>
          <w:sz w:val="21"/>
          <w:szCs w:val="21"/>
        </w:rPr>
      </w:pPr>
      <w:r>
        <w:rPr>
          <w:rFonts w:hint="eastAsia"/>
          <w:sz w:val="21"/>
          <w:szCs w:val="21"/>
        </w:rPr>
        <w:t xml:space="preserve">（4）重要提示 </w:t>
      </w:r>
    </w:p>
    <w:p>
      <w:pPr>
        <w:pStyle w:val="7"/>
        <w:spacing w:before="0" w:beforeAutospacing="0" w:after="0" w:afterAutospacing="0" w:line="360" w:lineRule="auto"/>
        <w:ind w:firstLine="420"/>
        <w:rPr>
          <w:sz w:val="21"/>
          <w:szCs w:val="21"/>
        </w:rPr>
      </w:pPr>
      <w:r>
        <w:rPr>
          <w:rFonts w:hint="eastAsia"/>
          <w:sz w:val="21"/>
          <w:szCs w:val="21"/>
        </w:rPr>
        <w:t xml:space="preserve">1）凡申请办理本基金“定期定额投资计划”的投资者须首先开立本公司开放式基金基金账户。 </w:t>
      </w:r>
    </w:p>
    <w:p>
      <w:pPr>
        <w:pStyle w:val="7"/>
        <w:spacing w:before="0" w:beforeAutospacing="0" w:after="0" w:afterAutospacing="0" w:line="360" w:lineRule="auto"/>
        <w:ind w:firstLine="420"/>
        <w:rPr>
          <w:sz w:val="21"/>
          <w:szCs w:val="21"/>
        </w:rPr>
      </w:pPr>
      <w:r>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w:t>
      </w:r>
      <w:bookmarkStart w:id="112" w:name="chapter_level1_10_59_section_6_end"/>
      <w:bookmarkEnd w:id="112"/>
      <w:r>
        <w:rPr>
          <w:rFonts w:hint="eastAsia"/>
          <w:sz w:val="21"/>
          <w:szCs w:val="21"/>
        </w:rPr>
        <w:t xml:space="preserve">在确认成功后直接计入投资者的基金账户。 </w:t>
      </w:r>
    </w:p>
    <w:p>
      <w:pPr>
        <w:pStyle w:val="7"/>
        <w:spacing w:before="0" w:beforeAutospacing="0" w:after="0" w:afterAutospacing="0" w:line="360" w:lineRule="auto"/>
        <w:ind w:firstLine="420"/>
        <w:rPr>
          <w:sz w:val="21"/>
          <w:szCs w:val="21"/>
        </w:rPr>
      </w:pPr>
      <w:bookmarkStart w:id="113" w:name="chapter_level1_10_59_section_7"/>
      <w:bookmarkEnd w:id="113"/>
      <w:r>
        <w:rPr>
          <w:rStyle w:val="11"/>
          <w:rFonts w:hint="eastAsia"/>
          <w:sz w:val="21"/>
          <w:szCs w:val="21"/>
        </w:rPr>
        <w:t>十八、基金份额的冻结、解冻与质押</w:t>
      </w:r>
    </w:p>
    <w:p>
      <w:pPr>
        <w:pStyle w:val="7"/>
        <w:spacing w:before="0" w:beforeAutospacing="0" w:after="0" w:afterAutospacing="0" w:line="360" w:lineRule="auto"/>
        <w:ind w:firstLine="420"/>
        <w:rPr>
          <w:sz w:val="21"/>
          <w:szCs w:val="21"/>
        </w:rPr>
      </w:pPr>
      <w:r>
        <w:rPr>
          <w:rFonts w:hint="eastAsia"/>
          <w:sz w:val="21"/>
          <w:szCs w:val="21"/>
        </w:rPr>
        <w:t xml:space="preserve">基金登记机构只受理国家有权机关依法要求的基金份额的冻结与解冻，以及登记机构认可、符合法律法规的其他情况下的冻结与解冻。 </w:t>
      </w:r>
    </w:p>
    <w:p>
      <w:pPr>
        <w:pStyle w:val="7"/>
        <w:spacing w:before="0" w:beforeAutospacing="0" w:after="0" w:afterAutospacing="0" w:line="360" w:lineRule="auto"/>
        <w:ind w:firstLine="420"/>
        <w:rPr>
          <w:sz w:val="21"/>
          <w:szCs w:val="21"/>
        </w:rPr>
      </w:pPr>
      <w:r>
        <w:rPr>
          <w:rFonts w:hint="eastAsia"/>
          <w:sz w:val="21"/>
          <w:szCs w:val="21"/>
        </w:rPr>
        <w:t>如相关法律法规允许基金管理人办理基金份额的质押业务或其他基金业务，基金管理人</w:t>
      </w:r>
      <w:bookmarkStart w:id="114" w:name="chapter_level1_10_59_section_7_end"/>
      <w:bookmarkEnd w:id="114"/>
      <w:r>
        <w:rPr>
          <w:rFonts w:hint="eastAsia"/>
          <w:sz w:val="21"/>
          <w:szCs w:val="21"/>
        </w:rPr>
        <w:t xml:space="preserve">将制定和实施相应的业务规则。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15" w:name="chapter_level1_11_60"/>
      <w:bookmarkStart w:id="116" w:name="_Toc113628539"/>
      <w:r>
        <w:rPr>
          <w:rFonts w:hint="eastAsia" w:ascii="宋体" w:hAnsi="宋体" w:eastAsia="宋体"/>
          <w:sz w:val="30"/>
        </w:rPr>
        <w:t>第八部分  基金的投资</w:t>
      </w:r>
      <w:bookmarkEnd w:id="115"/>
      <w:bookmarkEnd w:id="116"/>
    </w:p>
    <w:p>
      <w:pPr>
        <w:pStyle w:val="7"/>
        <w:spacing w:before="0" w:beforeAutospacing="0" w:after="0" w:afterAutospacing="0" w:line="360" w:lineRule="auto"/>
        <w:ind w:firstLine="420"/>
        <w:rPr>
          <w:sz w:val="21"/>
          <w:szCs w:val="21"/>
        </w:rPr>
      </w:pPr>
      <w:bookmarkStart w:id="117" w:name="chapter_level1_11_60_section_1"/>
      <w:bookmarkEnd w:id="117"/>
      <w:r>
        <w:rPr>
          <w:rStyle w:val="11"/>
          <w:rFonts w:hint="eastAsia"/>
          <w:sz w:val="21"/>
          <w:szCs w:val="21"/>
        </w:rPr>
        <w:t>一、投资目标</w:t>
      </w:r>
    </w:p>
    <w:p>
      <w:pPr>
        <w:pStyle w:val="7"/>
        <w:spacing w:before="0" w:beforeAutospacing="0" w:after="0" w:afterAutospacing="0" w:line="360" w:lineRule="auto"/>
        <w:ind w:firstLine="420"/>
        <w:rPr>
          <w:sz w:val="21"/>
          <w:szCs w:val="21"/>
        </w:rPr>
      </w:pPr>
      <w:bookmarkStart w:id="118" w:name="field_60_investmenttarget_1_start"/>
      <w:bookmarkEnd w:id="118"/>
      <w:r>
        <w:rPr>
          <w:rFonts w:hint="eastAsia"/>
          <w:sz w:val="21"/>
          <w:szCs w:val="21"/>
        </w:rPr>
        <w:t xml:space="preserve">本基金秉承价值投资理念，基于对行业和企业基本面的深入认识，力争发掘未被主流市场认可的价值被低估的股票，力求组合资产实现长期增值。  </w:t>
      </w:r>
      <w:bookmarkStart w:id="119" w:name="field_60_investmenttarget_1_end"/>
      <w:bookmarkEnd w:id="119"/>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二、投资范围</w:t>
      </w:r>
    </w:p>
    <w:p>
      <w:pPr>
        <w:pStyle w:val="7"/>
        <w:spacing w:before="0" w:beforeAutospacing="0" w:after="0" w:afterAutospacing="0" w:line="360" w:lineRule="auto"/>
        <w:ind w:firstLine="420"/>
        <w:rPr>
          <w:sz w:val="21"/>
          <w:szCs w:val="21"/>
        </w:rPr>
      </w:pPr>
      <w:bookmarkStart w:id="120" w:name="field_60_investmentrange_1_start"/>
      <w:bookmarkEnd w:id="120"/>
      <w:r>
        <w:rPr>
          <w:rFonts w:hint="eastAsia"/>
          <w:sz w:val="21"/>
          <w:szCs w:val="21"/>
        </w:rPr>
        <w:t> 本基金的投资对象是具有良好流动性的金融工具，包括国内依法发行上市的股票（包括中小板、创业板及其他经中国证监会核准上市的股票、存托凭证）、债券（包括国债、金融债、央行票据、地方政府债、企业债、公司债、可交换公司债券、可转换公司债券（含可分离交易可转债）、中小企业私募债券、中期票据、短期融资券、超级短期融资券、次级债）、资产支持证券、债券回购、银行存款、同业存单、货币市场工具、权证、股指期货、国债期货以及法律法规或中国证监会允许基金投资的其他金融工具（但须符合中国证监会的相关规定）。 </w:t>
      </w:r>
    </w:p>
    <w:p>
      <w:pPr>
        <w:pStyle w:val="7"/>
        <w:spacing w:before="0" w:beforeAutospacing="0" w:after="0" w:afterAutospacing="0" w:line="360" w:lineRule="auto"/>
        <w:ind w:firstLine="420"/>
        <w:rPr>
          <w:sz w:val="21"/>
          <w:szCs w:val="21"/>
        </w:rPr>
      </w:pPr>
      <w:r>
        <w:rPr>
          <w:rFonts w:hint="eastAsia"/>
          <w:sz w:val="21"/>
          <w:szCs w:val="21"/>
        </w:rPr>
        <w:t>如法律法规或监管机构以后允许基金投资其他品种，基金管理人在履行适当程序后，可以将其纳入投资范围。 </w:t>
      </w:r>
    </w:p>
    <w:p>
      <w:pPr>
        <w:pStyle w:val="7"/>
        <w:spacing w:before="0" w:beforeAutospacing="0" w:after="0" w:afterAutospacing="0" w:line="360" w:lineRule="auto"/>
        <w:ind w:firstLine="420"/>
        <w:rPr>
          <w:sz w:val="21"/>
          <w:szCs w:val="21"/>
        </w:rPr>
      </w:pPr>
      <w:r>
        <w:rPr>
          <w:rFonts w:hint="eastAsia"/>
          <w:sz w:val="21"/>
          <w:szCs w:val="21"/>
        </w:rPr>
        <w:t xml:space="preserve">基金的投资组合比例为：股票资产（含存托凭证）占基金资产的60%-95%，投资于逆向投资主题股票的资产占非现金基金资产的比例不低于80%；本基金持有全部权证的市值不得超过基金资产净值的3%。每个交易日日终在扣除股指期货合约、国债期货合约需缴纳的交易保证金以后，现金或者到期日在一年以内的政府债券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 本基金管理人将以下六类股票定义为本基金所关注的逆向投资主题的股票（未被主流市场认同的股票），具体包括：公司质地本身优秀但市场关注度较低的股票，治理结构有望改善但市场预期有限的股票，涉及重大突发事件且为市场过度反应的股票，行业景气度广阔而市场认知分歧较大的股票，景气存在复苏可能但尚未被市场充分发掘的股票，可能或正处于并购重组或转型期但市场存在分歧的股票。  </w:t>
      </w:r>
      <w:bookmarkStart w:id="121" w:name="field_60_investmentrange_1_end"/>
      <w:bookmarkEnd w:id="121"/>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三、投资策略</w:t>
      </w:r>
    </w:p>
    <w:p>
      <w:pPr>
        <w:pStyle w:val="7"/>
        <w:spacing w:before="0" w:beforeAutospacing="0" w:after="0" w:afterAutospacing="0" w:line="360" w:lineRule="auto"/>
        <w:ind w:firstLine="420"/>
        <w:rPr>
          <w:sz w:val="21"/>
          <w:szCs w:val="21"/>
        </w:rPr>
      </w:pPr>
      <w:bookmarkStart w:id="122" w:name="field_60_investmentstrategy_1_start"/>
      <w:bookmarkEnd w:id="122"/>
      <w:r>
        <w:rPr>
          <w:rFonts w:hint="eastAsia"/>
          <w:sz w:val="21"/>
          <w:szCs w:val="21"/>
        </w:rPr>
        <w:t xml:space="preserve">（一）资产配置策略 </w:t>
      </w:r>
    </w:p>
    <w:p>
      <w:pPr>
        <w:pStyle w:val="7"/>
        <w:spacing w:before="0" w:beforeAutospacing="0" w:after="0" w:afterAutospacing="0" w:line="360" w:lineRule="auto"/>
        <w:ind w:firstLine="420"/>
        <w:rPr>
          <w:sz w:val="21"/>
          <w:szCs w:val="21"/>
        </w:rPr>
      </w:pPr>
      <w:r>
        <w:rPr>
          <w:rFonts w:hint="eastAsia"/>
          <w:sz w:val="21"/>
          <w:szCs w:val="21"/>
        </w:rPr>
        <w:t xml:space="preserve">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 </w:t>
      </w:r>
    </w:p>
    <w:p>
      <w:pPr>
        <w:pStyle w:val="7"/>
        <w:spacing w:before="0" w:beforeAutospacing="0" w:after="0" w:afterAutospacing="0" w:line="360" w:lineRule="auto"/>
        <w:ind w:firstLine="420"/>
        <w:rPr>
          <w:sz w:val="21"/>
          <w:szCs w:val="21"/>
        </w:rPr>
      </w:pPr>
      <w:r>
        <w:rPr>
          <w:rFonts w:hint="eastAsia"/>
          <w:sz w:val="21"/>
          <w:szCs w:val="21"/>
        </w:rPr>
        <w:t xml:space="preserve">（二）债券投资策略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本基金采用的债券投资策略包括：期限结构策略、信用策略、互换策略、息差策略、可转换债券投资策略等。 </w:t>
      </w:r>
    </w:p>
    <w:p>
      <w:pPr>
        <w:pStyle w:val="7"/>
        <w:spacing w:before="0" w:beforeAutospacing="0" w:after="0" w:afterAutospacing="0" w:line="360" w:lineRule="auto"/>
        <w:ind w:firstLine="420"/>
        <w:rPr>
          <w:sz w:val="21"/>
          <w:szCs w:val="21"/>
        </w:rPr>
      </w:pPr>
      <w:r>
        <w:rPr>
          <w:rFonts w:hint="eastAsia"/>
          <w:sz w:val="21"/>
          <w:szCs w:val="21"/>
        </w:rPr>
        <w:t xml:space="preserve">1、期限结构策略 </w:t>
      </w:r>
    </w:p>
    <w:p>
      <w:pPr>
        <w:pStyle w:val="7"/>
        <w:spacing w:before="0" w:beforeAutospacing="0" w:after="0" w:afterAutospacing="0" w:line="360" w:lineRule="auto"/>
        <w:ind w:firstLine="420"/>
        <w:rPr>
          <w:sz w:val="21"/>
          <w:szCs w:val="21"/>
        </w:rPr>
      </w:pPr>
      <w:r>
        <w:rPr>
          <w:rFonts w:hint="eastAsia"/>
          <w:sz w:val="21"/>
          <w:szCs w:val="21"/>
        </w:rPr>
        <w:t xml:space="preserve">通过预测收益率曲线的形状和变化趋势，对各类型债券进行久期配置。具体策略又分为跟踪收益率曲线的骑乘策略和基于收益率曲线变化的子弹策略、杠铃策略及梯式策略。 </w:t>
      </w:r>
    </w:p>
    <w:p>
      <w:pPr>
        <w:pStyle w:val="7"/>
        <w:spacing w:before="0" w:beforeAutospacing="0" w:after="0" w:afterAutospacing="0" w:line="360" w:lineRule="auto"/>
        <w:ind w:firstLine="420"/>
        <w:rPr>
          <w:sz w:val="21"/>
          <w:szCs w:val="21"/>
        </w:rPr>
      </w:pPr>
      <w:r>
        <w:rPr>
          <w:rFonts w:hint="eastAsia"/>
          <w:sz w:val="21"/>
          <w:szCs w:val="21"/>
        </w:rPr>
        <w:t xml:space="preserve">2、信用策略 </w:t>
      </w:r>
    </w:p>
    <w:p>
      <w:pPr>
        <w:pStyle w:val="7"/>
        <w:spacing w:before="0" w:beforeAutospacing="0" w:after="0" w:afterAutospacing="0" w:line="360" w:lineRule="auto"/>
        <w:ind w:firstLine="420"/>
        <w:rPr>
          <w:sz w:val="21"/>
          <w:szCs w:val="21"/>
        </w:rPr>
      </w:pPr>
      <w:r>
        <w:rPr>
          <w:rFonts w:hint="eastAsia"/>
          <w:sz w:val="21"/>
          <w:szCs w:val="21"/>
        </w:rPr>
        <w:t xml:space="preserve">信用债收益率等于基准收益率加信用利差，信用利差收益主要受两个方面的影响，一是该信用债对应信用水平的市场平均信用利差曲线走势；二是该信用债本身的信用变化。基于这两方面的因素，本基金管理人分别采用（1）基于信用利差曲线变化策略和（2）基于信用债信用变化策略。 </w:t>
      </w:r>
    </w:p>
    <w:p>
      <w:pPr>
        <w:pStyle w:val="7"/>
        <w:spacing w:before="0" w:beforeAutospacing="0" w:after="0" w:afterAutospacing="0" w:line="360" w:lineRule="auto"/>
        <w:ind w:firstLine="420"/>
        <w:rPr>
          <w:sz w:val="21"/>
          <w:szCs w:val="21"/>
        </w:rPr>
      </w:pPr>
      <w:r>
        <w:rPr>
          <w:rFonts w:hint="eastAsia"/>
          <w:sz w:val="21"/>
          <w:szCs w:val="21"/>
        </w:rPr>
        <w:t xml:space="preserve">3、互换策略 </w:t>
      </w:r>
    </w:p>
    <w:p>
      <w:pPr>
        <w:pStyle w:val="7"/>
        <w:spacing w:before="0" w:beforeAutospacing="0" w:after="0" w:afterAutospacing="0" w:line="360" w:lineRule="auto"/>
        <w:ind w:firstLine="420"/>
        <w:rPr>
          <w:sz w:val="21"/>
          <w:szCs w:val="21"/>
        </w:rPr>
      </w:pPr>
      <w:r>
        <w:rPr>
          <w:rFonts w:hint="eastAsia"/>
          <w:sz w:val="21"/>
          <w:szCs w:val="21"/>
        </w:rPr>
        <w:t xml:space="preserve">不同券种在利息、违约风险、久期、流动性、税收和衍生条款等方面存在差别，投资管理人可以同时买入和卖出具有相近特性的两个或两个以上券种，赚取收益级差。 </w:t>
      </w:r>
    </w:p>
    <w:p>
      <w:pPr>
        <w:pStyle w:val="7"/>
        <w:spacing w:before="0" w:beforeAutospacing="0" w:after="0" w:afterAutospacing="0" w:line="360" w:lineRule="auto"/>
        <w:ind w:firstLine="420"/>
        <w:rPr>
          <w:sz w:val="21"/>
          <w:szCs w:val="21"/>
        </w:rPr>
      </w:pPr>
      <w:r>
        <w:rPr>
          <w:rFonts w:hint="eastAsia"/>
          <w:sz w:val="21"/>
          <w:szCs w:val="21"/>
        </w:rPr>
        <w:t xml:space="preserve">4、息差策略 </w:t>
      </w:r>
    </w:p>
    <w:p>
      <w:pPr>
        <w:pStyle w:val="7"/>
        <w:spacing w:before="0" w:beforeAutospacing="0" w:after="0" w:afterAutospacing="0" w:line="360" w:lineRule="auto"/>
        <w:ind w:firstLine="420"/>
        <w:rPr>
          <w:sz w:val="21"/>
          <w:szCs w:val="21"/>
        </w:rPr>
      </w:pPr>
      <w:r>
        <w:rPr>
          <w:rFonts w:hint="eastAsia"/>
          <w:sz w:val="21"/>
          <w:szCs w:val="21"/>
        </w:rPr>
        <w:t xml:space="preserve">通过正回购，融资买入收益率高于回购成本的债券，从而获得杠杆放大收益。 </w:t>
      </w:r>
    </w:p>
    <w:p>
      <w:pPr>
        <w:pStyle w:val="7"/>
        <w:spacing w:before="0" w:beforeAutospacing="0" w:after="0" w:afterAutospacing="0" w:line="360" w:lineRule="auto"/>
        <w:ind w:firstLine="420"/>
        <w:rPr>
          <w:sz w:val="21"/>
          <w:szCs w:val="21"/>
        </w:rPr>
      </w:pPr>
      <w:r>
        <w:rPr>
          <w:rFonts w:hint="eastAsia"/>
          <w:sz w:val="21"/>
          <w:szCs w:val="21"/>
        </w:rPr>
        <w:t xml:space="preserve">5、可转换债券投资策略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选择股性强的品种，获取超额收益。 </w:t>
      </w:r>
    </w:p>
    <w:p>
      <w:pPr>
        <w:pStyle w:val="7"/>
        <w:spacing w:before="0" w:beforeAutospacing="0" w:after="0" w:afterAutospacing="0" w:line="360" w:lineRule="auto"/>
        <w:ind w:firstLine="420"/>
        <w:rPr>
          <w:sz w:val="21"/>
          <w:szCs w:val="21"/>
        </w:rPr>
      </w:pPr>
      <w:r>
        <w:rPr>
          <w:rFonts w:hint="eastAsia"/>
          <w:sz w:val="21"/>
          <w:szCs w:val="21"/>
        </w:rPr>
        <w:t xml:space="preserve">6、中小企业私募债券投资策略 </w:t>
      </w:r>
    </w:p>
    <w:p>
      <w:pPr>
        <w:pStyle w:val="7"/>
        <w:spacing w:before="0" w:beforeAutospacing="0" w:after="0" w:afterAutospacing="0" w:line="360" w:lineRule="auto"/>
        <w:ind w:firstLine="420"/>
        <w:rPr>
          <w:sz w:val="21"/>
          <w:szCs w:val="21"/>
        </w:rPr>
      </w:pPr>
      <w:r>
        <w:rPr>
          <w:rFonts w:hint="eastAsia"/>
          <w:sz w:val="21"/>
          <w:szCs w:val="21"/>
        </w:rPr>
        <w:t xml:space="preserve">针对中小企业私募债券，本基金以持有到期、获得本金和票息收入为主要投资策略，同时，密切关注债券的信用风险变化，力争在控制风险的前提下，获得较高收益。 </w:t>
      </w:r>
    </w:p>
    <w:p>
      <w:pPr>
        <w:pStyle w:val="7"/>
        <w:spacing w:before="0" w:beforeAutospacing="0" w:after="0" w:afterAutospacing="0" w:line="360" w:lineRule="auto"/>
        <w:ind w:firstLine="420"/>
        <w:rPr>
          <w:sz w:val="21"/>
          <w:szCs w:val="21"/>
        </w:rPr>
      </w:pPr>
      <w:r>
        <w:rPr>
          <w:rFonts w:hint="eastAsia"/>
          <w:sz w:val="21"/>
          <w:szCs w:val="21"/>
        </w:rPr>
        <w:t xml:space="preserve">（三）股票投资策略 </w:t>
      </w:r>
    </w:p>
    <w:p>
      <w:pPr>
        <w:pStyle w:val="7"/>
        <w:spacing w:before="0" w:beforeAutospacing="0" w:after="0" w:afterAutospacing="0" w:line="360" w:lineRule="auto"/>
        <w:ind w:firstLine="420"/>
        <w:rPr>
          <w:sz w:val="21"/>
          <w:szCs w:val="21"/>
        </w:rPr>
      </w:pPr>
      <w:r>
        <w:rPr>
          <w:rFonts w:hint="eastAsia"/>
          <w:sz w:val="21"/>
          <w:szCs w:val="21"/>
        </w:rPr>
        <w:t xml:space="preserve">本基金的股票选择以价值投资理念和方法审慎选择投资标的。首先通过品质过滤对投资资金（IC）、息税后经营性利润（NOPAT）、投资资金回报率（ROIC）、每股息税后经营性利润（OEPS）等表征主营业务健康状况的系列财务指标的研究，按照本基金投资范围的界定、本基金管理人投资管理制度要求以及股票投资限制，筛选出在财务及管理上符合基本品质要求的标的。其次，本基金管理人深入研究公司基本面，精选低估值、低市值、低股价、高预期差主要选择以下六类未被市场主流认同的股票，组成本基金的精选股票库。说明如下： </w:t>
      </w:r>
    </w:p>
    <w:p>
      <w:pPr>
        <w:pStyle w:val="7"/>
        <w:spacing w:before="0" w:beforeAutospacing="0" w:after="0" w:afterAutospacing="0" w:line="360" w:lineRule="auto"/>
        <w:ind w:firstLine="420"/>
        <w:rPr>
          <w:sz w:val="21"/>
          <w:szCs w:val="21"/>
        </w:rPr>
      </w:pPr>
      <w:r>
        <w:rPr>
          <w:rFonts w:hint="eastAsia"/>
          <w:sz w:val="21"/>
          <w:szCs w:val="21"/>
        </w:rPr>
        <w:t xml:space="preserve">（1）       公司质地本身优秀但市场关注度较低的股票 </w:t>
      </w:r>
    </w:p>
    <w:p>
      <w:pPr>
        <w:pStyle w:val="7"/>
        <w:spacing w:before="0" w:beforeAutospacing="0" w:after="0" w:afterAutospacing="0" w:line="360" w:lineRule="auto"/>
        <w:ind w:firstLine="420"/>
        <w:rPr>
          <w:sz w:val="21"/>
          <w:szCs w:val="21"/>
        </w:rPr>
      </w:pPr>
      <w:r>
        <w:rPr>
          <w:rFonts w:hint="eastAsia"/>
          <w:sz w:val="21"/>
          <w:szCs w:val="21"/>
        </w:rPr>
        <w:t xml:space="preserve">由于政策环境、公司市值管理、卖方研究跟踪较少等原因，市场阶段性关注度较低的股票的成交相对不活跃，投资者对公司前景判断存在较大分歧，导致公司的估值远不能反应其成长性，股价往往未能充分反映其内在价值。 </w:t>
      </w:r>
    </w:p>
    <w:p>
      <w:pPr>
        <w:pStyle w:val="7"/>
        <w:spacing w:before="0" w:beforeAutospacing="0" w:after="0" w:afterAutospacing="0" w:line="360" w:lineRule="auto"/>
        <w:ind w:firstLine="420"/>
        <w:rPr>
          <w:sz w:val="21"/>
          <w:szCs w:val="21"/>
        </w:rPr>
      </w:pPr>
      <w:r>
        <w:rPr>
          <w:rFonts w:hint="eastAsia"/>
          <w:sz w:val="21"/>
          <w:szCs w:val="21"/>
        </w:rPr>
        <w:t xml:space="preserve">（2）治理结构有望改善但市场预期有限的股票 </w:t>
      </w:r>
    </w:p>
    <w:p>
      <w:pPr>
        <w:pStyle w:val="7"/>
        <w:spacing w:before="0" w:beforeAutospacing="0" w:after="0" w:afterAutospacing="0" w:line="360" w:lineRule="auto"/>
        <w:ind w:firstLine="420"/>
        <w:rPr>
          <w:sz w:val="21"/>
          <w:szCs w:val="21"/>
        </w:rPr>
      </w:pPr>
      <w:r>
        <w:rPr>
          <w:rFonts w:hint="eastAsia"/>
          <w:sz w:val="21"/>
          <w:szCs w:val="21"/>
        </w:rPr>
        <w:t xml:space="preserve">部分公司由于体制、历史原因，治理结构不完善导致公司盈利能力低于行业平均水平，使得公司估值被市场压制。而随着公司治理的改善，权责分明、人气重聚，业绩处于拐点时期，未来有很大提升空间。但大部分投资者可能因为担心判断失误等原因，未能准确预判这些公司治理结构改善的前景，股价未充分反映其基本面的良性变化，从而存在投资机会。 </w:t>
      </w:r>
    </w:p>
    <w:p>
      <w:pPr>
        <w:pStyle w:val="7"/>
        <w:spacing w:before="0" w:beforeAutospacing="0" w:after="0" w:afterAutospacing="0" w:line="360" w:lineRule="auto"/>
        <w:ind w:firstLine="420"/>
        <w:rPr>
          <w:sz w:val="21"/>
          <w:szCs w:val="21"/>
        </w:rPr>
      </w:pPr>
      <w:r>
        <w:rPr>
          <w:rFonts w:hint="eastAsia"/>
          <w:sz w:val="21"/>
          <w:szCs w:val="21"/>
        </w:rPr>
        <w:t xml:space="preserve">（3）涉及重大突发事件且为市场过度反应的股票 </w:t>
      </w:r>
    </w:p>
    <w:p>
      <w:pPr>
        <w:pStyle w:val="7"/>
        <w:spacing w:before="0" w:beforeAutospacing="0" w:after="0" w:afterAutospacing="0" w:line="360" w:lineRule="auto"/>
        <w:ind w:firstLine="420"/>
        <w:rPr>
          <w:sz w:val="21"/>
          <w:szCs w:val="21"/>
        </w:rPr>
      </w:pPr>
      <w:r>
        <w:rPr>
          <w:rFonts w:hint="eastAsia"/>
          <w:sz w:val="21"/>
          <w:szCs w:val="21"/>
        </w:rPr>
        <w:t xml:space="preserve">重大突发事件，包括但不限于核心人员变动、行业丑闻、重大诉讼、自然灾害等，往往在短期内会对相关上市公司造成较大冲击。黑天鹅事件发生往往造成阶段性错杀严重而忽视了公司的中长期的投资价值，从而导致公司股价出现过度反应，从而产生投资机会。对于市场过于乐观反应的个股，当其股价反应严重超出其合理估值范围时，本基金将设置预警信息，紧密跟踪个股走势变化，减少投资风险。 </w:t>
      </w:r>
    </w:p>
    <w:p>
      <w:pPr>
        <w:pStyle w:val="7"/>
        <w:spacing w:before="0" w:beforeAutospacing="0" w:after="0" w:afterAutospacing="0" w:line="360" w:lineRule="auto"/>
        <w:ind w:firstLine="420"/>
        <w:rPr>
          <w:sz w:val="21"/>
          <w:szCs w:val="21"/>
        </w:rPr>
      </w:pPr>
      <w:r>
        <w:rPr>
          <w:rFonts w:hint="eastAsia"/>
          <w:sz w:val="21"/>
          <w:szCs w:val="21"/>
        </w:rPr>
        <w:t xml:space="preserve">（4）行业未来景气度广阔而市场认知分歧较大的股票 </w:t>
      </w:r>
    </w:p>
    <w:p>
      <w:pPr>
        <w:pStyle w:val="7"/>
        <w:spacing w:before="0" w:beforeAutospacing="0" w:after="0" w:afterAutospacing="0" w:line="360" w:lineRule="auto"/>
        <w:ind w:firstLine="420"/>
        <w:rPr>
          <w:sz w:val="21"/>
          <w:szCs w:val="21"/>
        </w:rPr>
      </w:pPr>
      <w:r>
        <w:rPr>
          <w:rFonts w:hint="eastAsia"/>
          <w:sz w:val="21"/>
          <w:szCs w:val="21"/>
        </w:rPr>
        <w:t xml:space="preserve">对于时代变迁、科技进步等大环境因素，投资者的判断会存在很大分歧，从而影响到相关公司的前景预判，未能意识到公司未来广阔的成长前景，此时易于出现较高的预期差。随着公司经营情况发展，公司影响力及业绩的兑现，基本面的变化会逐步推升公司估值水平。本基金将基于内外部研究资源对未来有较大成长空间的公司进行深入调研分析，适时布局。 </w:t>
      </w:r>
    </w:p>
    <w:p>
      <w:pPr>
        <w:pStyle w:val="7"/>
        <w:spacing w:before="0" w:beforeAutospacing="0" w:after="0" w:afterAutospacing="0" w:line="360" w:lineRule="auto"/>
        <w:ind w:firstLine="420"/>
        <w:rPr>
          <w:sz w:val="21"/>
          <w:szCs w:val="21"/>
        </w:rPr>
      </w:pPr>
      <w:r>
        <w:rPr>
          <w:rFonts w:hint="eastAsia"/>
          <w:sz w:val="21"/>
          <w:szCs w:val="21"/>
        </w:rPr>
        <w:t xml:space="preserve">（5）景气存在复苏可能但尚未被市场充分发掘的股票 </w:t>
      </w:r>
    </w:p>
    <w:p>
      <w:pPr>
        <w:pStyle w:val="7"/>
        <w:spacing w:before="0" w:beforeAutospacing="0" w:after="0" w:afterAutospacing="0" w:line="360" w:lineRule="auto"/>
        <w:ind w:firstLine="420"/>
        <w:rPr>
          <w:sz w:val="21"/>
          <w:szCs w:val="21"/>
        </w:rPr>
      </w:pPr>
      <w:r>
        <w:rPr>
          <w:rFonts w:hint="eastAsia"/>
          <w:sz w:val="21"/>
          <w:szCs w:val="21"/>
        </w:rPr>
        <w:t>由于供求关系、产业政策、市场竞争等因素，上市公司的经营状况出现一些负面变化，景气度下滑。在经营环境等因素出现转机之后，企业景气存在复苏可能。但市场的反应相对滞后，未充分识别景气复苏的时点及程度，导致部分股票的价格滞后于实业本体的变化。本基金管理人将结合相关政策，从产业链和价值链的角度，利用波特五力模型，关注景气低迷但有望复苏的上市公司。</w:t>
      </w:r>
    </w:p>
    <w:p>
      <w:pPr>
        <w:pStyle w:val="7"/>
        <w:spacing w:before="0" w:beforeAutospacing="0" w:after="0" w:afterAutospacing="0" w:line="360" w:lineRule="auto"/>
        <w:ind w:firstLine="420"/>
        <w:rPr>
          <w:sz w:val="21"/>
          <w:szCs w:val="21"/>
        </w:rPr>
      </w:pPr>
      <w:r>
        <w:rPr>
          <w:rFonts w:hint="eastAsia"/>
          <w:sz w:val="21"/>
          <w:szCs w:val="21"/>
        </w:rPr>
        <w:t xml:space="preserve">    （6）可能或正处于并购重组或转型期但市场存在分歧的股票 </w:t>
      </w:r>
    </w:p>
    <w:p>
      <w:pPr>
        <w:pStyle w:val="7"/>
        <w:spacing w:before="0" w:beforeAutospacing="0" w:after="0" w:afterAutospacing="0" w:line="360" w:lineRule="auto"/>
        <w:ind w:firstLine="420"/>
        <w:rPr>
          <w:sz w:val="21"/>
          <w:szCs w:val="21"/>
        </w:rPr>
      </w:pPr>
      <w:r>
        <w:rPr>
          <w:rFonts w:hint="eastAsia"/>
          <w:sz w:val="21"/>
          <w:szCs w:val="21"/>
        </w:rPr>
        <w:t xml:space="preserve">并购和转型是目前不少传统产业公司的发展的出路，具体又分为产业链上下游实现产业内的重组整合，以及外延式扩张切入新领域。借助并购重组，上市公司可在管理、资金、产品研发、质量控制、营销能力或在新兴产业领域等方面增强竞争力，提升公司协同性和资源配置的优化，改善经营业绩，提升公司价值。但由于部分公司并购重组进程的长期性、曲折性和复杂性，不确定性风险在一定时期内可能被夸大。 </w:t>
      </w:r>
    </w:p>
    <w:p>
      <w:pPr>
        <w:pStyle w:val="7"/>
        <w:spacing w:before="0" w:beforeAutospacing="0" w:after="0" w:afterAutospacing="0" w:line="360" w:lineRule="auto"/>
        <w:ind w:firstLine="420"/>
        <w:rPr>
          <w:sz w:val="21"/>
          <w:szCs w:val="21"/>
        </w:rPr>
      </w:pPr>
      <w:r>
        <w:rPr>
          <w:rFonts w:hint="eastAsia"/>
          <w:sz w:val="21"/>
          <w:szCs w:val="21"/>
        </w:rPr>
        <w:t xml:space="preserve">本基金管理人深入研究国家产业政策导向、公司股权变更和信息披露等重要线索，在可能或正处于并购重组的上市公司中寻找市场存在分歧的股票。 </w:t>
      </w:r>
    </w:p>
    <w:p>
      <w:pPr>
        <w:pStyle w:val="7"/>
        <w:spacing w:before="0" w:beforeAutospacing="0" w:after="0" w:afterAutospacing="0" w:line="360" w:lineRule="auto"/>
        <w:ind w:firstLine="420"/>
        <w:rPr>
          <w:sz w:val="21"/>
          <w:szCs w:val="21"/>
        </w:rPr>
      </w:pPr>
      <w:r>
        <w:rPr>
          <w:rFonts w:hint="eastAsia"/>
          <w:sz w:val="21"/>
          <w:szCs w:val="21"/>
        </w:rPr>
        <w:t xml:space="preserve">（7）存托凭证投资策略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本基金将根据本基金的投资目标和股票投资策略，基于对基础证券投资价值的深入研究判断，进行存托凭证的投资。  </w:t>
      </w:r>
    </w:p>
    <w:p>
      <w:pPr>
        <w:pStyle w:val="7"/>
        <w:spacing w:before="0" w:beforeAutospacing="0" w:after="0" w:afterAutospacing="0" w:line="360" w:lineRule="auto"/>
        <w:ind w:firstLine="420"/>
        <w:rPr>
          <w:sz w:val="21"/>
          <w:szCs w:val="21"/>
        </w:rPr>
      </w:pPr>
      <w:r>
        <w:rPr>
          <w:rFonts w:hint="eastAsia"/>
          <w:sz w:val="21"/>
          <w:szCs w:val="21"/>
        </w:rPr>
        <w:t xml:space="preserve">（四）金融衍生品投资策略 </w:t>
      </w:r>
    </w:p>
    <w:p>
      <w:pPr>
        <w:pStyle w:val="7"/>
        <w:spacing w:before="0" w:beforeAutospacing="0" w:after="0" w:afterAutospacing="0" w:line="360" w:lineRule="auto"/>
        <w:ind w:firstLine="420"/>
        <w:rPr>
          <w:sz w:val="21"/>
          <w:szCs w:val="21"/>
        </w:rPr>
      </w:pPr>
      <w:r>
        <w:rPr>
          <w:rFonts w:hint="eastAsia"/>
          <w:sz w:val="21"/>
          <w:szCs w:val="21"/>
        </w:rPr>
        <w:t xml:space="preserve">1、权证投资策略 </w:t>
      </w:r>
    </w:p>
    <w:p>
      <w:pPr>
        <w:pStyle w:val="7"/>
        <w:spacing w:before="0" w:beforeAutospacing="0" w:after="0" w:afterAutospacing="0" w:line="360" w:lineRule="auto"/>
        <w:ind w:firstLine="420"/>
        <w:rPr>
          <w:sz w:val="21"/>
          <w:szCs w:val="21"/>
        </w:rPr>
      </w:pPr>
      <w:r>
        <w:rPr>
          <w:rFonts w:hint="eastAsia"/>
          <w:sz w:val="21"/>
          <w:szCs w:val="21"/>
        </w:rPr>
        <w:t xml:space="preserve">权证为本基金辅助性投资工具，投资原则为有利于基金资产增值、控制下跌风险。本基金在权证投资方面将以价值分析为基础，在采用数量化模型分析其合理定价的基础上，立足于无风险套利，力求稳健的投资收益。 </w:t>
      </w:r>
    </w:p>
    <w:p>
      <w:pPr>
        <w:pStyle w:val="7"/>
        <w:spacing w:before="0" w:beforeAutospacing="0" w:after="0" w:afterAutospacing="0" w:line="360" w:lineRule="auto"/>
        <w:ind w:firstLine="420"/>
        <w:rPr>
          <w:sz w:val="21"/>
          <w:szCs w:val="21"/>
        </w:rPr>
      </w:pPr>
      <w:r>
        <w:rPr>
          <w:rFonts w:hint="eastAsia"/>
          <w:sz w:val="21"/>
          <w:szCs w:val="21"/>
        </w:rPr>
        <w:t xml:space="preserve">2、股指期货、国债期货投资策略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本基金将根据风险管理的原则，以套期保值为目的，在风险可控的前提下，本着谨慎原则，参与股指期货、国债期货的投资，以管理投资组合的系统性风险，改善组合的风险收益特性。 </w:t>
      </w:r>
    </w:p>
    <w:p>
      <w:pPr>
        <w:pStyle w:val="7"/>
        <w:spacing w:before="0" w:beforeAutospacing="0" w:after="0" w:afterAutospacing="0" w:line="360" w:lineRule="auto"/>
        <w:ind w:firstLine="420"/>
        <w:rPr>
          <w:sz w:val="21"/>
          <w:szCs w:val="21"/>
        </w:rPr>
      </w:pPr>
      <w:r>
        <w:rPr>
          <w:rFonts w:hint="eastAsia"/>
          <w:sz w:val="21"/>
          <w:szCs w:val="21"/>
        </w:rPr>
        <w:t xml:space="preserve">（五）资产支持证券投资策略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本基金将通过对资产支持证券基础资产及结构设计的研究，结合多种定价模型，根据基金资产组合情况适度进行资产支持证券的投资。 </w:t>
      </w:r>
    </w:p>
    <w:p>
      <w:pPr>
        <w:pStyle w:val="7"/>
        <w:spacing w:before="0" w:beforeAutospacing="0" w:after="0" w:afterAutospacing="0" w:line="360" w:lineRule="auto"/>
        <w:ind w:firstLine="420"/>
        <w:rPr>
          <w:sz w:val="21"/>
          <w:szCs w:val="21"/>
        </w:rPr>
      </w:pPr>
      <w:r>
        <w:rPr>
          <w:rFonts w:hint="eastAsia"/>
          <w:sz w:val="21"/>
          <w:szCs w:val="21"/>
        </w:rPr>
        <w:t>未来随着证券市场投资工具的发展和丰富，在符合有关法律法规规定的前提下，在履行</w:t>
      </w:r>
      <w:bookmarkStart w:id="123" w:name="chapter_level1_11_60_section_1_end"/>
      <w:bookmarkEnd w:id="123"/>
      <w:r>
        <w:rPr>
          <w:rFonts w:hint="eastAsia"/>
          <w:sz w:val="21"/>
          <w:szCs w:val="21"/>
        </w:rPr>
        <w:t xml:space="preserve">适当程序后，本基金可相应调整和更新相关投资策略。 </w:t>
      </w:r>
      <w:bookmarkStart w:id="124" w:name="field_60_investmentstrategy_1_end"/>
      <w:bookmarkEnd w:id="124"/>
      <w:r>
        <w:rPr>
          <w:rFonts w:hint="eastAsia"/>
          <w:sz w:val="21"/>
          <w:szCs w:val="21"/>
        </w:rPr>
        <w:t xml:space="preserve">  </w:t>
      </w:r>
    </w:p>
    <w:p>
      <w:pPr>
        <w:pStyle w:val="7"/>
        <w:spacing w:before="0" w:beforeAutospacing="0" w:after="0" w:afterAutospacing="0" w:line="360" w:lineRule="auto"/>
        <w:ind w:firstLine="420"/>
        <w:rPr>
          <w:sz w:val="21"/>
          <w:szCs w:val="21"/>
        </w:rPr>
      </w:pPr>
      <w:bookmarkStart w:id="125" w:name="chapter_level1_11_60_section_2"/>
      <w:bookmarkEnd w:id="125"/>
      <w:r>
        <w:rPr>
          <w:rStyle w:val="11"/>
          <w:rFonts w:hint="eastAsia"/>
          <w:sz w:val="21"/>
          <w:szCs w:val="21"/>
        </w:rPr>
        <w:t>四、投资限制</w:t>
      </w:r>
    </w:p>
    <w:p>
      <w:pPr>
        <w:pStyle w:val="7"/>
        <w:spacing w:before="0" w:beforeAutospacing="0" w:after="0" w:afterAutospacing="0" w:line="360" w:lineRule="auto"/>
        <w:ind w:firstLine="420"/>
        <w:rPr>
          <w:sz w:val="21"/>
          <w:szCs w:val="21"/>
        </w:rPr>
      </w:pPr>
      <w:r>
        <w:rPr>
          <w:rFonts w:hint="eastAsia"/>
          <w:sz w:val="21"/>
          <w:szCs w:val="21"/>
        </w:rPr>
        <w:t xml:space="preserve">1、组合限制 </w:t>
      </w:r>
    </w:p>
    <w:p>
      <w:pPr>
        <w:pStyle w:val="7"/>
        <w:spacing w:before="0" w:beforeAutospacing="0" w:after="0" w:afterAutospacing="0" w:line="360" w:lineRule="auto"/>
        <w:ind w:firstLine="420"/>
        <w:rPr>
          <w:sz w:val="21"/>
          <w:szCs w:val="21"/>
        </w:rPr>
      </w:pPr>
      <w:r>
        <w:rPr>
          <w:rFonts w:hint="eastAsia"/>
          <w:sz w:val="21"/>
          <w:szCs w:val="21"/>
        </w:rPr>
        <w:t xml:space="preserve">基金的投资组合应遵循以下限制： </w:t>
      </w:r>
    </w:p>
    <w:p>
      <w:pPr>
        <w:pStyle w:val="7"/>
        <w:spacing w:before="0" w:beforeAutospacing="0" w:after="0" w:afterAutospacing="0" w:line="360" w:lineRule="auto"/>
        <w:ind w:firstLine="420"/>
        <w:rPr>
          <w:sz w:val="21"/>
          <w:szCs w:val="21"/>
        </w:rPr>
      </w:pPr>
      <w:r>
        <w:rPr>
          <w:rFonts w:hint="eastAsia"/>
          <w:sz w:val="21"/>
          <w:szCs w:val="21"/>
        </w:rPr>
        <w:t xml:space="preserve">（1）本基金股票（含存托凭证）投资比例为基金资产的60%-95%；投资于逆向投资主题股票的资产占非现金基金资产的比例不低于80%； </w:t>
      </w:r>
    </w:p>
    <w:p>
      <w:pPr>
        <w:pStyle w:val="7"/>
        <w:spacing w:before="0" w:beforeAutospacing="0" w:after="0" w:afterAutospacing="0" w:line="360" w:lineRule="auto"/>
        <w:ind w:firstLine="420"/>
        <w:rPr>
          <w:sz w:val="21"/>
          <w:szCs w:val="21"/>
        </w:rPr>
      </w:pPr>
      <w:r>
        <w:rPr>
          <w:rFonts w:hint="eastAsia"/>
          <w:sz w:val="21"/>
          <w:szCs w:val="21"/>
        </w:rPr>
        <w:t xml:space="preserve">（2）每个交易日日终在扣除股指期货合约、国债期货合约需缴纳的交易保证金后，保持不低于基金资产净值5％的现金或者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（3）本基金持有一家公司发行的证券（含存托凭证），其市值不超过基金资产净值的10％；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（4）本基金管理人管理的全部基金持有一家公司发行的证券（含存托凭证），不超过该证券的10％； </w:t>
      </w:r>
    </w:p>
    <w:p>
      <w:pPr>
        <w:pStyle w:val="7"/>
        <w:spacing w:before="0" w:beforeAutospacing="0" w:after="0" w:afterAutospacing="0" w:line="360" w:lineRule="auto"/>
        <w:ind w:firstLine="420"/>
        <w:rPr>
          <w:sz w:val="21"/>
          <w:szCs w:val="21"/>
        </w:rPr>
      </w:pPr>
      <w:r>
        <w:rPr>
          <w:rFonts w:hint="eastAsia"/>
          <w:sz w:val="21"/>
          <w:szCs w:val="21"/>
        </w:rPr>
        <w:t xml:space="preserve">（5）基金资产总值不得超过基金资产净值的140%； </w:t>
      </w:r>
    </w:p>
    <w:p>
      <w:pPr>
        <w:pStyle w:val="7"/>
        <w:spacing w:before="0" w:beforeAutospacing="0" w:after="0" w:afterAutospacing="0" w:line="360" w:lineRule="auto"/>
        <w:ind w:firstLine="420"/>
        <w:rPr>
          <w:sz w:val="21"/>
          <w:szCs w:val="21"/>
        </w:rPr>
      </w:pPr>
      <w:r>
        <w:rPr>
          <w:rFonts w:hint="eastAsia"/>
          <w:sz w:val="21"/>
          <w:szCs w:val="21"/>
        </w:rPr>
        <w:t xml:space="preserve">（6）本基金持有的全部权证，其市值不得超过基金资产净值的3％；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（7）本基金管理人管理的全部基金持有的同一权证，不得超过该权证的10％；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（8）本基金在任何交易日买入权证的总金额，不得超过上一交易日基金资产净值的0.5％；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（9）本基金投资于同一原始权益人的各类资产支持证券的比例，不得超过基金资产净值的10％；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（10）本基金持有的全部资产支持证券，其市值不得超过基金资产净值的20％；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（11）本基金持有的同一（指同一信用级别）资产支持证券的比例，不得超过该资产支持证券规模的10％；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（12）本基金管理人管理的全部基金投资于同一原始权益人的各类资产支持证券，不得超过其各类资产支持证券合计规模的10％；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（14）基金财产参与股票发行申购，本基金所申报的金额不超过本基金的总资产，本基金所申报的股票数量不超过拟发行股票公司本次发行股票的总量；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（15）本基金参与股指期货、国债期货交易后，需遵守下列规定： </w:t>
      </w:r>
    </w:p>
    <w:p>
      <w:pPr>
        <w:pStyle w:val="7"/>
        <w:spacing w:before="0" w:beforeAutospacing="0" w:after="0" w:afterAutospacing="0" w:line="360" w:lineRule="auto"/>
        <w:ind w:firstLine="420"/>
        <w:rPr>
          <w:sz w:val="21"/>
          <w:szCs w:val="21"/>
        </w:rPr>
      </w:pPr>
      <w:r>
        <w:rPr>
          <w:rFonts w:hint="eastAsia"/>
          <w:sz w:val="21"/>
          <w:szCs w:val="21"/>
        </w:rPr>
        <w:t xml:space="preserve">本基金在任何交易日日终，持有的买入股指期货合约价值，不得超过基金资产净值的10%；本基金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本基金在任何交易日日终，持有的卖出股指期货合约价值不得超过基金持有的股票总市值的20%；本基金在任何交易日内交易（不包括平仓）的股指期货合约的成交金额不得超过上一交易日基金资产净值的20%；本基金所持有的股票市值和买入、卖出股指期货合约价值，合计（轧差计算）应当符合基金合同关于股票投资比例的有关规定； </w:t>
      </w:r>
    </w:p>
    <w:p>
      <w:pPr>
        <w:pStyle w:val="7"/>
        <w:spacing w:before="0" w:beforeAutospacing="0" w:after="0" w:afterAutospacing="0" w:line="360" w:lineRule="auto"/>
        <w:ind w:firstLine="420"/>
        <w:rPr>
          <w:sz w:val="21"/>
          <w:szCs w:val="21"/>
        </w:rPr>
      </w:pPr>
      <w:r>
        <w:rPr>
          <w:rFonts w:hint="eastAsia"/>
          <w:sz w:val="21"/>
          <w:szCs w:val="21"/>
        </w:rPr>
        <w:t xml:space="preserve">本基金在任何交易日日终，持有的买入国债期货合约价值，不得超过基金资产净值的15%；在任何交易日日终，持有的卖出国债期货合约价值不得超过基金持有的债券总市值的30%；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 </w:t>
      </w:r>
    </w:p>
    <w:p>
      <w:pPr>
        <w:pStyle w:val="7"/>
        <w:spacing w:before="0" w:beforeAutospacing="0" w:after="0" w:afterAutospacing="0" w:line="360" w:lineRule="auto"/>
        <w:ind w:firstLine="420"/>
        <w:rPr>
          <w:sz w:val="21"/>
          <w:szCs w:val="21"/>
        </w:rPr>
      </w:pPr>
      <w:r>
        <w:rPr>
          <w:rFonts w:hint="eastAsia"/>
          <w:sz w:val="21"/>
          <w:szCs w:val="21"/>
        </w:rPr>
        <w:t xml:space="preserve">（16）本基金进入全国银行间同业市场进行债券回购的资金余额不得超过基金资产净值的40%；债券回购最长期限为1年，债券回购到期后不得展期； </w:t>
      </w:r>
    </w:p>
    <w:p>
      <w:pPr>
        <w:pStyle w:val="7"/>
        <w:spacing w:before="0" w:beforeAutospacing="0" w:after="0" w:afterAutospacing="0" w:line="360" w:lineRule="auto"/>
        <w:ind w:firstLine="420"/>
        <w:rPr>
          <w:sz w:val="21"/>
          <w:szCs w:val="21"/>
        </w:rPr>
      </w:pPr>
      <w:r>
        <w:rPr>
          <w:rFonts w:hint="eastAsia"/>
          <w:sz w:val="21"/>
          <w:szCs w:val="21"/>
        </w:rPr>
        <w:t xml:space="preserve">（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pPr>
        <w:pStyle w:val="7"/>
        <w:spacing w:before="0" w:beforeAutospacing="0" w:after="0" w:afterAutospacing="0" w:line="360" w:lineRule="auto"/>
        <w:ind w:firstLine="420"/>
        <w:rPr>
          <w:sz w:val="21"/>
          <w:szCs w:val="21"/>
        </w:rPr>
      </w:pPr>
      <w:r>
        <w:rPr>
          <w:rFonts w:hint="eastAsia"/>
          <w:sz w:val="21"/>
          <w:szCs w:val="21"/>
        </w:rPr>
        <w:t xml:space="preserve">（18）本基金主动投资于流动性受限资产的市值合计不得超过本基金资产净值的15%；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（19）本基金与私募类证券资管产品及中国证监会认定的其他主体为交易对手开展逆回购交易的，可接受质押品的资质要求应当与基金合同约定的投资范围保持一致；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（20）法律法规及中国证监会规定的和《基金合同》约定的其他投资比例限制。 </w:t>
      </w:r>
    </w:p>
    <w:p>
      <w:pPr>
        <w:pStyle w:val="7"/>
        <w:spacing w:before="0" w:beforeAutospacing="0" w:after="0" w:afterAutospacing="0" w:line="360" w:lineRule="auto"/>
        <w:ind w:firstLine="420"/>
        <w:rPr>
          <w:sz w:val="21"/>
          <w:szCs w:val="21"/>
        </w:rPr>
      </w:pPr>
      <w:r>
        <w:rPr>
          <w:rFonts w:hint="eastAsia"/>
          <w:sz w:val="21"/>
          <w:szCs w:val="21"/>
        </w:rPr>
        <w:t xml:space="preserve">除上述第（2）、（13）、（18）、（19）条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法律法规或监管部门取消或调整上述限制，如适用于本基金，基金管理人在履行适当程序后，则本基金投资不再受相关限制或按调整后的规定执行。 </w:t>
      </w:r>
    </w:p>
    <w:p>
      <w:pPr>
        <w:pStyle w:val="7"/>
        <w:spacing w:before="0" w:beforeAutospacing="0" w:after="0" w:afterAutospacing="0" w:line="360" w:lineRule="auto"/>
        <w:ind w:firstLine="420"/>
        <w:rPr>
          <w:sz w:val="21"/>
          <w:szCs w:val="21"/>
        </w:rPr>
      </w:pPr>
      <w:r>
        <w:rPr>
          <w:rFonts w:hint="eastAsia"/>
          <w:sz w:val="21"/>
          <w:szCs w:val="21"/>
        </w:rPr>
        <w:t xml:space="preserve">2、禁止行为 </w:t>
      </w:r>
    </w:p>
    <w:p>
      <w:pPr>
        <w:pStyle w:val="7"/>
        <w:spacing w:before="0" w:beforeAutospacing="0" w:after="0" w:afterAutospacing="0" w:line="360" w:lineRule="auto"/>
        <w:ind w:firstLine="420"/>
        <w:rPr>
          <w:sz w:val="21"/>
          <w:szCs w:val="21"/>
        </w:rPr>
      </w:pPr>
      <w:r>
        <w:rPr>
          <w:rFonts w:hint="eastAsia"/>
          <w:sz w:val="21"/>
          <w:szCs w:val="21"/>
        </w:rPr>
        <w:t xml:space="preserve">为维护基金份额持有人的合法权益，基金财产不得用于下列投资或者活动： </w:t>
      </w:r>
    </w:p>
    <w:p>
      <w:pPr>
        <w:pStyle w:val="7"/>
        <w:spacing w:before="0" w:beforeAutospacing="0" w:after="0" w:afterAutospacing="0" w:line="360" w:lineRule="auto"/>
        <w:ind w:firstLine="420"/>
        <w:rPr>
          <w:sz w:val="21"/>
          <w:szCs w:val="21"/>
        </w:rPr>
      </w:pPr>
      <w:r>
        <w:rPr>
          <w:rFonts w:hint="eastAsia"/>
          <w:sz w:val="21"/>
          <w:szCs w:val="21"/>
        </w:rPr>
        <w:t xml:space="preserve">（1）承销证券； </w:t>
      </w:r>
    </w:p>
    <w:p>
      <w:pPr>
        <w:pStyle w:val="7"/>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pPr>
        <w:pStyle w:val="7"/>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（4）买卖其他基金份额，但是中国证监会另有规定的除外；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pPr>
        <w:pStyle w:val="7"/>
        <w:spacing w:before="0" w:beforeAutospacing="0" w:after="0" w:afterAutospacing="0" w:line="360" w:lineRule="auto"/>
        <w:ind w:firstLine="420"/>
        <w:rPr>
          <w:sz w:val="21"/>
          <w:szCs w:val="21"/>
        </w:rPr>
      </w:pPr>
      <w:r>
        <w:rPr>
          <w:rFonts w:hint="eastAsia"/>
          <w:sz w:val="21"/>
          <w:szCs w:val="21"/>
        </w:rPr>
        <w:t xml:space="preserve">（6）从事内幕交易、操纵证券交易价格及其他不正当的证券交易活动； </w:t>
      </w:r>
    </w:p>
    <w:p>
      <w:pPr>
        <w:pStyle w:val="7"/>
        <w:spacing w:before="0" w:beforeAutospacing="0" w:after="0" w:afterAutospacing="0" w:line="360" w:lineRule="auto"/>
        <w:ind w:firstLine="420"/>
        <w:rPr>
          <w:sz w:val="21"/>
          <w:szCs w:val="21"/>
        </w:rPr>
      </w:pPr>
      <w:r>
        <w:rPr>
          <w:rFonts w:hint="eastAsia"/>
          <w:sz w:val="21"/>
          <w:szCs w:val="21"/>
        </w:rPr>
        <w:t xml:space="preserve">（7）法律、行政法规和中国证监会规定禁止的其他活动。 </w:t>
      </w:r>
    </w:p>
    <w:p>
      <w:pPr>
        <w:pStyle w:val="7"/>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pPr>
        <w:pStyle w:val="7"/>
        <w:spacing w:before="0" w:beforeAutospacing="0" w:after="0" w:afterAutospacing="0" w:line="360" w:lineRule="auto"/>
        <w:ind w:firstLine="420"/>
        <w:rPr>
          <w:sz w:val="21"/>
          <w:szCs w:val="21"/>
        </w:rPr>
      </w:pPr>
      <w:r>
        <w:rPr>
          <w:rFonts w:hint="eastAsia"/>
          <w:sz w:val="21"/>
          <w:szCs w:val="21"/>
        </w:rPr>
        <w:t xml:space="preserve">法律、行政法规或监管部门取消上述禁止性规定，如适用于本基金，基金管理人在履行适当程序后，则本基金投资不再受相关限制。 </w:t>
      </w:r>
    </w:p>
    <w:p>
      <w:pPr>
        <w:pStyle w:val="7"/>
        <w:spacing w:before="0" w:beforeAutospacing="0" w:after="0" w:afterAutospacing="0" w:line="360" w:lineRule="auto"/>
        <w:ind w:firstLine="420"/>
        <w:rPr>
          <w:sz w:val="21"/>
          <w:szCs w:val="21"/>
        </w:rPr>
      </w:pPr>
      <w:bookmarkStart w:id="126" w:name="chapter_level1_11_60_section_2_end"/>
      <w:bookmarkEnd w:id="126"/>
      <w:r>
        <w:rPr>
          <w:rStyle w:val="11"/>
          <w:rFonts w:hint="eastAsia"/>
          <w:sz w:val="21"/>
          <w:szCs w:val="21"/>
        </w:rPr>
        <w:t>五、业绩比较基准</w:t>
      </w:r>
    </w:p>
    <w:p>
      <w:pPr>
        <w:pStyle w:val="7"/>
        <w:spacing w:before="0" w:beforeAutospacing="0" w:after="0" w:afterAutospacing="0" w:line="360" w:lineRule="auto"/>
        <w:ind w:firstLine="420"/>
        <w:rPr>
          <w:sz w:val="21"/>
          <w:szCs w:val="21"/>
        </w:rPr>
      </w:pPr>
      <w:bookmarkStart w:id="127" w:name="chapter_level1_11_60_section_3"/>
      <w:bookmarkEnd w:id="127"/>
      <w:r>
        <w:rPr>
          <w:rFonts w:hint="eastAsia"/>
          <w:sz w:val="21"/>
          <w:szCs w:val="21"/>
        </w:rPr>
        <w:t>本基金的业绩比较基准为：</w:t>
      </w:r>
      <w:bookmarkStart w:id="128" w:name="field_60_benchmark_1_start"/>
      <w:bookmarkEnd w:id="128"/>
      <w:r>
        <w:rPr>
          <w:rFonts w:hint="eastAsia"/>
          <w:sz w:val="21"/>
          <w:szCs w:val="21"/>
        </w:rPr>
        <w:t xml:space="preserve">沪深300指数收益率*70%+中债综合财富（总值）指数收益率*30%。  </w:t>
      </w:r>
      <w:bookmarkStart w:id="129" w:name="field_60_benchmark_1_end"/>
      <w:bookmarkEnd w:id="129"/>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沪深300指数是由沪深A股中规模大、流动性好的最具代表性的300只股票组成，于2005年4月8日正式发布，以综合反映沪深A股市场整体表现。中证综合财富（总值）债券指数是综合反映银行间和交易所市场国债、金融债、企业债、央票及短融整体走势的跨市场债券指数。本基金投资于股票资产占基金资产的60%-95%，因此以“沪深300指数收益率*70% +中债综合财富（总值）指数收益率*30%”为本基金业绩比较基准能够较好反应本基金的产品特性及风险收益特征。 </w:t>
      </w:r>
    </w:p>
    <w:p>
      <w:pPr>
        <w:pStyle w:val="7"/>
        <w:spacing w:before="0" w:beforeAutospacing="0" w:after="0" w:afterAutospacing="0" w:line="360" w:lineRule="auto"/>
        <w:ind w:firstLine="420"/>
        <w:rPr>
          <w:sz w:val="21"/>
          <w:szCs w:val="21"/>
        </w:rPr>
      </w:pPr>
      <w:r>
        <w:rPr>
          <w:rFonts w:hint="eastAsia"/>
          <w:sz w:val="21"/>
          <w:szCs w:val="21"/>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w:t>
      </w:r>
      <w:bookmarkStart w:id="130" w:name="chapter_level1_11_60_section_3_end"/>
      <w:bookmarkEnd w:id="130"/>
      <w:r>
        <w:rPr>
          <w:rFonts w:hint="eastAsia"/>
          <w:sz w:val="21"/>
          <w:szCs w:val="21"/>
        </w:rPr>
        <w:t xml:space="preserve">有人大会。 </w:t>
      </w:r>
    </w:p>
    <w:p>
      <w:pPr>
        <w:pStyle w:val="7"/>
        <w:spacing w:before="0" w:beforeAutospacing="0" w:after="0" w:afterAutospacing="0" w:line="360" w:lineRule="auto"/>
        <w:ind w:firstLine="420"/>
        <w:rPr>
          <w:sz w:val="21"/>
          <w:szCs w:val="21"/>
        </w:rPr>
      </w:pPr>
      <w:bookmarkStart w:id="131" w:name="chapter_level1_11_60_section_4"/>
      <w:bookmarkEnd w:id="131"/>
      <w:r>
        <w:rPr>
          <w:rStyle w:val="11"/>
          <w:rFonts w:hint="eastAsia"/>
          <w:sz w:val="21"/>
          <w:szCs w:val="21"/>
        </w:rPr>
        <w:t>六、风险收益特征</w:t>
      </w:r>
    </w:p>
    <w:p>
      <w:pPr>
        <w:pStyle w:val="7"/>
        <w:spacing w:before="0" w:beforeAutospacing="0" w:after="0" w:afterAutospacing="0" w:line="360" w:lineRule="auto"/>
        <w:ind w:firstLine="420"/>
        <w:rPr>
          <w:sz w:val="21"/>
          <w:szCs w:val="21"/>
        </w:rPr>
      </w:pPr>
      <w:bookmarkStart w:id="132" w:name="field_60_riskyield_1_start"/>
      <w:bookmarkEnd w:id="132"/>
      <w:r>
        <w:rPr>
          <w:rFonts w:hint="eastAsia"/>
          <w:sz w:val="21"/>
          <w:szCs w:val="21"/>
        </w:rPr>
        <w:t xml:space="preserve">本基金为混合型基金，其预期收益及预期风险水平低于股票型基金，高于债券型基金及货币市场基金，属于中高收益/风险特征的基金。  </w:t>
      </w:r>
      <w:bookmarkStart w:id="133" w:name="field_60_riskyield_1_end"/>
      <w:bookmarkEnd w:id="133"/>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七、基金管理人代表基金行使股东和债权人权利的处理原则及方法</w:t>
      </w:r>
    </w:p>
    <w:p>
      <w:pPr>
        <w:pStyle w:val="7"/>
        <w:spacing w:before="0" w:beforeAutospacing="0" w:after="0" w:afterAutospacing="0" w:line="360" w:lineRule="auto"/>
        <w:ind w:firstLine="420"/>
        <w:rPr>
          <w:sz w:val="21"/>
          <w:szCs w:val="21"/>
        </w:rPr>
      </w:pPr>
      <w:r>
        <w:rPr>
          <w:rFonts w:hint="eastAsia"/>
          <w:sz w:val="21"/>
          <w:szCs w:val="21"/>
        </w:rPr>
        <w:t xml:space="preserve">1、基金管理人按照国家有关规定代表基金独立行使股东和债权人权利，保护基金份额持有人的利益； </w:t>
      </w:r>
    </w:p>
    <w:p>
      <w:pPr>
        <w:pStyle w:val="7"/>
        <w:spacing w:before="0" w:beforeAutospacing="0" w:after="0" w:afterAutospacing="0" w:line="360" w:lineRule="auto"/>
        <w:ind w:firstLine="420"/>
        <w:rPr>
          <w:sz w:val="21"/>
          <w:szCs w:val="21"/>
        </w:rPr>
      </w:pPr>
      <w:r>
        <w:rPr>
          <w:rFonts w:hint="eastAsia"/>
          <w:sz w:val="21"/>
          <w:szCs w:val="21"/>
        </w:rPr>
        <w:t xml:space="preserve">2、不谋求对上市公司的控股，不参与所投资上市公司的经营管理； </w:t>
      </w:r>
    </w:p>
    <w:p>
      <w:pPr>
        <w:pStyle w:val="7"/>
        <w:spacing w:before="0" w:beforeAutospacing="0" w:after="0" w:afterAutospacing="0" w:line="360" w:lineRule="auto"/>
        <w:ind w:firstLine="420"/>
        <w:rPr>
          <w:sz w:val="21"/>
          <w:szCs w:val="21"/>
        </w:rPr>
      </w:pPr>
      <w:r>
        <w:rPr>
          <w:rFonts w:hint="eastAsia"/>
          <w:sz w:val="21"/>
          <w:szCs w:val="21"/>
        </w:rPr>
        <w:t xml:space="preserve">3、有利于基金财产的安全与增值； </w:t>
      </w:r>
    </w:p>
    <w:p>
      <w:pPr>
        <w:pStyle w:val="7"/>
        <w:spacing w:before="0" w:beforeAutospacing="0" w:after="0" w:afterAutospacing="0" w:line="360" w:lineRule="auto"/>
        <w:ind w:firstLine="420"/>
        <w:rPr>
          <w:sz w:val="21"/>
          <w:szCs w:val="21"/>
        </w:rPr>
      </w:pPr>
      <w:r>
        <w:rPr>
          <w:rFonts w:hint="eastAsia"/>
          <w:sz w:val="21"/>
          <w:szCs w:val="21"/>
        </w:rPr>
        <w:t>4、不通过关联交易为自身、雇员、授权代理人或任何存在利害关系的第三人牟取任何</w:t>
      </w:r>
      <w:bookmarkStart w:id="134" w:name="chapter_level1_11_60_section_4_end"/>
      <w:bookmarkEnd w:id="134"/>
      <w:r>
        <w:rPr>
          <w:rFonts w:hint="eastAsia"/>
          <w:sz w:val="21"/>
          <w:szCs w:val="21"/>
        </w:rPr>
        <w:t xml:space="preserve">不当利益。 </w:t>
      </w:r>
    </w:p>
    <w:p>
      <w:pPr>
        <w:pStyle w:val="7"/>
        <w:spacing w:before="0" w:beforeAutospacing="0" w:after="0" w:afterAutospacing="0" w:line="360" w:lineRule="auto"/>
        <w:ind w:firstLine="420"/>
        <w:rPr>
          <w:sz w:val="21"/>
          <w:szCs w:val="21"/>
        </w:rPr>
      </w:pPr>
      <w:bookmarkStart w:id="135" w:name="chapter_level1_11_60_section_5_end"/>
      <w:bookmarkEnd w:id="135"/>
      <w:bookmarkStart w:id="136" w:name="chapter_level1_11_60_section_5"/>
      <w:bookmarkEnd w:id="136"/>
      <w:r>
        <w:rPr>
          <w:rStyle w:val="11"/>
          <w:rFonts w:hint="eastAsia"/>
          <w:sz w:val="21"/>
          <w:szCs w:val="21"/>
        </w:rPr>
        <w:t>八、基金投资组合报告</w:t>
      </w:r>
    </w:p>
    <w:p>
      <w:pPr>
        <w:pStyle w:val="7"/>
        <w:spacing w:before="0" w:beforeAutospacing="0" w:after="0" w:afterAutospacing="0" w:line="360" w:lineRule="auto"/>
        <w:ind w:firstLine="420"/>
        <w:rPr>
          <w:sz w:val="21"/>
          <w:szCs w:val="21"/>
        </w:rPr>
      </w:pPr>
      <w:bookmarkStart w:id="137" w:name="chapter_level1_11_60_section_6"/>
      <w:bookmarkEnd w:id="137"/>
      <w:r>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pPr>
        <w:pStyle w:val="7"/>
        <w:spacing w:before="0" w:beforeAutospacing="0" w:after="0" w:afterAutospacing="0" w:line="360" w:lineRule="auto"/>
        <w:ind w:firstLine="420"/>
        <w:rPr>
          <w:sz w:val="21"/>
          <w:szCs w:val="21"/>
        </w:rPr>
      </w:pPr>
      <w:r>
        <w:rPr>
          <w:rFonts w:hint="eastAsia"/>
          <w:sz w:val="21"/>
          <w:szCs w:val="21"/>
        </w:rPr>
        <w:t xml:space="preserve">基金托管人根据基金合同规定，复核了本报告中的净值表现和投资组合报告等内容，保证复核内容不存在虚假记载、误导性陈述或者重大遗漏。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本投资组合报告所载数据截至</w:t>
      </w:r>
      <w:bookmarkStart w:id="138" w:name="field_2343_financeendday_2"/>
      <w:r>
        <w:rPr>
          <w:sz w:val="21"/>
          <w:szCs w:val="21"/>
        </w:rPr>
        <w:t>2022年6月30日</w:t>
      </w:r>
      <w:bookmarkEnd w:id="138"/>
      <w:r>
        <w:rPr>
          <w:rFonts w:hint="eastAsia"/>
          <w:sz w:val="21"/>
          <w:szCs w:val="21"/>
        </w:rPr>
        <w:t xml:space="preserve">，本报告中所列财务数据未经审计。 </w:t>
      </w:r>
    </w:p>
    <w:p>
      <w:pPr>
        <w:pStyle w:val="7"/>
        <w:spacing w:before="0" w:beforeAutospacing="0" w:after="0" w:afterAutospacing="0" w:line="360" w:lineRule="auto"/>
        <w:ind w:firstLine="420"/>
        <w:rPr>
          <w:sz w:val="21"/>
          <w:szCs w:val="21"/>
        </w:rPr>
      </w:pPr>
      <w:r>
        <w:rPr>
          <w:rFonts w:hint="eastAsia"/>
          <w:sz w:val="21"/>
          <w:szCs w:val="21"/>
        </w:rPr>
        <w:t xml:space="preserve">1报告期末基金资产组合情况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3208"/>
        <w:gridCol w:w="2442"/>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tcPr>
          <w:p>
            <w:pPr>
              <w:pStyle w:val="7"/>
              <w:jc w:val="center"/>
              <w:rPr>
                <w:sz w:val="21"/>
                <w:szCs w:val="21"/>
              </w:rPr>
            </w:pPr>
            <w:r>
              <w:rPr>
                <w:rFonts w:hint="eastAsia"/>
                <w:sz w:val="21"/>
                <w:szCs w:val="21"/>
              </w:rPr>
              <w:t xml:space="preserve">序号 </w:t>
            </w:r>
          </w:p>
        </w:tc>
        <w:tc>
          <w:tcPr>
            <w:tcW w:w="4200" w:type="dxa"/>
            <w:shd w:val="clear" w:color="auto" w:fill="auto"/>
          </w:tcPr>
          <w:p>
            <w:pPr>
              <w:pStyle w:val="7"/>
              <w:jc w:val="center"/>
              <w:rPr>
                <w:sz w:val="21"/>
                <w:szCs w:val="21"/>
              </w:rPr>
            </w:pPr>
            <w:r>
              <w:rPr>
                <w:rFonts w:hint="eastAsia"/>
                <w:sz w:val="21"/>
                <w:szCs w:val="21"/>
              </w:rPr>
              <w:t xml:space="preserve">项目 </w:t>
            </w:r>
          </w:p>
        </w:tc>
        <w:tc>
          <w:tcPr>
            <w:tcW w:w="2790" w:type="dxa"/>
            <w:shd w:val="clear" w:color="auto" w:fill="auto"/>
          </w:tcPr>
          <w:p>
            <w:pPr>
              <w:pStyle w:val="7"/>
              <w:jc w:val="center"/>
              <w:rPr>
                <w:sz w:val="21"/>
                <w:szCs w:val="21"/>
              </w:rPr>
            </w:pPr>
            <w:r>
              <w:rPr>
                <w:rFonts w:hint="eastAsia"/>
                <w:sz w:val="21"/>
                <w:szCs w:val="21"/>
              </w:rPr>
              <w:t xml:space="preserve">金额(元) </w:t>
            </w:r>
          </w:p>
        </w:tc>
        <w:tc>
          <w:tcPr>
            <w:tcW w:w="2775" w:type="dxa"/>
            <w:shd w:val="clear" w:color="auto" w:fill="auto"/>
          </w:tcPr>
          <w:p>
            <w:pPr>
              <w:pStyle w:val="7"/>
              <w:jc w:val="center"/>
              <w:rPr>
                <w:sz w:val="21"/>
                <w:szCs w:val="21"/>
              </w:rPr>
            </w:pPr>
            <w:r>
              <w:rPr>
                <w:rFonts w:hint="eastAsia"/>
                <w:sz w:val="21"/>
                <w:szCs w:val="21"/>
              </w:rPr>
              <w:t xml:space="preserve">占基金总资产的比例(%)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1 </w:t>
            </w:r>
          </w:p>
        </w:tc>
        <w:tc>
          <w:tcPr>
            <w:tcW w:w="4200" w:type="dxa"/>
            <w:shd w:val="clear" w:color="auto" w:fill="auto"/>
          </w:tcPr>
          <w:p>
            <w:pPr>
              <w:pStyle w:val="7"/>
              <w:rPr>
                <w:sz w:val="21"/>
                <w:szCs w:val="21"/>
              </w:rPr>
            </w:pPr>
            <w:r>
              <w:rPr>
                <w:rFonts w:hint="eastAsia"/>
                <w:sz w:val="21"/>
                <w:szCs w:val="21"/>
              </w:rPr>
              <w:t xml:space="preserve">权益投资 </w:t>
            </w:r>
          </w:p>
        </w:tc>
        <w:tc>
          <w:tcPr>
            <w:tcW w:w="2790" w:type="dxa"/>
            <w:shd w:val="clear" w:color="auto" w:fill="auto"/>
          </w:tcPr>
          <w:p>
            <w:pPr>
              <w:pStyle w:val="7"/>
              <w:jc w:val="right"/>
              <w:rPr>
                <w:sz w:val="21"/>
                <w:szCs w:val="21"/>
              </w:rPr>
            </w:pPr>
            <w:r>
              <w:rPr>
                <w:rFonts w:hint="eastAsia"/>
                <w:sz w:val="21"/>
                <w:szCs w:val="21"/>
              </w:rPr>
              <w:t xml:space="preserve">184,230,224.41 </w:t>
            </w:r>
          </w:p>
        </w:tc>
        <w:tc>
          <w:tcPr>
            <w:tcW w:w="2775" w:type="dxa"/>
            <w:shd w:val="clear" w:color="auto" w:fill="auto"/>
          </w:tcPr>
          <w:p>
            <w:pPr>
              <w:pStyle w:val="7"/>
              <w:jc w:val="right"/>
              <w:rPr>
                <w:sz w:val="21"/>
                <w:szCs w:val="21"/>
              </w:rPr>
            </w:pPr>
            <w:r>
              <w:rPr>
                <w:rFonts w:hint="eastAsia"/>
                <w:sz w:val="21"/>
                <w:szCs w:val="21"/>
              </w:rPr>
              <w:t xml:space="preserve">78.92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rPr>
                <w:rFonts w:ascii="宋体" w:hAnsi="宋体" w:eastAsia="宋体" w:cs="宋体"/>
                <w:szCs w:val="21"/>
              </w:rPr>
            </w:pPr>
          </w:p>
        </w:tc>
        <w:tc>
          <w:tcPr>
            <w:tcW w:w="4200" w:type="dxa"/>
            <w:shd w:val="clear" w:color="auto" w:fill="auto"/>
          </w:tcPr>
          <w:p>
            <w:pPr>
              <w:pStyle w:val="7"/>
              <w:rPr>
                <w:sz w:val="21"/>
                <w:szCs w:val="21"/>
              </w:rPr>
            </w:pPr>
            <w:r>
              <w:rPr>
                <w:rFonts w:hint="eastAsia"/>
                <w:sz w:val="21"/>
                <w:szCs w:val="21"/>
              </w:rPr>
              <w:t xml:space="preserve">其中：股票 </w:t>
            </w:r>
          </w:p>
        </w:tc>
        <w:tc>
          <w:tcPr>
            <w:tcW w:w="2790" w:type="dxa"/>
            <w:shd w:val="clear" w:color="auto" w:fill="auto"/>
          </w:tcPr>
          <w:p>
            <w:pPr>
              <w:pStyle w:val="7"/>
              <w:jc w:val="right"/>
              <w:rPr>
                <w:sz w:val="21"/>
                <w:szCs w:val="21"/>
              </w:rPr>
            </w:pPr>
            <w:r>
              <w:rPr>
                <w:rFonts w:hint="eastAsia"/>
                <w:sz w:val="21"/>
                <w:szCs w:val="21"/>
              </w:rPr>
              <w:t xml:space="preserve">184,230,224.41 </w:t>
            </w:r>
          </w:p>
        </w:tc>
        <w:tc>
          <w:tcPr>
            <w:tcW w:w="2775" w:type="dxa"/>
            <w:shd w:val="clear" w:color="auto" w:fill="auto"/>
          </w:tcPr>
          <w:p>
            <w:pPr>
              <w:pStyle w:val="7"/>
              <w:jc w:val="right"/>
              <w:rPr>
                <w:sz w:val="21"/>
                <w:szCs w:val="21"/>
              </w:rPr>
            </w:pPr>
            <w:r>
              <w:rPr>
                <w:rFonts w:hint="eastAsia"/>
                <w:sz w:val="21"/>
                <w:szCs w:val="21"/>
              </w:rPr>
              <w:t xml:space="preserve">78.92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2 </w:t>
            </w:r>
          </w:p>
        </w:tc>
        <w:tc>
          <w:tcPr>
            <w:tcW w:w="4200" w:type="dxa"/>
            <w:shd w:val="clear" w:color="auto" w:fill="auto"/>
          </w:tcPr>
          <w:p>
            <w:pPr>
              <w:pStyle w:val="7"/>
              <w:rPr>
                <w:sz w:val="21"/>
                <w:szCs w:val="21"/>
              </w:rPr>
            </w:pPr>
            <w:r>
              <w:rPr>
                <w:rFonts w:hint="eastAsia"/>
                <w:sz w:val="21"/>
                <w:szCs w:val="21"/>
              </w:rPr>
              <w:t xml:space="preserve">基金投资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3 </w:t>
            </w:r>
          </w:p>
        </w:tc>
        <w:tc>
          <w:tcPr>
            <w:tcW w:w="4200" w:type="dxa"/>
            <w:shd w:val="clear" w:color="auto" w:fill="auto"/>
          </w:tcPr>
          <w:p>
            <w:pPr>
              <w:pStyle w:val="7"/>
              <w:rPr>
                <w:sz w:val="21"/>
                <w:szCs w:val="21"/>
              </w:rPr>
            </w:pPr>
            <w:r>
              <w:rPr>
                <w:rFonts w:hint="eastAsia"/>
                <w:sz w:val="21"/>
                <w:szCs w:val="21"/>
              </w:rPr>
              <w:t xml:space="preserve">固定收益投资 </w:t>
            </w:r>
          </w:p>
        </w:tc>
        <w:tc>
          <w:tcPr>
            <w:tcW w:w="2790" w:type="dxa"/>
            <w:shd w:val="clear" w:color="auto" w:fill="auto"/>
          </w:tcPr>
          <w:p>
            <w:pPr>
              <w:pStyle w:val="7"/>
              <w:jc w:val="right"/>
              <w:rPr>
                <w:sz w:val="21"/>
                <w:szCs w:val="21"/>
              </w:rPr>
            </w:pPr>
            <w:r>
              <w:rPr>
                <w:rFonts w:hint="eastAsia"/>
                <w:sz w:val="21"/>
                <w:szCs w:val="21"/>
              </w:rPr>
              <w:t xml:space="preserve">1,840,607.40 </w:t>
            </w:r>
          </w:p>
        </w:tc>
        <w:tc>
          <w:tcPr>
            <w:tcW w:w="2775" w:type="dxa"/>
            <w:shd w:val="clear" w:color="auto" w:fill="auto"/>
          </w:tcPr>
          <w:p>
            <w:pPr>
              <w:pStyle w:val="7"/>
              <w:jc w:val="right"/>
              <w:rPr>
                <w:sz w:val="21"/>
                <w:szCs w:val="21"/>
              </w:rPr>
            </w:pPr>
            <w:r>
              <w:rPr>
                <w:rFonts w:hint="eastAsia"/>
                <w:sz w:val="21"/>
                <w:szCs w:val="21"/>
              </w:rPr>
              <w:t xml:space="preserve">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rPr>
                <w:rFonts w:ascii="宋体" w:hAnsi="宋体" w:eastAsia="宋体" w:cs="宋体"/>
                <w:szCs w:val="21"/>
              </w:rPr>
            </w:pPr>
          </w:p>
        </w:tc>
        <w:tc>
          <w:tcPr>
            <w:tcW w:w="4200" w:type="dxa"/>
            <w:shd w:val="clear" w:color="auto" w:fill="auto"/>
          </w:tcPr>
          <w:p>
            <w:pPr>
              <w:pStyle w:val="7"/>
              <w:rPr>
                <w:sz w:val="21"/>
                <w:szCs w:val="21"/>
              </w:rPr>
            </w:pPr>
            <w:r>
              <w:rPr>
                <w:rFonts w:hint="eastAsia"/>
                <w:sz w:val="21"/>
                <w:szCs w:val="21"/>
              </w:rPr>
              <w:t xml:space="preserve">其中：债券 </w:t>
            </w:r>
          </w:p>
        </w:tc>
        <w:tc>
          <w:tcPr>
            <w:tcW w:w="2790" w:type="dxa"/>
            <w:shd w:val="clear" w:color="auto" w:fill="auto"/>
          </w:tcPr>
          <w:p>
            <w:pPr>
              <w:pStyle w:val="7"/>
              <w:jc w:val="right"/>
              <w:rPr>
                <w:sz w:val="21"/>
                <w:szCs w:val="21"/>
              </w:rPr>
            </w:pPr>
            <w:r>
              <w:rPr>
                <w:rFonts w:hint="eastAsia"/>
                <w:sz w:val="21"/>
                <w:szCs w:val="21"/>
              </w:rPr>
              <w:t xml:space="preserve">1,840,607.40 </w:t>
            </w:r>
          </w:p>
        </w:tc>
        <w:tc>
          <w:tcPr>
            <w:tcW w:w="2775" w:type="dxa"/>
            <w:shd w:val="clear" w:color="auto" w:fill="auto"/>
          </w:tcPr>
          <w:p>
            <w:pPr>
              <w:pStyle w:val="7"/>
              <w:jc w:val="right"/>
              <w:rPr>
                <w:sz w:val="21"/>
                <w:szCs w:val="21"/>
              </w:rPr>
            </w:pPr>
            <w:r>
              <w:rPr>
                <w:rFonts w:hint="eastAsia"/>
                <w:sz w:val="21"/>
                <w:szCs w:val="21"/>
              </w:rPr>
              <w:t xml:space="preserve">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rPr>
                <w:rFonts w:ascii="宋体" w:hAnsi="宋体" w:eastAsia="宋体" w:cs="宋体"/>
                <w:szCs w:val="21"/>
              </w:rPr>
            </w:pPr>
          </w:p>
        </w:tc>
        <w:tc>
          <w:tcPr>
            <w:tcW w:w="4200" w:type="dxa"/>
            <w:shd w:val="clear" w:color="auto" w:fill="auto"/>
          </w:tcPr>
          <w:p>
            <w:pPr>
              <w:pStyle w:val="7"/>
              <w:ind w:firstLine="630"/>
              <w:rPr>
                <w:sz w:val="21"/>
                <w:szCs w:val="21"/>
              </w:rPr>
            </w:pPr>
            <w:r>
              <w:rPr>
                <w:rFonts w:hint="eastAsia"/>
                <w:sz w:val="21"/>
                <w:szCs w:val="21"/>
              </w:rPr>
              <w:t xml:space="preserve">资产支持证券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4 </w:t>
            </w:r>
          </w:p>
        </w:tc>
        <w:tc>
          <w:tcPr>
            <w:tcW w:w="4200" w:type="dxa"/>
            <w:shd w:val="clear" w:color="auto" w:fill="auto"/>
          </w:tcPr>
          <w:p>
            <w:pPr>
              <w:pStyle w:val="7"/>
              <w:rPr>
                <w:sz w:val="21"/>
                <w:szCs w:val="21"/>
              </w:rPr>
            </w:pPr>
            <w:r>
              <w:rPr>
                <w:rFonts w:hint="eastAsia"/>
                <w:sz w:val="21"/>
                <w:szCs w:val="21"/>
              </w:rPr>
              <w:t xml:space="preserve">贵金属投资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5 </w:t>
            </w:r>
          </w:p>
        </w:tc>
        <w:tc>
          <w:tcPr>
            <w:tcW w:w="4200" w:type="dxa"/>
            <w:shd w:val="clear" w:color="auto" w:fill="auto"/>
          </w:tcPr>
          <w:p>
            <w:pPr>
              <w:pStyle w:val="7"/>
              <w:rPr>
                <w:sz w:val="21"/>
                <w:szCs w:val="21"/>
              </w:rPr>
            </w:pPr>
            <w:r>
              <w:rPr>
                <w:rFonts w:hint="eastAsia"/>
                <w:sz w:val="21"/>
                <w:szCs w:val="21"/>
              </w:rPr>
              <w:t xml:space="preserve">金融衍生品投资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6 </w:t>
            </w:r>
          </w:p>
        </w:tc>
        <w:tc>
          <w:tcPr>
            <w:tcW w:w="4200" w:type="dxa"/>
            <w:shd w:val="clear" w:color="auto" w:fill="auto"/>
          </w:tcPr>
          <w:p>
            <w:pPr>
              <w:pStyle w:val="7"/>
              <w:rPr>
                <w:sz w:val="21"/>
                <w:szCs w:val="21"/>
              </w:rPr>
            </w:pPr>
            <w:r>
              <w:rPr>
                <w:rFonts w:hint="eastAsia"/>
                <w:sz w:val="21"/>
                <w:szCs w:val="21"/>
              </w:rPr>
              <w:t xml:space="preserve">买入返售金融资产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rPr>
                <w:rFonts w:ascii="宋体" w:hAnsi="宋体" w:eastAsia="宋体" w:cs="宋体"/>
                <w:szCs w:val="21"/>
              </w:rPr>
            </w:pPr>
          </w:p>
        </w:tc>
        <w:tc>
          <w:tcPr>
            <w:tcW w:w="4200" w:type="dxa"/>
            <w:shd w:val="clear" w:color="auto" w:fill="auto"/>
          </w:tcPr>
          <w:p>
            <w:pPr>
              <w:pStyle w:val="7"/>
              <w:rPr>
                <w:sz w:val="21"/>
                <w:szCs w:val="21"/>
              </w:rPr>
            </w:pPr>
            <w:r>
              <w:rPr>
                <w:rFonts w:hint="eastAsia"/>
                <w:sz w:val="21"/>
                <w:szCs w:val="21"/>
              </w:rPr>
              <w:t xml:space="preserve">其中：买断式回购的买入返售金融资产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7 </w:t>
            </w:r>
          </w:p>
        </w:tc>
        <w:tc>
          <w:tcPr>
            <w:tcW w:w="4200" w:type="dxa"/>
            <w:shd w:val="clear" w:color="auto" w:fill="auto"/>
          </w:tcPr>
          <w:p>
            <w:pPr>
              <w:pStyle w:val="7"/>
              <w:rPr>
                <w:sz w:val="21"/>
                <w:szCs w:val="21"/>
              </w:rPr>
            </w:pPr>
            <w:r>
              <w:rPr>
                <w:rFonts w:hint="eastAsia"/>
                <w:sz w:val="21"/>
                <w:szCs w:val="21"/>
              </w:rPr>
              <w:t xml:space="preserve">银行存款和结算备付金合计 </w:t>
            </w:r>
          </w:p>
        </w:tc>
        <w:tc>
          <w:tcPr>
            <w:tcW w:w="2790" w:type="dxa"/>
            <w:shd w:val="clear" w:color="auto" w:fill="auto"/>
          </w:tcPr>
          <w:p>
            <w:pPr>
              <w:pStyle w:val="7"/>
              <w:jc w:val="right"/>
              <w:rPr>
                <w:sz w:val="21"/>
                <w:szCs w:val="21"/>
              </w:rPr>
            </w:pPr>
            <w:r>
              <w:rPr>
                <w:rFonts w:hint="eastAsia"/>
                <w:sz w:val="21"/>
                <w:szCs w:val="21"/>
              </w:rPr>
              <w:t xml:space="preserve">47,047,169.25 </w:t>
            </w:r>
          </w:p>
        </w:tc>
        <w:tc>
          <w:tcPr>
            <w:tcW w:w="2775" w:type="dxa"/>
            <w:shd w:val="clear" w:color="auto" w:fill="auto"/>
          </w:tcPr>
          <w:p>
            <w:pPr>
              <w:pStyle w:val="7"/>
              <w:jc w:val="right"/>
              <w:rPr>
                <w:sz w:val="21"/>
                <w:szCs w:val="21"/>
              </w:rPr>
            </w:pPr>
            <w:r>
              <w:rPr>
                <w:rFonts w:hint="eastAsia"/>
                <w:sz w:val="21"/>
                <w:szCs w:val="21"/>
              </w:rPr>
              <w:t xml:space="preserve">20.15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8 </w:t>
            </w:r>
          </w:p>
        </w:tc>
        <w:tc>
          <w:tcPr>
            <w:tcW w:w="4200" w:type="dxa"/>
            <w:shd w:val="clear" w:color="auto" w:fill="auto"/>
          </w:tcPr>
          <w:p>
            <w:pPr>
              <w:pStyle w:val="7"/>
              <w:rPr>
                <w:sz w:val="21"/>
                <w:szCs w:val="21"/>
              </w:rPr>
            </w:pPr>
            <w:r>
              <w:rPr>
                <w:rFonts w:hint="eastAsia"/>
                <w:sz w:val="21"/>
                <w:szCs w:val="21"/>
              </w:rPr>
              <w:t xml:space="preserve">其他各项资产 </w:t>
            </w:r>
          </w:p>
        </w:tc>
        <w:tc>
          <w:tcPr>
            <w:tcW w:w="2790" w:type="dxa"/>
            <w:shd w:val="clear" w:color="auto" w:fill="auto"/>
          </w:tcPr>
          <w:p>
            <w:pPr>
              <w:pStyle w:val="7"/>
              <w:jc w:val="right"/>
              <w:rPr>
                <w:sz w:val="21"/>
                <w:szCs w:val="21"/>
              </w:rPr>
            </w:pPr>
            <w:r>
              <w:rPr>
                <w:rFonts w:hint="eastAsia"/>
                <w:sz w:val="21"/>
                <w:szCs w:val="21"/>
              </w:rPr>
              <w:t xml:space="preserve">329,570.50 </w:t>
            </w:r>
          </w:p>
        </w:tc>
        <w:tc>
          <w:tcPr>
            <w:tcW w:w="2775" w:type="dxa"/>
            <w:shd w:val="clear" w:color="auto" w:fill="auto"/>
          </w:tcPr>
          <w:p>
            <w:pPr>
              <w:pStyle w:val="7"/>
              <w:jc w:val="right"/>
              <w:rPr>
                <w:sz w:val="21"/>
                <w:szCs w:val="21"/>
              </w:rPr>
            </w:pPr>
            <w:r>
              <w:rPr>
                <w:rFonts w:hint="eastAsia"/>
                <w:sz w:val="21"/>
                <w:szCs w:val="21"/>
              </w:rPr>
              <w:t xml:space="preserve">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9 </w:t>
            </w:r>
          </w:p>
        </w:tc>
        <w:tc>
          <w:tcPr>
            <w:tcW w:w="4200" w:type="dxa"/>
            <w:shd w:val="clear" w:color="auto" w:fill="auto"/>
          </w:tcPr>
          <w:p>
            <w:pPr>
              <w:pStyle w:val="7"/>
              <w:rPr>
                <w:sz w:val="21"/>
                <w:szCs w:val="21"/>
              </w:rPr>
            </w:pPr>
            <w:r>
              <w:rPr>
                <w:rFonts w:hint="eastAsia"/>
                <w:sz w:val="21"/>
                <w:szCs w:val="21"/>
              </w:rPr>
              <w:t xml:space="preserve">合计 </w:t>
            </w:r>
          </w:p>
        </w:tc>
        <w:tc>
          <w:tcPr>
            <w:tcW w:w="2790" w:type="dxa"/>
            <w:shd w:val="clear" w:color="auto" w:fill="auto"/>
          </w:tcPr>
          <w:p>
            <w:pPr>
              <w:pStyle w:val="7"/>
              <w:jc w:val="right"/>
              <w:rPr>
                <w:sz w:val="21"/>
                <w:szCs w:val="21"/>
              </w:rPr>
            </w:pPr>
            <w:r>
              <w:rPr>
                <w:rFonts w:hint="eastAsia"/>
                <w:sz w:val="21"/>
                <w:szCs w:val="21"/>
              </w:rPr>
              <w:t xml:space="preserve">233,447,571.56 </w:t>
            </w:r>
          </w:p>
        </w:tc>
        <w:tc>
          <w:tcPr>
            <w:tcW w:w="2775" w:type="dxa"/>
            <w:shd w:val="clear" w:color="auto" w:fill="auto"/>
          </w:tcPr>
          <w:p>
            <w:pPr>
              <w:pStyle w:val="7"/>
              <w:jc w:val="right"/>
              <w:rPr>
                <w:sz w:val="21"/>
                <w:szCs w:val="21"/>
              </w:rPr>
            </w:pPr>
            <w:r>
              <w:rPr>
                <w:rFonts w:hint="eastAsia"/>
                <w:sz w:val="21"/>
                <w:szCs w:val="21"/>
              </w:rPr>
              <w:t xml:space="preserve">100.00 </w:t>
            </w:r>
          </w:p>
        </w:tc>
      </w:tr>
    </w:tbl>
    <w:p>
      <w:pPr>
        <w:pStyle w:val="7"/>
        <w:spacing w:before="0" w:beforeAutospacing="0" w:after="0" w:afterAutospacing="0" w:line="360" w:lineRule="auto"/>
        <w:ind w:firstLine="420"/>
        <w:rPr>
          <w:sz w:val="21"/>
          <w:szCs w:val="21"/>
        </w:rPr>
      </w:pPr>
      <w:r>
        <w:rPr>
          <w:rFonts w:hint="eastAsia"/>
          <w:sz w:val="21"/>
          <w:szCs w:val="21"/>
        </w:rPr>
        <w:t xml:space="preserve">2报告期末按行业分类的股票投资组合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2898"/>
        <w:gridCol w:w="277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代码 </w:t>
            </w:r>
          </w:p>
        </w:tc>
        <w:tc>
          <w:tcPr>
            <w:tcW w:w="3840" w:type="dxa"/>
            <w:shd w:val="clear" w:color="auto" w:fill="auto"/>
          </w:tcPr>
          <w:p>
            <w:pPr>
              <w:pStyle w:val="7"/>
              <w:jc w:val="center"/>
              <w:rPr>
                <w:sz w:val="21"/>
                <w:szCs w:val="21"/>
              </w:rPr>
            </w:pPr>
            <w:r>
              <w:rPr>
                <w:rFonts w:hint="eastAsia"/>
                <w:sz w:val="21"/>
                <w:szCs w:val="21"/>
              </w:rPr>
              <w:t xml:space="preserve">行业类别 </w:t>
            </w:r>
          </w:p>
        </w:tc>
        <w:tc>
          <w:tcPr>
            <w:tcW w:w="3255" w:type="dxa"/>
            <w:shd w:val="clear" w:color="auto" w:fill="auto"/>
          </w:tcPr>
          <w:p>
            <w:pPr>
              <w:pStyle w:val="7"/>
              <w:jc w:val="center"/>
              <w:rPr>
                <w:sz w:val="21"/>
                <w:szCs w:val="21"/>
              </w:rPr>
            </w:pPr>
            <w:r>
              <w:rPr>
                <w:rFonts w:hint="eastAsia"/>
                <w:sz w:val="21"/>
                <w:szCs w:val="21"/>
              </w:rPr>
              <w:t xml:space="preserve">公允价值（元） </w:t>
            </w:r>
          </w:p>
        </w:tc>
        <w:tc>
          <w:tcPr>
            <w:tcW w:w="2790" w:type="dxa"/>
            <w:shd w:val="clear" w:color="auto" w:fill="auto"/>
          </w:tcPr>
          <w:p>
            <w:pPr>
              <w:pStyle w:val="7"/>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A </w:t>
            </w:r>
          </w:p>
        </w:tc>
        <w:tc>
          <w:tcPr>
            <w:tcW w:w="3840" w:type="dxa"/>
            <w:shd w:val="clear" w:color="auto" w:fill="auto"/>
          </w:tcPr>
          <w:p>
            <w:pPr>
              <w:pStyle w:val="7"/>
              <w:ind w:left="105"/>
              <w:rPr>
                <w:sz w:val="21"/>
                <w:szCs w:val="21"/>
              </w:rPr>
            </w:pPr>
            <w:r>
              <w:rPr>
                <w:rFonts w:hint="eastAsia"/>
                <w:sz w:val="21"/>
                <w:szCs w:val="21"/>
              </w:rPr>
              <w:t xml:space="preserve">农、林、牧、渔业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B </w:t>
            </w:r>
          </w:p>
        </w:tc>
        <w:tc>
          <w:tcPr>
            <w:tcW w:w="3840" w:type="dxa"/>
            <w:shd w:val="clear" w:color="auto" w:fill="auto"/>
          </w:tcPr>
          <w:p>
            <w:pPr>
              <w:pStyle w:val="7"/>
              <w:ind w:left="105"/>
              <w:rPr>
                <w:sz w:val="21"/>
                <w:szCs w:val="21"/>
              </w:rPr>
            </w:pPr>
            <w:r>
              <w:rPr>
                <w:rFonts w:hint="eastAsia"/>
                <w:sz w:val="21"/>
                <w:szCs w:val="21"/>
              </w:rPr>
              <w:t xml:space="preserve">采矿业 </w:t>
            </w:r>
          </w:p>
        </w:tc>
        <w:tc>
          <w:tcPr>
            <w:tcW w:w="3255" w:type="dxa"/>
            <w:shd w:val="clear" w:color="auto" w:fill="auto"/>
          </w:tcPr>
          <w:p>
            <w:pPr>
              <w:pStyle w:val="7"/>
              <w:jc w:val="right"/>
              <w:rPr>
                <w:sz w:val="21"/>
                <w:szCs w:val="21"/>
              </w:rPr>
            </w:pPr>
            <w:r>
              <w:rPr>
                <w:rFonts w:hint="eastAsia"/>
                <w:sz w:val="21"/>
                <w:szCs w:val="21"/>
              </w:rPr>
              <w:t xml:space="preserve">4,185,474.00 </w:t>
            </w:r>
          </w:p>
        </w:tc>
        <w:tc>
          <w:tcPr>
            <w:tcW w:w="2790" w:type="dxa"/>
            <w:shd w:val="clear" w:color="auto" w:fill="auto"/>
          </w:tcPr>
          <w:p>
            <w:pPr>
              <w:pStyle w:val="7"/>
              <w:jc w:val="right"/>
              <w:rPr>
                <w:sz w:val="21"/>
                <w:szCs w:val="21"/>
              </w:rPr>
            </w:pPr>
            <w:r>
              <w:rPr>
                <w:rFonts w:hint="eastAsia"/>
                <w:sz w:val="21"/>
                <w:szCs w:val="21"/>
              </w:rPr>
              <w:t xml:space="preserve">1.83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C </w:t>
            </w:r>
          </w:p>
        </w:tc>
        <w:tc>
          <w:tcPr>
            <w:tcW w:w="3840" w:type="dxa"/>
            <w:shd w:val="clear" w:color="auto" w:fill="auto"/>
          </w:tcPr>
          <w:p>
            <w:pPr>
              <w:pStyle w:val="7"/>
              <w:ind w:left="105"/>
              <w:rPr>
                <w:sz w:val="21"/>
                <w:szCs w:val="21"/>
              </w:rPr>
            </w:pPr>
            <w:r>
              <w:rPr>
                <w:rFonts w:hint="eastAsia"/>
                <w:sz w:val="21"/>
                <w:szCs w:val="21"/>
              </w:rPr>
              <w:t xml:space="preserve">制造业 </w:t>
            </w:r>
          </w:p>
        </w:tc>
        <w:tc>
          <w:tcPr>
            <w:tcW w:w="3255" w:type="dxa"/>
            <w:shd w:val="clear" w:color="auto" w:fill="auto"/>
          </w:tcPr>
          <w:p>
            <w:pPr>
              <w:pStyle w:val="7"/>
              <w:jc w:val="right"/>
              <w:rPr>
                <w:sz w:val="21"/>
                <w:szCs w:val="21"/>
              </w:rPr>
            </w:pPr>
            <w:r>
              <w:rPr>
                <w:rFonts w:hint="eastAsia"/>
                <w:sz w:val="21"/>
                <w:szCs w:val="21"/>
              </w:rPr>
              <w:t xml:space="preserve">165,053,890.58 </w:t>
            </w:r>
          </w:p>
        </w:tc>
        <w:tc>
          <w:tcPr>
            <w:tcW w:w="2790" w:type="dxa"/>
            <w:shd w:val="clear" w:color="auto" w:fill="auto"/>
          </w:tcPr>
          <w:p>
            <w:pPr>
              <w:pStyle w:val="7"/>
              <w:jc w:val="right"/>
              <w:rPr>
                <w:sz w:val="21"/>
                <w:szCs w:val="21"/>
              </w:rPr>
            </w:pPr>
            <w:r>
              <w:rPr>
                <w:rFonts w:hint="eastAsia"/>
                <w:sz w:val="21"/>
                <w:szCs w:val="21"/>
              </w:rPr>
              <w:t xml:space="preserve">72.16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D </w:t>
            </w:r>
          </w:p>
        </w:tc>
        <w:tc>
          <w:tcPr>
            <w:tcW w:w="3840" w:type="dxa"/>
            <w:shd w:val="clear" w:color="auto" w:fill="auto"/>
          </w:tcPr>
          <w:p>
            <w:pPr>
              <w:pStyle w:val="7"/>
              <w:ind w:left="105"/>
              <w:rPr>
                <w:sz w:val="21"/>
                <w:szCs w:val="21"/>
              </w:rPr>
            </w:pPr>
            <w:r>
              <w:rPr>
                <w:rFonts w:hint="eastAsia"/>
                <w:sz w:val="21"/>
                <w:szCs w:val="21"/>
              </w:rPr>
              <w:t xml:space="preserve">电力、热力、燃气及水生产和供应业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E </w:t>
            </w:r>
          </w:p>
        </w:tc>
        <w:tc>
          <w:tcPr>
            <w:tcW w:w="3840" w:type="dxa"/>
            <w:shd w:val="clear" w:color="auto" w:fill="auto"/>
          </w:tcPr>
          <w:p>
            <w:pPr>
              <w:pStyle w:val="7"/>
              <w:ind w:left="105"/>
              <w:rPr>
                <w:sz w:val="21"/>
                <w:szCs w:val="21"/>
              </w:rPr>
            </w:pPr>
            <w:r>
              <w:rPr>
                <w:rFonts w:hint="eastAsia"/>
                <w:sz w:val="21"/>
                <w:szCs w:val="21"/>
              </w:rPr>
              <w:t xml:space="preserve">建筑业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F </w:t>
            </w:r>
          </w:p>
        </w:tc>
        <w:tc>
          <w:tcPr>
            <w:tcW w:w="3840" w:type="dxa"/>
            <w:shd w:val="clear" w:color="auto" w:fill="auto"/>
          </w:tcPr>
          <w:p>
            <w:pPr>
              <w:pStyle w:val="7"/>
              <w:ind w:left="105"/>
              <w:rPr>
                <w:sz w:val="21"/>
                <w:szCs w:val="21"/>
              </w:rPr>
            </w:pPr>
            <w:r>
              <w:rPr>
                <w:rFonts w:hint="eastAsia"/>
                <w:sz w:val="21"/>
                <w:szCs w:val="21"/>
              </w:rPr>
              <w:t xml:space="preserve">批发和零售业 </w:t>
            </w:r>
          </w:p>
        </w:tc>
        <w:tc>
          <w:tcPr>
            <w:tcW w:w="3255" w:type="dxa"/>
            <w:shd w:val="clear" w:color="auto" w:fill="auto"/>
          </w:tcPr>
          <w:p>
            <w:pPr>
              <w:pStyle w:val="7"/>
              <w:jc w:val="right"/>
              <w:rPr>
                <w:sz w:val="21"/>
                <w:szCs w:val="21"/>
              </w:rPr>
            </w:pPr>
            <w:r>
              <w:rPr>
                <w:rFonts w:hint="eastAsia"/>
                <w:sz w:val="21"/>
                <w:szCs w:val="21"/>
              </w:rPr>
              <w:t xml:space="preserve">17,034.18 </w:t>
            </w:r>
          </w:p>
        </w:tc>
        <w:tc>
          <w:tcPr>
            <w:tcW w:w="2790" w:type="dxa"/>
            <w:shd w:val="clear" w:color="auto" w:fill="auto"/>
          </w:tcPr>
          <w:p>
            <w:pPr>
              <w:pStyle w:val="7"/>
              <w:jc w:val="right"/>
              <w:rPr>
                <w:sz w:val="21"/>
                <w:szCs w:val="21"/>
              </w:rPr>
            </w:pPr>
            <w:r>
              <w:rPr>
                <w:rFonts w:hint="eastAsia"/>
                <w:sz w:val="21"/>
                <w:szCs w:val="21"/>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G </w:t>
            </w:r>
          </w:p>
        </w:tc>
        <w:tc>
          <w:tcPr>
            <w:tcW w:w="3840" w:type="dxa"/>
            <w:shd w:val="clear" w:color="auto" w:fill="auto"/>
          </w:tcPr>
          <w:p>
            <w:pPr>
              <w:pStyle w:val="7"/>
              <w:ind w:left="105"/>
              <w:rPr>
                <w:sz w:val="21"/>
                <w:szCs w:val="21"/>
              </w:rPr>
            </w:pPr>
            <w:r>
              <w:rPr>
                <w:rFonts w:hint="eastAsia"/>
                <w:sz w:val="21"/>
                <w:szCs w:val="21"/>
              </w:rPr>
              <w:t xml:space="preserve">交通运输、仓储和邮政业 </w:t>
            </w:r>
          </w:p>
        </w:tc>
        <w:tc>
          <w:tcPr>
            <w:tcW w:w="3255" w:type="dxa"/>
            <w:shd w:val="clear" w:color="auto" w:fill="auto"/>
          </w:tcPr>
          <w:p>
            <w:pPr>
              <w:pStyle w:val="7"/>
              <w:jc w:val="right"/>
              <w:rPr>
                <w:sz w:val="21"/>
                <w:szCs w:val="21"/>
              </w:rPr>
            </w:pPr>
            <w:r>
              <w:rPr>
                <w:rFonts w:hint="eastAsia"/>
                <w:sz w:val="21"/>
                <w:szCs w:val="21"/>
              </w:rPr>
              <w:t xml:space="preserve">13,937,166.00 </w:t>
            </w:r>
          </w:p>
        </w:tc>
        <w:tc>
          <w:tcPr>
            <w:tcW w:w="2790" w:type="dxa"/>
            <w:shd w:val="clear" w:color="auto" w:fill="auto"/>
          </w:tcPr>
          <w:p>
            <w:pPr>
              <w:pStyle w:val="7"/>
              <w:jc w:val="right"/>
              <w:rPr>
                <w:sz w:val="21"/>
                <w:szCs w:val="21"/>
              </w:rPr>
            </w:pPr>
            <w:r>
              <w:rPr>
                <w:rFonts w:hint="eastAsia"/>
                <w:sz w:val="21"/>
                <w:szCs w:val="21"/>
              </w:rPr>
              <w:t xml:space="preserve">6.09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H </w:t>
            </w:r>
          </w:p>
        </w:tc>
        <w:tc>
          <w:tcPr>
            <w:tcW w:w="3840" w:type="dxa"/>
            <w:shd w:val="clear" w:color="auto" w:fill="auto"/>
          </w:tcPr>
          <w:p>
            <w:pPr>
              <w:pStyle w:val="7"/>
              <w:ind w:left="105"/>
              <w:rPr>
                <w:sz w:val="21"/>
                <w:szCs w:val="21"/>
              </w:rPr>
            </w:pPr>
            <w:r>
              <w:rPr>
                <w:rFonts w:hint="eastAsia"/>
                <w:sz w:val="21"/>
                <w:szCs w:val="21"/>
              </w:rPr>
              <w:t xml:space="preserve">住宿和餐饮业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I </w:t>
            </w:r>
          </w:p>
        </w:tc>
        <w:tc>
          <w:tcPr>
            <w:tcW w:w="3840" w:type="dxa"/>
            <w:shd w:val="clear" w:color="auto" w:fill="auto"/>
          </w:tcPr>
          <w:p>
            <w:pPr>
              <w:pStyle w:val="7"/>
              <w:ind w:left="105"/>
              <w:rPr>
                <w:sz w:val="21"/>
                <w:szCs w:val="21"/>
              </w:rPr>
            </w:pPr>
            <w:r>
              <w:rPr>
                <w:rFonts w:hint="eastAsia"/>
                <w:sz w:val="21"/>
                <w:szCs w:val="21"/>
              </w:rPr>
              <w:t xml:space="preserve">信息传输、软件和信息技术服务业 </w:t>
            </w:r>
          </w:p>
        </w:tc>
        <w:tc>
          <w:tcPr>
            <w:tcW w:w="3255" w:type="dxa"/>
            <w:shd w:val="clear" w:color="auto" w:fill="auto"/>
          </w:tcPr>
          <w:p>
            <w:pPr>
              <w:pStyle w:val="7"/>
              <w:jc w:val="right"/>
              <w:rPr>
                <w:sz w:val="21"/>
                <w:szCs w:val="21"/>
              </w:rPr>
            </w:pPr>
            <w:r>
              <w:rPr>
                <w:rFonts w:hint="eastAsia"/>
                <w:sz w:val="21"/>
                <w:szCs w:val="21"/>
              </w:rPr>
              <w:t xml:space="preserve">706,706.91 </w:t>
            </w:r>
          </w:p>
        </w:tc>
        <w:tc>
          <w:tcPr>
            <w:tcW w:w="2790" w:type="dxa"/>
            <w:shd w:val="clear" w:color="auto" w:fill="auto"/>
          </w:tcPr>
          <w:p>
            <w:pPr>
              <w:pStyle w:val="7"/>
              <w:jc w:val="right"/>
              <w:rPr>
                <w:sz w:val="21"/>
                <w:szCs w:val="21"/>
              </w:rPr>
            </w:pPr>
            <w:r>
              <w:rPr>
                <w:rFonts w:hint="eastAsia"/>
                <w:sz w:val="21"/>
                <w:szCs w:val="21"/>
              </w:rPr>
              <w:t xml:space="preserve">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J </w:t>
            </w:r>
          </w:p>
        </w:tc>
        <w:tc>
          <w:tcPr>
            <w:tcW w:w="3840" w:type="dxa"/>
            <w:shd w:val="clear" w:color="auto" w:fill="auto"/>
          </w:tcPr>
          <w:p>
            <w:pPr>
              <w:pStyle w:val="7"/>
              <w:ind w:left="105"/>
              <w:rPr>
                <w:sz w:val="21"/>
                <w:szCs w:val="21"/>
              </w:rPr>
            </w:pPr>
            <w:r>
              <w:rPr>
                <w:rFonts w:hint="eastAsia"/>
                <w:sz w:val="21"/>
                <w:szCs w:val="21"/>
              </w:rPr>
              <w:t xml:space="preserve">金融业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K </w:t>
            </w:r>
          </w:p>
        </w:tc>
        <w:tc>
          <w:tcPr>
            <w:tcW w:w="3840" w:type="dxa"/>
            <w:shd w:val="clear" w:color="auto" w:fill="auto"/>
          </w:tcPr>
          <w:p>
            <w:pPr>
              <w:pStyle w:val="7"/>
              <w:ind w:left="105"/>
              <w:rPr>
                <w:sz w:val="21"/>
                <w:szCs w:val="21"/>
              </w:rPr>
            </w:pPr>
            <w:r>
              <w:rPr>
                <w:rFonts w:hint="eastAsia"/>
                <w:sz w:val="21"/>
                <w:szCs w:val="21"/>
              </w:rPr>
              <w:t xml:space="preserve">房地产业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L </w:t>
            </w:r>
          </w:p>
        </w:tc>
        <w:tc>
          <w:tcPr>
            <w:tcW w:w="3840" w:type="dxa"/>
            <w:shd w:val="clear" w:color="auto" w:fill="auto"/>
          </w:tcPr>
          <w:p>
            <w:pPr>
              <w:pStyle w:val="7"/>
              <w:ind w:left="105"/>
              <w:rPr>
                <w:sz w:val="21"/>
                <w:szCs w:val="21"/>
              </w:rPr>
            </w:pPr>
            <w:r>
              <w:rPr>
                <w:rFonts w:hint="eastAsia"/>
                <w:sz w:val="21"/>
                <w:szCs w:val="21"/>
              </w:rPr>
              <w:t xml:space="preserve">租赁和商务服务业 </w:t>
            </w:r>
          </w:p>
        </w:tc>
        <w:tc>
          <w:tcPr>
            <w:tcW w:w="3255" w:type="dxa"/>
            <w:shd w:val="clear" w:color="auto" w:fill="auto"/>
          </w:tcPr>
          <w:p>
            <w:pPr>
              <w:pStyle w:val="7"/>
              <w:jc w:val="right"/>
              <w:rPr>
                <w:sz w:val="21"/>
                <w:szCs w:val="21"/>
              </w:rPr>
            </w:pPr>
            <w:r>
              <w:rPr>
                <w:rFonts w:hint="eastAsia"/>
                <w:sz w:val="21"/>
                <w:szCs w:val="21"/>
              </w:rPr>
              <w:t xml:space="preserve">78,663.83 </w:t>
            </w:r>
          </w:p>
        </w:tc>
        <w:tc>
          <w:tcPr>
            <w:tcW w:w="2790" w:type="dxa"/>
            <w:shd w:val="clear" w:color="auto" w:fill="auto"/>
          </w:tcPr>
          <w:p>
            <w:pPr>
              <w:pStyle w:val="7"/>
              <w:jc w:val="right"/>
              <w:rPr>
                <w:sz w:val="21"/>
                <w:szCs w:val="21"/>
              </w:rPr>
            </w:pPr>
            <w:r>
              <w:rPr>
                <w:rFonts w:hint="eastAsia"/>
                <w:sz w:val="21"/>
                <w:szCs w:val="21"/>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M </w:t>
            </w:r>
          </w:p>
        </w:tc>
        <w:tc>
          <w:tcPr>
            <w:tcW w:w="3840" w:type="dxa"/>
            <w:shd w:val="clear" w:color="auto" w:fill="auto"/>
          </w:tcPr>
          <w:p>
            <w:pPr>
              <w:pStyle w:val="7"/>
              <w:ind w:left="105"/>
              <w:rPr>
                <w:sz w:val="21"/>
                <w:szCs w:val="21"/>
              </w:rPr>
            </w:pPr>
            <w:r>
              <w:rPr>
                <w:rFonts w:hint="eastAsia"/>
                <w:sz w:val="21"/>
                <w:szCs w:val="21"/>
              </w:rPr>
              <w:t xml:space="preserve">科学研究和技术服务业 </w:t>
            </w:r>
          </w:p>
        </w:tc>
        <w:tc>
          <w:tcPr>
            <w:tcW w:w="3255" w:type="dxa"/>
            <w:shd w:val="clear" w:color="auto" w:fill="auto"/>
          </w:tcPr>
          <w:p>
            <w:pPr>
              <w:pStyle w:val="7"/>
              <w:jc w:val="right"/>
              <w:rPr>
                <w:sz w:val="21"/>
                <w:szCs w:val="21"/>
              </w:rPr>
            </w:pPr>
            <w:r>
              <w:rPr>
                <w:rFonts w:hint="eastAsia"/>
                <w:sz w:val="21"/>
                <w:szCs w:val="21"/>
              </w:rPr>
              <w:t xml:space="preserve">20,594.42 </w:t>
            </w:r>
          </w:p>
        </w:tc>
        <w:tc>
          <w:tcPr>
            <w:tcW w:w="2790" w:type="dxa"/>
            <w:shd w:val="clear" w:color="auto" w:fill="auto"/>
          </w:tcPr>
          <w:p>
            <w:pPr>
              <w:pStyle w:val="7"/>
              <w:jc w:val="right"/>
              <w:rPr>
                <w:sz w:val="21"/>
                <w:szCs w:val="21"/>
              </w:rPr>
            </w:pPr>
            <w:r>
              <w:rPr>
                <w:rFonts w:hint="eastAsia"/>
                <w:sz w:val="21"/>
                <w:szCs w:val="21"/>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N </w:t>
            </w:r>
          </w:p>
        </w:tc>
        <w:tc>
          <w:tcPr>
            <w:tcW w:w="3840" w:type="dxa"/>
            <w:shd w:val="clear" w:color="auto" w:fill="auto"/>
          </w:tcPr>
          <w:p>
            <w:pPr>
              <w:pStyle w:val="7"/>
              <w:ind w:left="105"/>
              <w:rPr>
                <w:sz w:val="21"/>
                <w:szCs w:val="21"/>
              </w:rPr>
            </w:pPr>
            <w:r>
              <w:rPr>
                <w:rFonts w:hint="eastAsia"/>
                <w:sz w:val="21"/>
                <w:szCs w:val="21"/>
              </w:rPr>
              <w:t xml:space="preserve">水利、环境和公共设施管理业 </w:t>
            </w:r>
          </w:p>
        </w:tc>
        <w:tc>
          <w:tcPr>
            <w:tcW w:w="3255" w:type="dxa"/>
            <w:shd w:val="clear" w:color="auto" w:fill="auto"/>
          </w:tcPr>
          <w:p>
            <w:pPr>
              <w:pStyle w:val="7"/>
              <w:jc w:val="right"/>
              <w:rPr>
                <w:sz w:val="21"/>
                <w:szCs w:val="21"/>
              </w:rPr>
            </w:pPr>
            <w:r>
              <w:rPr>
                <w:rFonts w:hint="eastAsia"/>
                <w:sz w:val="21"/>
                <w:szCs w:val="21"/>
              </w:rPr>
              <w:t xml:space="preserve">228,053.06 </w:t>
            </w:r>
          </w:p>
        </w:tc>
        <w:tc>
          <w:tcPr>
            <w:tcW w:w="2790" w:type="dxa"/>
            <w:shd w:val="clear" w:color="auto" w:fill="auto"/>
          </w:tcPr>
          <w:p>
            <w:pPr>
              <w:pStyle w:val="7"/>
              <w:jc w:val="right"/>
              <w:rPr>
                <w:sz w:val="21"/>
                <w:szCs w:val="21"/>
              </w:rPr>
            </w:pPr>
            <w:r>
              <w:rPr>
                <w:rFonts w:hint="eastAsia"/>
                <w:sz w:val="21"/>
                <w:szCs w:val="21"/>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O </w:t>
            </w:r>
          </w:p>
        </w:tc>
        <w:tc>
          <w:tcPr>
            <w:tcW w:w="3840" w:type="dxa"/>
            <w:shd w:val="clear" w:color="auto" w:fill="auto"/>
          </w:tcPr>
          <w:p>
            <w:pPr>
              <w:pStyle w:val="7"/>
              <w:ind w:left="105"/>
              <w:rPr>
                <w:sz w:val="21"/>
                <w:szCs w:val="21"/>
              </w:rPr>
            </w:pPr>
            <w:r>
              <w:rPr>
                <w:rFonts w:hint="eastAsia"/>
                <w:sz w:val="21"/>
                <w:szCs w:val="21"/>
              </w:rPr>
              <w:t xml:space="preserve">居民服务、修理和其他服务业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P </w:t>
            </w:r>
          </w:p>
        </w:tc>
        <w:tc>
          <w:tcPr>
            <w:tcW w:w="3840" w:type="dxa"/>
            <w:shd w:val="clear" w:color="auto" w:fill="auto"/>
          </w:tcPr>
          <w:p>
            <w:pPr>
              <w:pStyle w:val="7"/>
              <w:ind w:left="105"/>
              <w:rPr>
                <w:sz w:val="21"/>
                <w:szCs w:val="21"/>
              </w:rPr>
            </w:pPr>
            <w:r>
              <w:rPr>
                <w:rFonts w:hint="eastAsia"/>
                <w:sz w:val="21"/>
                <w:szCs w:val="21"/>
              </w:rPr>
              <w:t xml:space="preserve">教育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Q </w:t>
            </w:r>
          </w:p>
        </w:tc>
        <w:tc>
          <w:tcPr>
            <w:tcW w:w="3840" w:type="dxa"/>
            <w:shd w:val="clear" w:color="auto" w:fill="auto"/>
          </w:tcPr>
          <w:p>
            <w:pPr>
              <w:pStyle w:val="7"/>
              <w:ind w:left="105"/>
              <w:rPr>
                <w:sz w:val="21"/>
                <w:szCs w:val="21"/>
              </w:rPr>
            </w:pPr>
            <w:r>
              <w:rPr>
                <w:rFonts w:hint="eastAsia"/>
                <w:sz w:val="21"/>
                <w:szCs w:val="21"/>
              </w:rPr>
              <w:t xml:space="preserve">卫生和社会工作 </w:t>
            </w:r>
          </w:p>
        </w:tc>
        <w:tc>
          <w:tcPr>
            <w:tcW w:w="3255" w:type="dxa"/>
            <w:shd w:val="clear" w:color="auto" w:fill="auto"/>
          </w:tcPr>
          <w:p>
            <w:pPr>
              <w:pStyle w:val="7"/>
              <w:jc w:val="right"/>
              <w:rPr>
                <w:sz w:val="21"/>
                <w:szCs w:val="21"/>
              </w:rPr>
            </w:pPr>
            <w:r>
              <w:rPr>
                <w:rFonts w:hint="eastAsia"/>
                <w:sz w:val="21"/>
                <w:szCs w:val="21"/>
              </w:rPr>
              <w:t xml:space="preserve">2,641.43 </w:t>
            </w:r>
          </w:p>
        </w:tc>
        <w:tc>
          <w:tcPr>
            <w:tcW w:w="2790" w:type="dxa"/>
            <w:shd w:val="clear" w:color="auto" w:fill="auto"/>
          </w:tcPr>
          <w:p>
            <w:pPr>
              <w:pStyle w:val="7"/>
              <w:jc w:val="right"/>
              <w:rPr>
                <w:sz w:val="21"/>
                <w:szCs w:val="21"/>
              </w:rPr>
            </w:pPr>
            <w:r>
              <w:rPr>
                <w:rFonts w:hint="eastAsia"/>
                <w:sz w:val="21"/>
                <w:szCs w:val="21"/>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R </w:t>
            </w:r>
          </w:p>
        </w:tc>
        <w:tc>
          <w:tcPr>
            <w:tcW w:w="3840" w:type="dxa"/>
            <w:shd w:val="clear" w:color="auto" w:fill="auto"/>
          </w:tcPr>
          <w:p>
            <w:pPr>
              <w:pStyle w:val="7"/>
              <w:ind w:left="105"/>
              <w:rPr>
                <w:sz w:val="21"/>
                <w:szCs w:val="21"/>
              </w:rPr>
            </w:pPr>
            <w:r>
              <w:rPr>
                <w:rFonts w:hint="eastAsia"/>
                <w:sz w:val="21"/>
                <w:szCs w:val="21"/>
              </w:rPr>
              <w:t xml:space="preserve">文化、体育和娱乐业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S </w:t>
            </w:r>
          </w:p>
        </w:tc>
        <w:tc>
          <w:tcPr>
            <w:tcW w:w="3840" w:type="dxa"/>
            <w:shd w:val="clear" w:color="auto" w:fill="auto"/>
          </w:tcPr>
          <w:p>
            <w:pPr>
              <w:pStyle w:val="7"/>
              <w:ind w:left="105"/>
              <w:rPr>
                <w:sz w:val="21"/>
                <w:szCs w:val="21"/>
              </w:rPr>
            </w:pPr>
            <w:r>
              <w:rPr>
                <w:rFonts w:hint="eastAsia"/>
                <w:sz w:val="21"/>
                <w:szCs w:val="21"/>
              </w:rPr>
              <w:t xml:space="preserve">综合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rPr>
                <w:rFonts w:ascii="宋体" w:hAnsi="宋体" w:eastAsia="宋体" w:cs="宋体"/>
                <w:szCs w:val="21"/>
              </w:rPr>
            </w:pPr>
          </w:p>
        </w:tc>
        <w:tc>
          <w:tcPr>
            <w:tcW w:w="3840" w:type="dxa"/>
            <w:shd w:val="clear" w:color="auto" w:fill="auto"/>
          </w:tcPr>
          <w:p>
            <w:pPr>
              <w:pStyle w:val="7"/>
              <w:ind w:left="105"/>
              <w:rPr>
                <w:sz w:val="21"/>
                <w:szCs w:val="21"/>
              </w:rPr>
            </w:pPr>
            <w:r>
              <w:rPr>
                <w:rFonts w:hint="eastAsia"/>
                <w:sz w:val="21"/>
                <w:szCs w:val="21"/>
              </w:rPr>
              <w:t xml:space="preserve">合计 </w:t>
            </w:r>
          </w:p>
        </w:tc>
        <w:tc>
          <w:tcPr>
            <w:tcW w:w="3255" w:type="dxa"/>
            <w:shd w:val="clear" w:color="auto" w:fill="auto"/>
          </w:tcPr>
          <w:p>
            <w:pPr>
              <w:pStyle w:val="7"/>
              <w:jc w:val="right"/>
              <w:rPr>
                <w:sz w:val="21"/>
                <w:szCs w:val="21"/>
              </w:rPr>
            </w:pPr>
            <w:r>
              <w:rPr>
                <w:rFonts w:hint="eastAsia"/>
                <w:sz w:val="21"/>
                <w:szCs w:val="21"/>
              </w:rPr>
              <w:t xml:space="preserve">184,230,224.41 </w:t>
            </w:r>
          </w:p>
        </w:tc>
        <w:tc>
          <w:tcPr>
            <w:tcW w:w="2790" w:type="dxa"/>
            <w:shd w:val="clear" w:color="auto" w:fill="auto"/>
          </w:tcPr>
          <w:p>
            <w:pPr>
              <w:pStyle w:val="7"/>
              <w:jc w:val="right"/>
              <w:rPr>
                <w:sz w:val="21"/>
                <w:szCs w:val="21"/>
              </w:rPr>
            </w:pPr>
            <w:r>
              <w:rPr>
                <w:rFonts w:hint="eastAsia"/>
                <w:sz w:val="21"/>
                <w:szCs w:val="21"/>
              </w:rPr>
              <w:t xml:space="preserve">80.55 </w:t>
            </w:r>
          </w:p>
        </w:tc>
      </w:tr>
    </w:tbl>
    <w:p>
      <w:pPr>
        <w:pStyle w:val="7"/>
        <w:spacing w:before="0" w:beforeAutospacing="0" w:after="0" w:afterAutospacing="0" w:line="360" w:lineRule="auto"/>
        <w:ind w:firstLine="420"/>
        <w:rPr>
          <w:sz w:val="21"/>
          <w:szCs w:val="21"/>
        </w:rPr>
      </w:pPr>
      <w:r>
        <w:rPr>
          <w:rFonts w:hint="eastAsia"/>
          <w:sz w:val="21"/>
          <w:szCs w:val="21"/>
        </w:rPr>
        <w:t xml:space="preserve">3报告期末按公允价值占基金资产净值比例大小排序的前十名股票投资明细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244"/>
        <w:gridCol w:w="1111"/>
        <w:gridCol w:w="1569"/>
        <w:gridCol w:w="1874"/>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tcPr>
          <w:p>
            <w:pPr>
              <w:pStyle w:val="7"/>
              <w:jc w:val="center"/>
              <w:rPr>
                <w:sz w:val="21"/>
                <w:szCs w:val="21"/>
              </w:rPr>
            </w:pPr>
            <w:r>
              <w:rPr>
                <w:rFonts w:hint="eastAsia"/>
                <w:sz w:val="21"/>
                <w:szCs w:val="21"/>
              </w:rPr>
              <w:t xml:space="preserve">序号 </w:t>
            </w:r>
          </w:p>
        </w:tc>
        <w:tc>
          <w:tcPr>
            <w:tcW w:w="1470" w:type="dxa"/>
            <w:shd w:val="clear" w:color="auto" w:fill="auto"/>
          </w:tcPr>
          <w:p>
            <w:pPr>
              <w:pStyle w:val="7"/>
              <w:jc w:val="center"/>
              <w:rPr>
                <w:sz w:val="21"/>
                <w:szCs w:val="21"/>
              </w:rPr>
            </w:pPr>
            <w:r>
              <w:rPr>
                <w:rFonts w:hint="eastAsia"/>
                <w:sz w:val="21"/>
                <w:szCs w:val="21"/>
              </w:rPr>
              <w:t xml:space="preserve">股票代码 </w:t>
            </w:r>
          </w:p>
        </w:tc>
        <w:tc>
          <w:tcPr>
            <w:tcW w:w="1500" w:type="dxa"/>
            <w:shd w:val="clear" w:color="auto" w:fill="auto"/>
          </w:tcPr>
          <w:p>
            <w:pPr>
              <w:pStyle w:val="7"/>
              <w:jc w:val="center"/>
              <w:rPr>
                <w:sz w:val="21"/>
                <w:szCs w:val="21"/>
              </w:rPr>
            </w:pPr>
            <w:r>
              <w:rPr>
                <w:rFonts w:hint="eastAsia"/>
                <w:sz w:val="21"/>
                <w:szCs w:val="21"/>
              </w:rPr>
              <w:t xml:space="preserve">股票名称 </w:t>
            </w:r>
          </w:p>
        </w:tc>
        <w:tc>
          <w:tcPr>
            <w:tcW w:w="1920" w:type="dxa"/>
            <w:shd w:val="clear" w:color="auto" w:fill="auto"/>
          </w:tcPr>
          <w:p>
            <w:pPr>
              <w:pStyle w:val="7"/>
              <w:jc w:val="center"/>
              <w:rPr>
                <w:sz w:val="21"/>
                <w:szCs w:val="21"/>
              </w:rPr>
            </w:pPr>
            <w:r>
              <w:rPr>
                <w:rFonts w:hint="eastAsia"/>
                <w:sz w:val="21"/>
                <w:szCs w:val="21"/>
              </w:rPr>
              <w:t xml:space="preserve">数量(股) </w:t>
            </w:r>
          </w:p>
        </w:tc>
        <w:tc>
          <w:tcPr>
            <w:tcW w:w="2040" w:type="dxa"/>
            <w:shd w:val="clear" w:color="auto" w:fill="auto"/>
          </w:tcPr>
          <w:p>
            <w:pPr>
              <w:pStyle w:val="7"/>
              <w:jc w:val="center"/>
              <w:rPr>
                <w:sz w:val="21"/>
                <w:szCs w:val="21"/>
              </w:rPr>
            </w:pPr>
            <w:r>
              <w:rPr>
                <w:rFonts w:hint="eastAsia"/>
                <w:sz w:val="21"/>
                <w:szCs w:val="21"/>
              </w:rPr>
              <w:t xml:space="preserve">公允价值(元) </w:t>
            </w:r>
          </w:p>
        </w:tc>
        <w:tc>
          <w:tcPr>
            <w:tcW w:w="2835" w:type="dxa"/>
            <w:shd w:val="clear" w:color="auto" w:fill="auto"/>
          </w:tcPr>
          <w:p>
            <w:pPr>
              <w:pStyle w:val="7"/>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1 </w:t>
            </w:r>
          </w:p>
        </w:tc>
        <w:tc>
          <w:tcPr>
            <w:tcW w:w="1470" w:type="dxa"/>
            <w:shd w:val="clear" w:color="auto" w:fill="auto"/>
          </w:tcPr>
          <w:p>
            <w:pPr>
              <w:pStyle w:val="7"/>
              <w:jc w:val="center"/>
              <w:rPr>
                <w:sz w:val="21"/>
                <w:szCs w:val="21"/>
              </w:rPr>
            </w:pPr>
            <w:r>
              <w:rPr>
                <w:rFonts w:hint="eastAsia"/>
                <w:sz w:val="21"/>
                <w:szCs w:val="21"/>
              </w:rPr>
              <w:t xml:space="preserve">601012 </w:t>
            </w:r>
          </w:p>
        </w:tc>
        <w:tc>
          <w:tcPr>
            <w:tcW w:w="1500" w:type="dxa"/>
            <w:shd w:val="clear" w:color="auto" w:fill="auto"/>
          </w:tcPr>
          <w:p>
            <w:pPr>
              <w:pStyle w:val="7"/>
              <w:jc w:val="center"/>
              <w:rPr>
                <w:sz w:val="21"/>
                <w:szCs w:val="21"/>
              </w:rPr>
            </w:pPr>
            <w:r>
              <w:rPr>
                <w:rFonts w:hint="eastAsia"/>
                <w:sz w:val="21"/>
                <w:szCs w:val="21"/>
              </w:rPr>
              <w:t xml:space="preserve">隆基绿能 </w:t>
            </w:r>
          </w:p>
        </w:tc>
        <w:tc>
          <w:tcPr>
            <w:tcW w:w="1920" w:type="dxa"/>
            <w:shd w:val="clear" w:color="auto" w:fill="auto"/>
          </w:tcPr>
          <w:p>
            <w:pPr>
              <w:pStyle w:val="7"/>
              <w:jc w:val="right"/>
              <w:rPr>
                <w:sz w:val="21"/>
                <w:szCs w:val="21"/>
              </w:rPr>
            </w:pPr>
            <w:r>
              <w:rPr>
                <w:rFonts w:hint="eastAsia"/>
                <w:sz w:val="21"/>
                <w:szCs w:val="21"/>
              </w:rPr>
              <w:t xml:space="preserve">212,004 </w:t>
            </w:r>
          </w:p>
        </w:tc>
        <w:tc>
          <w:tcPr>
            <w:tcW w:w="2040" w:type="dxa"/>
            <w:shd w:val="clear" w:color="auto" w:fill="auto"/>
          </w:tcPr>
          <w:p>
            <w:pPr>
              <w:pStyle w:val="7"/>
              <w:jc w:val="right"/>
              <w:rPr>
                <w:sz w:val="21"/>
                <w:szCs w:val="21"/>
              </w:rPr>
            </w:pPr>
            <w:r>
              <w:rPr>
                <w:rFonts w:hint="eastAsia"/>
                <w:sz w:val="21"/>
                <w:szCs w:val="21"/>
              </w:rPr>
              <w:t xml:space="preserve">14,125,826.52 </w:t>
            </w:r>
          </w:p>
        </w:tc>
        <w:tc>
          <w:tcPr>
            <w:tcW w:w="2835" w:type="dxa"/>
            <w:shd w:val="clear" w:color="auto" w:fill="auto"/>
          </w:tcPr>
          <w:p>
            <w:pPr>
              <w:pStyle w:val="7"/>
              <w:jc w:val="right"/>
              <w:rPr>
                <w:sz w:val="21"/>
                <w:szCs w:val="21"/>
              </w:rPr>
            </w:pPr>
            <w:r>
              <w:rPr>
                <w:rFonts w:hint="eastAsia"/>
                <w:sz w:val="21"/>
                <w:szCs w:val="21"/>
              </w:rPr>
              <w:t xml:space="preserve">6.18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2 </w:t>
            </w:r>
          </w:p>
        </w:tc>
        <w:tc>
          <w:tcPr>
            <w:tcW w:w="1470" w:type="dxa"/>
            <w:shd w:val="clear" w:color="auto" w:fill="auto"/>
          </w:tcPr>
          <w:p>
            <w:pPr>
              <w:pStyle w:val="7"/>
              <w:jc w:val="center"/>
              <w:rPr>
                <w:sz w:val="21"/>
                <w:szCs w:val="21"/>
              </w:rPr>
            </w:pPr>
            <w:r>
              <w:rPr>
                <w:rFonts w:hint="eastAsia"/>
                <w:sz w:val="21"/>
                <w:szCs w:val="21"/>
              </w:rPr>
              <w:t xml:space="preserve">600519 </w:t>
            </w:r>
          </w:p>
        </w:tc>
        <w:tc>
          <w:tcPr>
            <w:tcW w:w="1500" w:type="dxa"/>
            <w:shd w:val="clear" w:color="auto" w:fill="auto"/>
          </w:tcPr>
          <w:p>
            <w:pPr>
              <w:pStyle w:val="7"/>
              <w:jc w:val="center"/>
              <w:rPr>
                <w:sz w:val="21"/>
                <w:szCs w:val="21"/>
              </w:rPr>
            </w:pPr>
            <w:r>
              <w:rPr>
                <w:rFonts w:hint="eastAsia"/>
                <w:sz w:val="21"/>
                <w:szCs w:val="21"/>
              </w:rPr>
              <w:t xml:space="preserve">贵州茅台 </w:t>
            </w:r>
          </w:p>
        </w:tc>
        <w:tc>
          <w:tcPr>
            <w:tcW w:w="1920" w:type="dxa"/>
            <w:shd w:val="clear" w:color="auto" w:fill="auto"/>
          </w:tcPr>
          <w:p>
            <w:pPr>
              <w:pStyle w:val="7"/>
              <w:jc w:val="right"/>
              <w:rPr>
                <w:sz w:val="21"/>
                <w:szCs w:val="21"/>
              </w:rPr>
            </w:pPr>
            <w:r>
              <w:rPr>
                <w:rFonts w:hint="eastAsia"/>
                <w:sz w:val="21"/>
                <w:szCs w:val="21"/>
              </w:rPr>
              <w:t xml:space="preserve">5,500 </w:t>
            </w:r>
          </w:p>
        </w:tc>
        <w:tc>
          <w:tcPr>
            <w:tcW w:w="2040" w:type="dxa"/>
            <w:shd w:val="clear" w:color="auto" w:fill="auto"/>
          </w:tcPr>
          <w:p>
            <w:pPr>
              <w:pStyle w:val="7"/>
              <w:jc w:val="right"/>
              <w:rPr>
                <w:sz w:val="21"/>
                <w:szCs w:val="21"/>
              </w:rPr>
            </w:pPr>
            <w:r>
              <w:rPr>
                <w:rFonts w:hint="eastAsia"/>
                <w:sz w:val="21"/>
                <w:szCs w:val="21"/>
              </w:rPr>
              <w:t xml:space="preserve">11,247,500.00 </w:t>
            </w:r>
          </w:p>
        </w:tc>
        <w:tc>
          <w:tcPr>
            <w:tcW w:w="2835" w:type="dxa"/>
            <w:shd w:val="clear" w:color="auto" w:fill="auto"/>
          </w:tcPr>
          <w:p>
            <w:pPr>
              <w:pStyle w:val="7"/>
              <w:jc w:val="right"/>
              <w:rPr>
                <w:sz w:val="21"/>
                <w:szCs w:val="21"/>
              </w:rPr>
            </w:pPr>
            <w:r>
              <w:rPr>
                <w:rFonts w:hint="eastAsia"/>
                <w:sz w:val="21"/>
                <w:szCs w:val="21"/>
              </w:rPr>
              <w:t xml:space="preserve">4.92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3 </w:t>
            </w:r>
          </w:p>
        </w:tc>
        <w:tc>
          <w:tcPr>
            <w:tcW w:w="1470" w:type="dxa"/>
            <w:shd w:val="clear" w:color="auto" w:fill="auto"/>
          </w:tcPr>
          <w:p>
            <w:pPr>
              <w:pStyle w:val="7"/>
              <w:jc w:val="center"/>
              <w:rPr>
                <w:sz w:val="21"/>
                <w:szCs w:val="21"/>
              </w:rPr>
            </w:pPr>
            <w:r>
              <w:rPr>
                <w:rFonts w:hint="eastAsia"/>
                <w:sz w:val="21"/>
                <w:szCs w:val="21"/>
              </w:rPr>
              <w:t xml:space="preserve">300750 </w:t>
            </w:r>
          </w:p>
        </w:tc>
        <w:tc>
          <w:tcPr>
            <w:tcW w:w="1500" w:type="dxa"/>
            <w:shd w:val="clear" w:color="auto" w:fill="auto"/>
          </w:tcPr>
          <w:p>
            <w:pPr>
              <w:pStyle w:val="7"/>
              <w:jc w:val="center"/>
              <w:rPr>
                <w:sz w:val="21"/>
                <w:szCs w:val="21"/>
              </w:rPr>
            </w:pPr>
            <w:r>
              <w:rPr>
                <w:rFonts w:hint="eastAsia"/>
                <w:sz w:val="21"/>
                <w:szCs w:val="21"/>
              </w:rPr>
              <w:t xml:space="preserve">宁德时代 </w:t>
            </w:r>
          </w:p>
        </w:tc>
        <w:tc>
          <w:tcPr>
            <w:tcW w:w="1920" w:type="dxa"/>
            <w:shd w:val="clear" w:color="auto" w:fill="auto"/>
          </w:tcPr>
          <w:p>
            <w:pPr>
              <w:pStyle w:val="7"/>
              <w:jc w:val="right"/>
              <w:rPr>
                <w:sz w:val="21"/>
                <w:szCs w:val="21"/>
              </w:rPr>
            </w:pPr>
            <w:r>
              <w:rPr>
                <w:rFonts w:hint="eastAsia"/>
                <w:sz w:val="21"/>
                <w:szCs w:val="21"/>
              </w:rPr>
              <w:t xml:space="preserve">17,900 </w:t>
            </w:r>
          </w:p>
        </w:tc>
        <w:tc>
          <w:tcPr>
            <w:tcW w:w="2040" w:type="dxa"/>
            <w:shd w:val="clear" w:color="auto" w:fill="auto"/>
          </w:tcPr>
          <w:p>
            <w:pPr>
              <w:pStyle w:val="7"/>
              <w:jc w:val="right"/>
              <w:rPr>
                <w:sz w:val="21"/>
                <w:szCs w:val="21"/>
              </w:rPr>
            </w:pPr>
            <w:r>
              <w:rPr>
                <w:rFonts w:hint="eastAsia"/>
                <w:sz w:val="21"/>
                <w:szCs w:val="21"/>
              </w:rPr>
              <w:t xml:space="preserve">9,558,600.00 </w:t>
            </w:r>
          </w:p>
        </w:tc>
        <w:tc>
          <w:tcPr>
            <w:tcW w:w="2835" w:type="dxa"/>
            <w:shd w:val="clear" w:color="auto" w:fill="auto"/>
          </w:tcPr>
          <w:p>
            <w:pPr>
              <w:pStyle w:val="7"/>
              <w:jc w:val="right"/>
              <w:rPr>
                <w:sz w:val="21"/>
                <w:szCs w:val="21"/>
              </w:rPr>
            </w:pPr>
            <w:r>
              <w:rPr>
                <w:rFonts w:hint="eastAsia"/>
                <w:sz w:val="21"/>
                <w:szCs w:val="21"/>
              </w:rPr>
              <w:t xml:space="preserve">4.18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4 </w:t>
            </w:r>
          </w:p>
        </w:tc>
        <w:tc>
          <w:tcPr>
            <w:tcW w:w="1470" w:type="dxa"/>
            <w:shd w:val="clear" w:color="auto" w:fill="auto"/>
          </w:tcPr>
          <w:p>
            <w:pPr>
              <w:pStyle w:val="7"/>
              <w:jc w:val="center"/>
              <w:rPr>
                <w:sz w:val="21"/>
                <w:szCs w:val="21"/>
              </w:rPr>
            </w:pPr>
            <w:r>
              <w:rPr>
                <w:rFonts w:hint="eastAsia"/>
                <w:sz w:val="21"/>
                <w:szCs w:val="21"/>
              </w:rPr>
              <w:t xml:space="preserve">000733 </w:t>
            </w:r>
          </w:p>
        </w:tc>
        <w:tc>
          <w:tcPr>
            <w:tcW w:w="1500" w:type="dxa"/>
            <w:shd w:val="clear" w:color="auto" w:fill="auto"/>
          </w:tcPr>
          <w:p>
            <w:pPr>
              <w:pStyle w:val="7"/>
              <w:jc w:val="center"/>
              <w:rPr>
                <w:sz w:val="21"/>
                <w:szCs w:val="21"/>
              </w:rPr>
            </w:pPr>
            <w:r>
              <w:rPr>
                <w:rFonts w:hint="eastAsia"/>
                <w:sz w:val="21"/>
                <w:szCs w:val="21"/>
              </w:rPr>
              <w:t xml:space="preserve">振华科技 </w:t>
            </w:r>
          </w:p>
        </w:tc>
        <w:tc>
          <w:tcPr>
            <w:tcW w:w="1920" w:type="dxa"/>
            <w:shd w:val="clear" w:color="auto" w:fill="auto"/>
          </w:tcPr>
          <w:p>
            <w:pPr>
              <w:pStyle w:val="7"/>
              <w:jc w:val="right"/>
              <w:rPr>
                <w:sz w:val="21"/>
                <w:szCs w:val="21"/>
              </w:rPr>
            </w:pPr>
            <w:r>
              <w:rPr>
                <w:rFonts w:hint="eastAsia"/>
                <w:sz w:val="21"/>
                <w:szCs w:val="21"/>
              </w:rPr>
              <w:t xml:space="preserve">69,400 </w:t>
            </w:r>
          </w:p>
        </w:tc>
        <w:tc>
          <w:tcPr>
            <w:tcW w:w="2040" w:type="dxa"/>
            <w:shd w:val="clear" w:color="auto" w:fill="auto"/>
          </w:tcPr>
          <w:p>
            <w:pPr>
              <w:pStyle w:val="7"/>
              <w:jc w:val="right"/>
              <w:rPr>
                <w:sz w:val="21"/>
                <w:szCs w:val="21"/>
              </w:rPr>
            </w:pPr>
            <w:r>
              <w:rPr>
                <w:rFonts w:hint="eastAsia"/>
                <w:sz w:val="21"/>
                <w:szCs w:val="21"/>
              </w:rPr>
              <w:t xml:space="preserve">9,436,318.00 </w:t>
            </w:r>
          </w:p>
        </w:tc>
        <w:tc>
          <w:tcPr>
            <w:tcW w:w="2835" w:type="dxa"/>
            <w:shd w:val="clear" w:color="auto" w:fill="auto"/>
          </w:tcPr>
          <w:p>
            <w:pPr>
              <w:pStyle w:val="7"/>
              <w:jc w:val="right"/>
              <w:rPr>
                <w:sz w:val="21"/>
                <w:szCs w:val="21"/>
              </w:rPr>
            </w:pPr>
            <w:r>
              <w:rPr>
                <w:rFonts w:hint="eastAsia"/>
                <w:sz w:val="21"/>
                <w:szCs w:val="21"/>
              </w:rPr>
              <w:t xml:space="preserve">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5 </w:t>
            </w:r>
          </w:p>
        </w:tc>
        <w:tc>
          <w:tcPr>
            <w:tcW w:w="1470" w:type="dxa"/>
            <w:shd w:val="clear" w:color="auto" w:fill="auto"/>
          </w:tcPr>
          <w:p>
            <w:pPr>
              <w:pStyle w:val="7"/>
              <w:jc w:val="center"/>
              <w:rPr>
                <w:sz w:val="21"/>
                <w:szCs w:val="21"/>
              </w:rPr>
            </w:pPr>
            <w:r>
              <w:rPr>
                <w:rFonts w:hint="eastAsia"/>
                <w:sz w:val="21"/>
                <w:szCs w:val="21"/>
              </w:rPr>
              <w:t xml:space="preserve">600765 </w:t>
            </w:r>
          </w:p>
        </w:tc>
        <w:tc>
          <w:tcPr>
            <w:tcW w:w="1500" w:type="dxa"/>
            <w:shd w:val="clear" w:color="auto" w:fill="auto"/>
          </w:tcPr>
          <w:p>
            <w:pPr>
              <w:pStyle w:val="7"/>
              <w:jc w:val="center"/>
              <w:rPr>
                <w:sz w:val="21"/>
                <w:szCs w:val="21"/>
              </w:rPr>
            </w:pPr>
            <w:r>
              <w:rPr>
                <w:rFonts w:hint="eastAsia"/>
                <w:sz w:val="21"/>
                <w:szCs w:val="21"/>
              </w:rPr>
              <w:t xml:space="preserve">中航重机 </w:t>
            </w:r>
          </w:p>
        </w:tc>
        <w:tc>
          <w:tcPr>
            <w:tcW w:w="1920" w:type="dxa"/>
            <w:shd w:val="clear" w:color="auto" w:fill="auto"/>
          </w:tcPr>
          <w:p>
            <w:pPr>
              <w:pStyle w:val="7"/>
              <w:jc w:val="right"/>
              <w:rPr>
                <w:sz w:val="21"/>
                <w:szCs w:val="21"/>
              </w:rPr>
            </w:pPr>
            <w:r>
              <w:rPr>
                <w:rFonts w:hint="eastAsia"/>
                <w:sz w:val="21"/>
                <w:szCs w:val="21"/>
              </w:rPr>
              <w:t xml:space="preserve">238,820 </w:t>
            </w:r>
          </w:p>
        </w:tc>
        <w:tc>
          <w:tcPr>
            <w:tcW w:w="2040" w:type="dxa"/>
            <w:shd w:val="clear" w:color="auto" w:fill="auto"/>
          </w:tcPr>
          <w:p>
            <w:pPr>
              <w:pStyle w:val="7"/>
              <w:jc w:val="right"/>
              <w:rPr>
                <w:sz w:val="21"/>
                <w:szCs w:val="21"/>
              </w:rPr>
            </w:pPr>
            <w:r>
              <w:rPr>
                <w:rFonts w:hint="eastAsia"/>
                <w:sz w:val="21"/>
                <w:szCs w:val="21"/>
              </w:rPr>
              <w:t xml:space="preserve">7,685,227.60 </w:t>
            </w:r>
          </w:p>
        </w:tc>
        <w:tc>
          <w:tcPr>
            <w:tcW w:w="2835" w:type="dxa"/>
            <w:shd w:val="clear" w:color="auto" w:fill="auto"/>
          </w:tcPr>
          <w:p>
            <w:pPr>
              <w:pStyle w:val="7"/>
              <w:jc w:val="right"/>
              <w:rPr>
                <w:sz w:val="21"/>
                <w:szCs w:val="21"/>
              </w:rPr>
            </w:pPr>
            <w:r>
              <w:rPr>
                <w:rFonts w:hint="eastAsia"/>
                <w:sz w:val="21"/>
                <w:szCs w:val="21"/>
              </w:rPr>
              <w:t xml:space="preserve">3.36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6 </w:t>
            </w:r>
          </w:p>
        </w:tc>
        <w:tc>
          <w:tcPr>
            <w:tcW w:w="1470" w:type="dxa"/>
            <w:shd w:val="clear" w:color="auto" w:fill="auto"/>
          </w:tcPr>
          <w:p>
            <w:pPr>
              <w:pStyle w:val="7"/>
              <w:jc w:val="center"/>
              <w:rPr>
                <w:sz w:val="21"/>
                <w:szCs w:val="21"/>
              </w:rPr>
            </w:pPr>
            <w:r>
              <w:rPr>
                <w:rFonts w:hint="eastAsia"/>
                <w:sz w:val="21"/>
                <w:szCs w:val="21"/>
              </w:rPr>
              <w:t xml:space="preserve">603277 </w:t>
            </w:r>
          </w:p>
        </w:tc>
        <w:tc>
          <w:tcPr>
            <w:tcW w:w="1500" w:type="dxa"/>
            <w:shd w:val="clear" w:color="auto" w:fill="auto"/>
          </w:tcPr>
          <w:p>
            <w:pPr>
              <w:pStyle w:val="7"/>
              <w:jc w:val="center"/>
              <w:rPr>
                <w:sz w:val="21"/>
                <w:szCs w:val="21"/>
              </w:rPr>
            </w:pPr>
            <w:r>
              <w:rPr>
                <w:rFonts w:hint="eastAsia"/>
                <w:sz w:val="21"/>
                <w:szCs w:val="21"/>
              </w:rPr>
              <w:t xml:space="preserve">银都股份 </w:t>
            </w:r>
          </w:p>
        </w:tc>
        <w:tc>
          <w:tcPr>
            <w:tcW w:w="1920" w:type="dxa"/>
            <w:shd w:val="clear" w:color="auto" w:fill="auto"/>
          </w:tcPr>
          <w:p>
            <w:pPr>
              <w:pStyle w:val="7"/>
              <w:jc w:val="right"/>
              <w:rPr>
                <w:sz w:val="21"/>
                <w:szCs w:val="21"/>
              </w:rPr>
            </w:pPr>
            <w:r>
              <w:rPr>
                <w:rFonts w:hint="eastAsia"/>
                <w:sz w:val="21"/>
                <w:szCs w:val="21"/>
              </w:rPr>
              <w:t xml:space="preserve">313,200 </w:t>
            </w:r>
          </w:p>
        </w:tc>
        <w:tc>
          <w:tcPr>
            <w:tcW w:w="2040" w:type="dxa"/>
            <w:shd w:val="clear" w:color="auto" w:fill="auto"/>
          </w:tcPr>
          <w:p>
            <w:pPr>
              <w:pStyle w:val="7"/>
              <w:jc w:val="right"/>
              <w:rPr>
                <w:sz w:val="21"/>
                <w:szCs w:val="21"/>
              </w:rPr>
            </w:pPr>
            <w:r>
              <w:rPr>
                <w:rFonts w:hint="eastAsia"/>
                <w:sz w:val="21"/>
                <w:szCs w:val="21"/>
              </w:rPr>
              <w:t xml:space="preserve">6,611,652.00 </w:t>
            </w:r>
          </w:p>
        </w:tc>
        <w:tc>
          <w:tcPr>
            <w:tcW w:w="2835" w:type="dxa"/>
            <w:shd w:val="clear" w:color="auto" w:fill="auto"/>
          </w:tcPr>
          <w:p>
            <w:pPr>
              <w:pStyle w:val="7"/>
              <w:jc w:val="right"/>
              <w:rPr>
                <w:sz w:val="21"/>
                <w:szCs w:val="21"/>
              </w:rPr>
            </w:pPr>
            <w:r>
              <w:rPr>
                <w:rFonts w:hint="eastAsia"/>
                <w:sz w:val="21"/>
                <w:szCs w:val="21"/>
              </w:rPr>
              <w:t xml:space="preserve">2.89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7 </w:t>
            </w:r>
          </w:p>
        </w:tc>
        <w:tc>
          <w:tcPr>
            <w:tcW w:w="1470" w:type="dxa"/>
            <w:shd w:val="clear" w:color="auto" w:fill="auto"/>
          </w:tcPr>
          <w:p>
            <w:pPr>
              <w:pStyle w:val="7"/>
              <w:jc w:val="center"/>
              <w:rPr>
                <w:sz w:val="21"/>
                <w:szCs w:val="21"/>
              </w:rPr>
            </w:pPr>
            <w:r>
              <w:rPr>
                <w:rFonts w:hint="eastAsia"/>
                <w:sz w:val="21"/>
                <w:szCs w:val="21"/>
              </w:rPr>
              <w:t xml:space="preserve">600233 </w:t>
            </w:r>
          </w:p>
        </w:tc>
        <w:tc>
          <w:tcPr>
            <w:tcW w:w="1500" w:type="dxa"/>
            <w:shd w:val="clear" w:color="auto" w:fill="auto"/>
          </w:tcPr>
          <w:p>
            <w:pPr>
              <w:pStyle w:val="7"/>
              <w:jc w:val="center"/>
              <w:rPr>
                <w:sz w:val="21"/>
                <w:szCs w:val="21"/>
              </w:rPr>
            </w:pPr>
            <w:r>
              <w:rPr>
                <w:rFonts w:hint="eastAsia"/>
                <w:sz w:val="21"/>
                <w:szCs w:val="21"/>
              </w:rPr>
              <w:t xml:space="preserve">圆通速递 </w:t>
            </w:r>
          </w:p>
        </w:tc>
        <w:tc>
          <w:tcPr>
            <w:tcW w:w="1920" w:type="dxa"/>
            <w:shd w:val="clear" w:color="auto" w:fill="auto"/>
          </w:tcPr>
          <w:p>
            <w:pPr>
              <w:pStyle w:val="7"/>
              <w:jc w:val="right"/>
              <w:rPr>
                <w:sz w:val="21"/>
                <w:szCs w:val="21"/>
              </w:rPr>
            </w:pPr>
            <w:r>
              <w:rPr>
                <w:rFonts w:hint="eastAsia"/>
                <w:sz w:val="21"/>
                <w:szCs w:val="21"/>
              </w:rPr>
              <w:t xml:space="preserve">317,600 </w:t>
            </w:r>
          </w:p>
        </w:tc>
        <w:tc>
          <w:tcPr>
            <w:tcW w:w="2040" w:type="dxa"/>
            <w:shd w:val="clear" w:color="auto" w:fill="auto"/>
          </w:tcPr>
          <w:p>
            <w:pPr>
              <w:pStyle w:val="7"/>
              <w:jc w:val="right"/>
              <w:rPr>
                <w:sz w:val="21"/>
                <w:szCs w:val="21"/>
              </w:rPr>
            </w:pPr>
            <w:r>
              <w:rPr>
                <w:rFonts w:hint="eastAsia"/>
                <w:sz w:val="21"/>
                <w:szCs w:val="21"/>
              </w:rPr>
              <w:t xml:space="preserve">6,475,864.00 </w:t>
            </w:r>
          </w:p>
        </w:tc>
        <w:tc>
          <w:tcPr>
            <w:tcW w:w="2835" w:type="dxa"/>
            <w:shd w:val="clear" w:color="auto" w:fill="auto"/>
          </w:tcPr>
          <w:p>
            <w:pPr>
              <w:pStyle w:val="7"/>
              <w:jc w:val="right"/>
              <w:rPr>
                <w:sz w:val="21"/>
                <w:szCs w:val="21"/>
              </w:rPr>
            </w:pPr>
            <w:r>
              <w:rPr>
                <w:rFonts w:hint="eastAsia"/>
                <w:sz w:val="21"/>
                <w:szCs w:val="21"/>
              </w:rPr>
              <w:t xml:space="preserve">2.83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8 </w:t>
            </w:r>
          </w:p>
        </w:tc>
        <w:tc>
          <w:tcPr>
            <w:tcW w:w="1470" w:type="dxa"/>
            <w:shd w:val="clear" w:color="auto" w:fill="auto"/>
          </w:tcPr>
          <w:p>
            <w:pPr>
              <w:pStyle w:val="7"/>
              <w:jc w:val="center"/>
              <w:rPr>
                <w:sz w:val="21"/>
                <w:szCs w:val="21"/>
              </w:rPr>
            </w:pPr>
            <w:r>
              <w:rPr>
                <w:rFonts w:hint="eastAsia"/>
                <w:sz w:val="21"/>
                <w:szCs w:val="21"/>
              </w:rPr>
              <w:t xml:space="preserve">002472 </w:t>
            </w:r>
          </w:p>
        </w:tc>
        <w:tc>
          <w:tcPr>
            <w:tcW w:w="1500" w:type="dxa"/>
            <w:shd w:val="clear" w:color="auto" w:fill="auto"/>
          </w:tcPr>
          <w:p>
            <w:pPr>
              <w:pStyle w:val="7"/>
              <w:jc w:val="center"/>
              <w:rPr>
                <w:sz w:val="21"/>
                <w:szCs w:val="21"/>
              </w:rPr>
            </w:pPr>
            <w:r>
              <w:rPr>
                <w:rFonts w:hint="eastAsia"/>
                <w:sz w:val="21"/>
                <w:szCs w:val="21"/>
              </w:rPr>
              <w:t xml:space="preserve">双环传动 </w:t>
            </w:r>
          </w:p>
        </w:tc>
        <w:tc>
          <w:tcPr>
            <w:tcW w:w="1920" w:type="dxa"/>
            <w:shd w:val="clear" w:color="auto" w:fill="auto"/>
          </w:tcPr>
          <w:p>
            <w:pPr>
              <w:pStyle w:val="7"/>
              <w:jc w:val="right"/>
              <w:rPr>
                <w:sz w:val="21"/>
                <w:szCs w:val="21"/>
              </w:rPr>
            </w:pPr>
            <w:r>
              <w:rPr>
                <w:rFonts w:hint="eastAsia"/>
                <w:sz w:val="21"/>
                <w:szCs w:val="21"/>
              </w:rPr>
              <w:t xml:space="preserve">163,100 </w:t>
            </w:r>
          </w:p>
        </w:tc>
        <w:tc>
          <w:tcPr>
            <w:tcW w:w="2040" w:type="dxa"/>
            <w:shd w:val="clear" w:color="auto" w:fill="auto"/>
          </w:tcPr>
          <w:p>
            <w:pPr>
              <w:pStyle w:val="7"/>
              <w:jc w:val="right"/>
              <w:rPr>
                <w:sz w:val="21"/>
                <w:szCs w:val="21"/>
              </w:rPr>
            </w:pPr>
            <w:r>
              <w:rPr>
                <w:rFonts w:hint="eastAsia"/>
                <w:sz w:val="21"/>
                <w:szCs w:val="21"/>
              </w:rPr>
              <w:t xml:space="preserve">5,193,104.00 </w:t>
            </w:r>
          </w:p>
        </w:tc>
        <w:tc>
          <w:tcPr>
            <w:tcW w:w="2835" w:type="dxa"/>
            <w:shd w:val="clear" w:color="auto" w:fill="auto"/>
          </w:tcPr>
          <w:p>
            <w:pPr>
              <w:pStyle w:val="7"/>
              <w:jc w:val="right"/>
              <w:rPr>
                <w:sz w:val="21"/>
                <w:szCs w:val="21"/>
              </w:rPr>
            </w:pPr>
            <w:r>
              <w:rPr>
                <w:rFonts w:hint="eastAsia"/>
                <w:sz w:val="21"/>
                <w:szCs w:val="21"/>
              </w:rPr>
              <w:t xml:space="preserve">2.27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9 </w:t>
            </w:r>
          </w:p>
        </w:tc>
        <w:tc>
          <w:tcPr>
            <w:tcW w:w="1470" w:type="dxa"/>
            <w:shd w:val="clear" w:color="auto" w:fill="auto"/>
          </w:tcPr>
          <w:p>
            <w:pPr>
              <w:pStyle w:val="7"/>
              <w:jc w:val="center"/>
              <w:rPr>
                <w:sz w:val="21"/>
                <w:szCs w:val="21"/>
              </w:rPr>
            </w:pPr>
            <w:r>
              <w:rPr>
                <w:rFonts w:hint="eastAsia"/>
                <w:sz w:val="21"/>
                <w:szCs w:val="21"/>
              </w:rPr>
              <w:t xml:space="preserve">603713 </w:t>
            </w:r>
          </w:p>
        </w:tc>
        <w:tc>
          <w:tcPr>
            <w:tcW w:w="1500" w:type="dxa"/>
            <w:shd w:val="clear" w:color="auto" w:fill="auto"/>
          </w:tcPr>
          <w:p>
            <w:pPr>
              <w:pStyle w:val="7"/>
              <w:jc w:val="center"/>
              <w:rPr>
                <w:sz w:val="21"/>
                <w:szCs w:val="21"/>
              </w:rPr>
            </w:pPr>
            <w:r>
              <w:rPr>
                <w:rFonts w:hint="eastAsia"/>
                <w:sz w:val="21"/>
                <w:szCs w:val="21"/>
              </w:rPr>
              <w:t xml:space="preserve">密尔克卫 </w:t>
            </w:r>
          </w:p>
        </w:tc>
        <w:tc>
          <w:tcPr>
            <w:tcW w:w="1920" w:type="dxa"/>
            <w:shd w:val="clear" w:color="auto" w:fill="auto"/>
          </w:tcPr>
          <w:p>
            <w:pPr>
              <w:pStyle w:val="7"/>
              <w:jc w:val="right"/>
              <w:rPr>
                <w:sz w:val="21"/>
                <w:szCs w:val="21"/>
              </w:rPr>
            </w:pPr>
            <w:r>
              <w:rPr>
                <w:rFonts w:hint="eastAsia"/>
                <w:sz w:val="21"/>
                <w:szCs w:val="21"/>
              </w:rPr>
              <w:t xml:space="preserve">37,700 </w:t>
            </w:r>
          </w:p>
        </w:tc>
        <w:tc>
          <w:tcPr>
            <w:tcW w:w="2040" w:type="dxa"/>
            <w:shd w:val="clear" w:color="auto" w:fill="auto"/>
          </w:tcPr>
          <w:p>
            <w:pPr>
              <w:pStyle w:val="7"/>
              <w:jc w:val="right"/>
              <w:rPr>
                <w:sz w:val="21"/>
                <w:szCs w:val="21"/>
              </w:rPr>
            </w:pPr>
            <w:r>
              <w:rPr>
                <w:rFonts w:hint="eastAsia"/>
                <w:sz w:val="21"/>
                <w:szCs w:val="21"/>
              </w:rPr>
              <w:t xml:space="preserve">5,153,590.00 </w:t>
            </w:r>
          </w:p>
        </w:tc>
        <w:tc>
          <w:tcPr>
            <w:tcW w:w="2835" w:type="dxa"/>
            <w:shd w:val="clear" w:color="auto" w:fill="auto"/>
          </w:tcPr>
          <w:p>
            <w:pPr>
              <w:pStyle w:val="7"/>
              <w:jc w:val="right"/>
              <w:rPr>
                <w:sz w:val="21"/>
                <w:szCs w:val="21"/>
              </w:rPr>
            </w:pPr>
            <w:r>
              <w:rPr>
                <w:rFonts w:hint="eastAsia"/>
                <w:sz w:val="21"/>
                <w:szCs w:val="21"/>
              </w:rPr>
              <w:t xml:space="preserve">2.25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10 </w:t>
            </w:r>
          </w:p>
        </w:tc>
        <w:tc>
          <w:tcPr>
            <w:tcW w:w="1470" w:type="dxa"/>
            <w:shd w:val="clear" w:color="auto" w:fill="auto"/>
          </w:tcPr>
          <w:p>
            <w:pPr>
              <w:pStyle w:val="7"/>
              <w:jc w:val="center"/>
              <w:rPr>
                <w:sz w:val="21"/>
                <w:szCs w:val="21"/>
              </w:rPr>
            </w:pPr>
            <w:r>
              <w:rPr>
                <w:rFonts w:hint="eastAsia"/>
                <w:sz w:val="21"/>
                <w:szCs w:val="21"/>
              </w:rPr>
              <w:t xml:space="preserve">603290 </w:t>
            </w:r>
          </w:p>
        </w:tc>
        <w:tc>
          <w:tcPr>
            <w:tcW w:w="1500" w:type="dxa"/>
            <w:shd w:val="clear" w:color="auto" w:fill="auto"/>
          </w:tcPr>
          <w:p>
            <w:pPr>
              <w:pStyle w:val="7"/>
              <w:jc w:val="center"/>
              <w:rPr>
                <w:sz w:val="21"/>
                <w:szCs w:val="21"/>
              </w:rPr>
            </w:pPr>
            <w:r>
              <w:rPr>
                <w:rFonts w:hint="eastAsia"/>
                <w:sz w:val="21"/>
                <w:szCs w:val="21"/>
              </w:rPr>
              <w:t xml:space="preserve">斯达半导 </w:t>
            </w:r>
          </w:p>
        </w:tc>
        <w:tc>
          <w:tcPr>
            <w:tcW w:w="1920" w:type="dxa"/>
            <w:shd w:val="clear" w:color="auto" w:fill="auto"/>
          </w:tcPr>
          <w:p>
            <w:pPr>
              <w:pStyle w:val="7"/>
              <w:jc w:val="right"/>
              <w:rPr>
                <w:sz w:val="21"/>
                <w:szCs w:val="21"/>
              </w:rPr>
            </w:pPr>
            <w:r>
              <w:rPr>
                <w:rFonts w:hint="eastAsia"/>
                <w:sz w:val="21"/>
                <w:szCs w:val="21"/>
              </w:rPr>
              <w:t xml:space="preserve">13,300 </w:t>
            </w:r>
          </w:p>
        </w:tc>
        <w:tc>
          <w:tcPr>
            <w:tcW w:w="2040" w:type="dxa"/>
            <w:shd w:val="clear" w:color="auto" w:fill="auto"/>
          </w:tcPr>
          <w:p>
            <w:pPr>
              <w:pStyle w:val="7"/>
              <w:jc w:val="right"/>
              <w:rPr>
                <w:sz w:val="21"/>
                <w:szCs w:val="21"/>
              </w:rPr>
            </w:pPr>
            <w:r>
              <w:rPr>
                <w:rFonts w:hint="eastAsia"/>
                <w:sz w:val="21"/>
                <w:szCs w:val="21"/>
              </w:rPr>
              <w:t xml:space="preserve">5,132,470.00 </w:t>
            </w:r>
          </w:p>
        </w:tc>
        <w:tc>
          <w:tcPr>
            <w:tcW w:w="2835" w:type="dxa"/>
            <w:shd w:val="clear" w:color="auto" w:fill="auto"/>
          </w:tcPr>
          <w:p>
            <w:pPr>
              <w:pStyle w:val="7"/>
              <w:jc w:val="right"/>
              <w:rPr>
                <w:sz w:val="21"/>
                <w:szCs w:val="21"/>
              </w:rPr>
            </w:pPr>
            <w:r>
              <w:rPr>
                <w:rFonts w:hint="eastAsia"/>
                <w:sz w:val="21"/>
                <w:szCs w:val="21"/>
              </w:rPr>
              <w:t xml:space="preserve">2.24 </w:t>
            </w:r>
          </w:p>
        </w:tc>
      </w:tr>
    </w:tbl>
    <w:p>
      <w:pPr>
        <w:pStyle w:val="7"/>
        <w:spacing w:before="0" w:beforeAutospacing="0" w:after="0" w:afterAutospacing="0" w:line="360" w:lineRule="auto"/>
        <w:ind w:firstLine="420"/>
        <w:rPr>
          <w:sz w:val="21"/>
          <w:szCs w:val="21"/>
        </w:rPr>
      </w:pPr>
      <w:r>
        <w:rPr>
          <w:rFonts w:hint="eastAsia"/>
          <w:sz w:val="21"/>
          <w:szCs w:val="21"/>
        </w:rPr>
        <w:t xml:space="preserve">4报告期末按债券品种分类的债券投资组合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1883"/>
        <w:gridCol w:w="3078"/>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序号 </w:t>
            </w:r>
          </w:p>
        </w:tc>
        <w:tc>
          <w:tcPr>
            <w:tcW w:w="2370" w:type="dxa"/>
            <w:shd w:val="clear" w:color="auto" w:fill="auto"/>
          </w:tcPr>
          <w:p>
            <w:pPr>
              <w:pStyle w:val="7"/>
              <w:jc w:val="center"/>
              <w:rPr>
                <w:sz w:val="21"/>
                <w:szCs w:val="21"/>
              </w:rPr>
            </w:pPr>
            <w:r>
              <w:rPr>
                <w:rFonts w:hint="eastAsia"/>
                <w:sz w:val="21"/>
                <w:szCs w:val="21"/>
              </w:rPr>
              <w:t xml:space="preserve">债券品种 </w:t>
            </w:r>
          </w:p>
        </w:tc>
        <w:tc>
          <w:tcPr>
            <w:tcW w:w="3705" w:type="dxa"/>
            <w:shd w:val="clear" w:color="auto" w:fill="auto"/>
          </w:tcPr>
          <w:p>
            <w:pPr>
              <w:pStyle w:val="7"/>
              <w:jc w:val="center"/>
              <w:rPr>
                <w:sz w:val="21"/>
                <w:szCs w:val="21"/>
              </w:rPr>
            </w:pPr>
            <w:r>
              <w:rPr>
                <w:rFonts w:hint="eastAsia"/>
                <w:sz w:val="21"/>
                <w:szCs w:val="21"/>
              </w:rPr>
              <w:t xml:space="preserve">公允价值(元) </w:t>
            </w:r>
          </w:p>
        </w:tc>
        <w:tc>
          <w:tcPr>
            <w:tcW w:w="3705" w:type="dxa"/>
            <w:shd w:val="clear" w:color="auto" w:fill="auto"/>
          </w:tcPr>
          <w:p>
            <w:pPr>
              <w:pStyle w:val="7"/>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1 </w:t>
            </w:r>
          </w:p>
        </w:tc>
        <w:tc>
          <w:tcPr>
            <w:tcW w:w="2370" w:type="dxa"/>
            <w:shd w:val="clear" w:color="auto" w:fill="auto"/>
          </w:tcPr>
          <w:p>
            <w:pPr>
              <w:pStyle w:val="7"/>
              <w:rPr>
                <w:sz w:val="21"/>
                <w:szCs w:val="21"/>
              </w:rPr>
            </w:pPr>
            <w:r>
              <w:rPr>
                <w:rFonts w:hint="eastAsia"/>
                <w:sz w:val="21"/>
                <w:szCs w:val="21"/>
              </w:rPr>
              <w:t xml:space="preserve">国家债券 </w:t>
            </w:r>
          </w:p>
        </w:tc>
        <w:tc>
          <w:tcPr>
            <w:tcW w:w="3705" w:type="dxa"/>
            <w:shd w:val="clear" w:color="auto" w:fill="auto"/>
          </w:tcPr>
          <w:p>
            <w:pPr>
              <w:pStyle w:val="7"/>
              <w:jc w:val="right"/>
              <w:rPr>
                <w:sz w:val="21"/>
                <w:szCs w:val="21"/>
              </w:rPr>
            </w:pPr>
            <w:r>
              <w:rPr>
                <w:rFonts w:hint="eastAsia"/>
                <w:sz w:val="21"/>
                <w:szCs w:val="21"/>
              </w:rPr>
              <w:t xml:space="preserve">- </w:t>
            </w:r>
          </w:p>
        </w:tc>
        <w:tc>
          <w:tcPr>
            <w:tcW w:w="370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2 </w:t>
            </w:r>
          </w:p>
        </w:tc>
        <w:tc>
          <w:tcPr>
            <w:tcW w:w="2370" w:type="dxa"/>
            <w:shd w:val="clear" w:color="auto" w:fill="auto"/>
          </w:tcPr>
          <w:p>
            <w:pPr>
              <w:pStyle w:val="7"/>
              <w:rPr>
                <w:sz w:val="21"/>
                <w:szCs w:val="21"/>
              </w:rPr>
            </w:pPr>
            <w:r>
              <w:rPr>
                <w:rFonts w:hint="eastAsia"/>
                <w:sz w:val="21"/>
                <w:szCs w:val="21"/>
              </w:rPr>
              <w:t xml:space="preserve">央行票据 </w:t>
            </w:r>
          </w:p>
        </w:tc>
        <w:tc>
          <w:tcPr>
            <w:tcW w:w="3705" w:type="dxa"/>
            <w:shd w:val="clear" w:color="auto" w:fill="auto"/>
          </w:tcPr>
          <w:p>
            <w:pPr>
              <w:pStyle w:val="7"/>
              <w:jc w:val="right"/>
              <w:rPr>
                <w:sz w:val="21"/>
                <w:szCs w:val="21"/>
              </w:rPr>
            </w:pPr>
            <w:r>
              <w:rPr>
                <w:rFonts w:hint="eastAsia"/>
                <w:sz w:val="21"/>
                <w:szCs w:val="21"/>
              </w:rPr>
              <w:t xml:space="preserve">- </w:t>
            </w:r>
          </w:p>
        </w:tc>
        <w:tc>
          <w:tcPr>
            <w:tcW w:w="370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3 </w:t>
            </w:r>
          </w:p>
        </w:tc>
        <w:tc>
          <w:tcPr>
            <w:tcW w:w="2370" w:type="dxa"/>
            <w:shd w:val="clear" w:color="auto" w:fill="auto"/>
          </w:tcPr>
          <w:p>
            <w:pPr>
              <w:pStyle w:val="7"/>
              <w:rPr>
                <w:sz w:val="21"/>
                <w:szCs w:val="21"/>
              </w:rPr>
            </w:pPr>
            <w:r>
              <w:rPr>
                <w:rFonts w:hint="eastAsia"/>
                <w:sz w:val="21"/>
                <w:szCs w:val="21"/>
              </w:rPr>
              <w:t xml:space="preserve">金融债券 </w:t>
            </w:r>
          </w:p>
        </w:tc>
        <w:tc>
          <w:tcPr>
            <w:tcW w:w="3705" w:type="dxa"/>
            <w:shd w:val="clear" w:color="auto" w:fill="auto"/>
          </w:tcPr>
          <w:p>
            <w:pPr>
              <w:pStyle w:val="7"/>
              <w:jc w:val="right"/>
              <w:rPr>
                <w:sz w:val="21"/>
                <w:szCs w:val="21"/>
              </w:rPr>
            </w:pPr>
            <w:r>
              <w:rPr>
                <w:rFonts w:hint="eastAsia"/>
                <w:sz w:val="21"/>
                <w:szCs w:val="21"/>
              </w:rPr>
              <w:t xml:space="preserve">- </w:t>
            </w:r>
          </w:p>
        </w:tc>
        <w:tc>
          <w:tcPr>
            <w:tcW w:w="370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rPr>
                <w:rFonts w:ascii="宋体" w:hAnsi="宋体" w:eastAsia="宋体" w:cs="宋体"/>
                <w:szCs w:val="21"/>
              </w:rPr>
            </w:pPr>
          </w:p>
        </w:tc>
        <w:tc>
          <w:tcPr>
            <w:tcW w:w="2370" w:type="dxa"/>
            <w:shd w:val="clear" w:color="auto" w:fill="auto"/>
          </w:tcPr>
          <w:p>
            <w:pPr>
              <w:pStyle w:val="7"/>
              <w:rPr>
                <w:sz w:val="21"/>
                <w:szCs w:val="21"/>
              </w:rPr>
            </w:pPr>
            <w:r>
              <w:rPr>
                <w:rFonts w:hint="eastAsia"/>
                <w:sz w:val="21"/>
                <w:szCs w:val="21"/>
              </w:rPr>
              <w:t xml:space="preserve">其中：政策性金融债 </w:t>
            </w:r>
          </w:p>
        </w:tc>
        <w:tc>
          <w:tcPr>
            <w:tcW w:w="3705" w:type="dxa"/>
            <w:shd w:val="clear" w:color="auto" w:fill="auto"/>
          </w:tcPr>
          <w:p>
            <w:pPr>
              <w:pStyle w:val="7"/>
              <w:jc w:val="right"/>
              <w:rPr>
                <w:sz w:val="21"/>
                <w:szCs w:val="21"/>
              </w:rPr>
            </w:pPr>
            <w:r>
              <w:rPr>
                <w:rFonts w:hint="eastAsia"/>
                <w:sz w:val="21"/>
                <w:szCs w:val="21"/>
              </w:rPr>
              <w:t xml:space="preserve">- </w:t>
            </w:r>
          </w:p>
        </w:tc>
        <w:tc>
          <w:tcPr>
            <w:tcW w:w="370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4 </w:t>
            </w:r>
          </w:p>
        </w:tc>
        <w:tc>
          <w:tcPr>
            <w:tcW w:w="2370" w:type="dxa"/>
            <w:shd w:val="clear" w:color="auto" w:fill="auto"/>
          </w:tcPr>
          <w:p>
            <w:pPr>
              <w:pStyle w:val="7"/>
              <w:rPr>
                <w:sz w:val="21"/>
                <w:szCs w:val="21"/>
              </w:rPr>
            </w:pPr>
            <w:r>
              <w:rPr>
                <w:rFonts w:hint="eastAsia"/>
                <w:sz w:val="21"/>
                <w:szCs w:val="21"/>
              </w:rPr>
              <w:t xml:space="preserve">企业债券 </w:t>
            </w:r>
          </w:p>
        </w:tc>
        <w:tc>
          <w:tcPr>
            <w:tcW w:w="3705" w:type="dxa"/>
            <w:shd w:val="clear" w:color="auto" w:fill="auto"/>
          </w:tcPr>
          <w:p>
            <w:pPr>
              <w:pStyle w:val="7"/>
              <w:jc w:val="right"/>
              <w:rPr>
                <w:sz w:val="21"/>
                <w:szCs w:val="21"/>
              </w:rPr>
            </w:pPr>
            <w:r>
              <w:rPr>
                <w:rFonts w:hint="eastAsia"/>
                <w:sz w:val="21"/>
                <w:szCs w:val="21"/>
              </w:rPr>
              <w:t xml:space="preserve">- </w:t>
            </w:r>
          </w:p>
        </w:tc>
        <w:tc>
          <w:tcPr>
            <w:tcW w:w="370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5 </w:t>
            </w:r>
          </w:p>
        </w:tc>
        <w:tc>
          <w:tcPr>
            <w:tcW w:w="2370" w:type="dxa"/>
            <w:shd w:val="clear" w:color="auto" w:fill="auto"/>
          </w:tcPr>
          <w:p>
            <w:pPr>
              <w:pStyle w:val="7"/>
              <w:rPr>
                <w:sz w:val="21"/>
                <w:szCs w:val="21"/>
              </w:rPr>
            </w:pPr>
            <w:r>
              <w:rPr>
                <w:rFonts w:hint="eastAsia"/>
                <w:sz w:val="21"/>
                <w:szCs w:val="21"/>
              </w:rPr>
              <w:t xml:space="preserve">企业短期融资券 </w:t>
            </w:r>
          </w:p>
        </w:tc>
        <w:tc>
          <w:tcPr>
            <w:tcW w:w="3705" w:type="dxa"/>
            <w:shd w:val="clear" w:color="auto" w:fill="auto"/>
          </w:tcPr>
          <w:p>
            <w:pPr>
              <w:pStyle w:val="7"/>
              <w:jc w:val="right"/>
              <w:rPr>
                <w:sz w:val="21"/>
                <w:szCs w:val="21"/>
              </w:rPr>
            </w:pPr>
            <w:r>
              <w:rPr>
                <w:rFonts w:hint="eastAsia"/>
                <w:sz w:val="21"/>
                <w:szCs w:val="21"/>
              </w:rPr>
              <w:t xml:space="preserve">- </w:t>
            </w:r>
          </w:p>
        </w:tc>
        <w:tc>
          <w:tcPr>
            <w:tcW w:w="370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6 </w:t>
            </w:r>
          </w:p>
        </w:tc>
        <w:tc>
          <w:tcPr>
            <w:tcW w:w="2370" w:type="dxa"/>
            <w:shd w:val="clear" w:color="auto" w:fill="auto"/>
          </w:tcPr>
          <w:p>
            <w:pPr>
              <w:pStyle w:val="7"/>
              <w:rPr>
                <w:sz w:val="21"/>
                <w:szCs w:val="21"/>
              </w:rPr>
            </w:pPr>
            <w:r>
              <w:rPr>
                <w:rFonts w:hint="eastAsia"/>
                <w:sz w:val="21"/>
                <w:szCs w:val="21"/>
              </w:rPr>
              <w:t xml:space="preserve">中期票据 </w:t>
            </w:r>
          </w:p>
        </w:tc>
        <w:tc>
          <w:tcPr>
            <w:tcW w:w="3705" w:type="dxa"/>
            <w:shd w:val="clear" w:color="auto" w:fill="auto"/>
          </w:tcPr>
          <w:p>
            <w:pPr>
              <w:pStyle w:val="7"/>
              <w:jc w:val="right"/>
              <w:rPr>
                <w:sz w:val="21"/>
                <w:szCs w:val="21"/>
              </w:rPr>
            </w:pPr>
            <w:r>
              <w:rPr>
                <w:rFonts w:hint="eastAsia"/>
                <w:sz w:val="21"/>
                <w:szCs w:val="21"/>
              </w:rPr>
              <w:t xml:space="preserve">- </w:t>
            </w:r>
          </w:p>
        </w:tc>
        <w:tc>
          <w:tcPr>
            <w:tcW w:w="370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7 </w:t>
            </w:r>
          </w:p>
        </w:tc>
        <w:tc>
          <w:tcPr>
            <w:tcW w:w="2370" w:type="dxa"/>
            <w:shd w:val="clear" w:color="auto" w:fill="auto"/>
          </w:tcPr>
          <w:p>
            <w:pPr>
              <w:pStyle w:val="7"/>
              <w:rPr>
                <w:sz w:val="21"/>
                <w:szCs w:val="21"/>
              </w:rPr>
            </w:pPr>
            <w:r>
              <w:rPr>
                <w:rFonts w:hint="eastAsia"/>
                <w:sz w:val="21"/>
                <w:szCs w:val="21"/>
              </w:rPr>
              <w:t xml:space="preserve">可转债（可交换债） </w:t>
            </w:r>
          </w:p>
        </w:tc>
        <w:tc>
          <w:tcPr>
            <w:tcW w:w="3705" w:type="dxa"/>
            <w:shd w:val="clear" w:color="auto" w:fill="auto"/>
          </w:tcPr>
          <w:p>
            <w:pPr>
              <w:pStyle w:val="7"/>
              <w:jc w:val="right"/>
              <w:rPr>
                <w:sz w:val="21"/>
                <w:szCs w:val="21"/>
              </w:rPr>
            </w:pPr>
            <w:r>
              <w:rPr>
                <w:rFonts w:hint="eastAsia"/>
                <w:sz w:val="21"/>
                <w:szCs w:val="21"/>
              </w:rPr>
              <w:t xml:space="preserve">1,840,607.40 </w:t>
            </w:r>
          </w:p>
        </w:tc>
        <w:tc>
          <w:tcPr>
            <w:tcW w:w="3705" w:type="dxa"/>
            <w:shd w:val="clear" w:color="auto" w:fill="auto"/>
          </w:tcPr>
          <w:p>
            <w:pPr>
              <w:pStyle w:val="7"/>
              <w:jc w:val="right"/>
              <w:rPr>
                <w:sz w:val="21"/>
                <w:szCs w:val="21"/>
              </w:rPr>
            </w:pPr>
            <w:r>
              <w:rPr>
                <w:rFonts w:hint="eastAsia"/>
                <w:sz w:val="21"/>
                <w:szCs w:val="21"/>
              </w:rPr>
              <w:t xml:space="preserve">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8 </w:t>
            </w:r>
          </w:p>
        </w:tc>
        <w:tc>
          <w:tcPr>
            <w:tcW w:w="2370" w:type="dxa"/>
            <w:shd w:val="clear" w:color="auto" w:fill="auto"/>
          </w:tcPr>
          <w:p>
            <w:pPr>
              <w:pStyle w:val="7"/>
              <w:rPr>
                <w:sz w:val="21"/>
                <w:szCs w:val="21"/>
              </w:rPr>
            </w:pPr>
            <w:r>
              <w:rPr>
                <w:rFonts w:hint="eastAsia"/>
                <w:sz w:val="21"/>
                <w:szCs w:val="21"/>
              </w:rPr>
              <w:t xml:space="preserve">同业存单 </w:t>
            </w:r>
          </w:p>
        </w:tc>
        <w:tc>
          <w:tcPr>
            <w:tcW w:w="3705" w:type="dxa"/>
            <w:shd w:val="clear" w:color="auto" w:fill="auto"/>
          </w:tcPr>
          <w:p>
            <w:pPr>
              <w:pStyle w:val="7"/>
              <w:jc w:val="right"/>
              <w:rPr>
                <w:sz w:val="21"/>
                <w:szCs w:val="21"/>
              </w:rPr>
            </w:pPr>
            <w:r>
              <w:rPr>
                <w:rFonts w:hint="eastAsia"/>
                <w:sz w:val="21"/>
                <w:szCs w:val="21"/>
              </w:rPr>
              <w:t xml:space="preserve">- </w:t>
            </w:r>
          </w:p>
        </w:tc>
        <w:tc>
          <w:tcPr>
            <w:tcW w:w="370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9 </w:t>
            </w:r>
          </w:p>
        </w:tc>
        <w:tc>
          <w:tcPr>
            <w:tcW w:w="2370" w:type="dxa"/>
            <w:shd w:val="clear" w:color="auto" w:fill="auto"/>
          </w:tcPr>
          <w:p>
            <w:pPr>
              <w:pStyle w:val="7"/>
              <w:rPr>
                <w:sz w:val="21"/>
                <w:szCs w:val="21"/>
              </w:rPr>
            </w:pPr>
            <w:r>
              <w:rPr>
                <w:rFonts w:hint="eastAsia"/>
                <w:sz w:val="21"/>
                <w:szCs w:val="21"/>
              </w:rPr>
              <w:t xml:space="preserve">其他 </w:t>
            </w:r>
          </w:p>
        </w:tc>
        <w:tc>
          <w:tcPr>
            <w:tcW w:w="3705" w:type="dxa"/>
            <w:shd w:val="clear" w:color="auto" w:fill="auto"/>
          </w:tcPr>
          <w:p>
            <w:pPr>
              <w:pStyle w:val="7"/>
              <w:jc w:val="right"/>
              <w:rPr>
                <w:sz w:val="21"/>
                <w:szCs w:val="21"/>
              </w:rPr>
            </w:pPr>
            <w:r>
              <w:rPr>
                <w:rFonts w:hint="eastAsia"/>
                <w:sz w:val="21"/>
                <w:szCs w:val="21"/>
              </w:rPr>
              <w:t xml:space="preserve">- </w:t>
            </w:r>
          </w:p>
        </w:tc>
        <w:tc>
          <w:tcPr>
            <w:tcW w:w="370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10 </w:t>
            </w:r>
          </w:p>
        </w:tc>
        <w:tc>
          <w:tcPr>
            <w:tcW w:w="2370" w:type="dxa"/>
            <w:shd w:val="clear" w:color="auto" w:fill="auto"/>
          </w:tcPr>
          <w:p>
            <w:pPr>
              <w:pStyle w:val="7"/>
              <w:rPr>
                <w:sz w:val="21"/>
                <w:szCs w:val="21"/>
              </w:rPr>
            </w:pPr>
            <w:r>
              <w:rPr>
                <w:rFonts w:hint="eastAsia"/>
                <w:sz w:val="21"/>
                <w:szCs w:val="21"/>
              </w:rPr>
              <w:t xml:space="preserve">合计 </w:t>
            </w:r>
          </w:p>
        </w:tc>
        <w:tc>
          <w:tcPr>
            <w:tcW w:w="3705" w:type="dxa"/>
            <w:shd w:val="clear" w:color="auto" w:fill="auto"/>
          </w:tcPr>
          <w:p>
            <w:pPr>
              <w:pStyle w:val="7"/>
              <w:jc w:val="right"/>
              <w:rPr>
                <w:sz w:val="21"/>
                <w:szCs w:val="21"/>
              </w:rPr>
            </w:pPr>
            <w:r>
              <w:rPr>
                <w:rFonts w:hint="eastAsia"/>
                <w:sz w:val="21"/>
                <w:szCs w:val="21"/>
              </w:rPr>
              <w:t xml:space="preserve">1,840,607.40 </w:t>
            </w:r>
          </w:p>
        </w:tc>
        <w:tc>
          <w:tcPr>
            <w:tcW w:w="3705" w:type="dxa"/>
            <w:shd w:val="clear" w:color="auto" w:fill="auto"/>
          </w:tcPr>
          <w:p>
            <w:pPr>
              <w:pStyle w:val="7"/>
              <w:jc w:val="right"/>
              <w:rPr>
                <w:sz w:val="21"/>
                <w:szCs w:val="21"/>
              </w:rPr>
            </w:pPr>
            <w:r>
              <w:rPr>
                <w:rFonts w:hint="eastAsia"/>
                <w:sz w:val="21"/>
                <w:szCs w:val="21"/>
              </w:rPr>
              <w:t xml:space="preserve">0.80 </w:t>
            </w:r>
          </w:p>
        </w:tc>
      </w:tr>
    </w:tbl>
    <w:p>
      <w:pPr>
        <w:pStyle w:val="7"/>
        <w:spacing w:before="0" w:beforeAutospacing="0" w:after="0" w:afterAutospacing="0" w:line="360" w:lineRule="auto"/>
        <w:ind w:firstLine="420"/>
        <w:rPr>
          <w:sz w:val="21"/>
          <w:szCs w:val="21"/>
        </w:rPr>
      </w:pPr>
      <w:r>
        <w:rPr>
          <w:rFonts w:hint="eastAsia"/>
          <w:sz w:val="21"/>
          <w:szCs w:val="21"/>
        </w:rPr>
        <w:t xml:space="preserve">5报告期末按公允价值占基金资产净值比例大小排序的前五名债券投资明细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233"/>
        <w:gridCol w:w="1290"/>
        <w:gridCol w:w="1367"/>
        <w:gridCol w:w="1777"/>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序号 </w:t>
            </w:r>
          </w:p>
        </w:tc>
        <w:tc>
          <w:tcPr>
            <w:tcW w:w="1455" w:type="dxa"/>
            <w:shd w:val="clear" w:color="auto" w:fill="auto"/>
          </w:tcPr>
          <w:p>
            <w:pPr>
              <w:pStyle w:val="7"/>
              <w:jc w:val="center"/>
              <w:rPr>
                <w:sz w:val="21"/>
                <w:szCs w:val="21"/>
              </w:rPr>
            </w:pPr>
            <w:r>
              <w:rPr>
                <w:rFonts w:hint="eastAsia"/>
                <w:sz w:val="21"/>
                <w:szCs w:val="21"/>
              </w:rPr>
              <w:t xml:space="preserve">债券代码 </w:t>
            </w:r>
          </w:p>
        </w:tc>
        <w:tc>
          <w:tcPr>
            <w:tcW w:w="1785" w:type="dxa"/>
            <w:shd w:val="clear" w:color="auto" w:fill="auto"/>
          </w:tcPr>
          <w:p>
            <w:pPr>
              <w:pStyle w:val="7"/>
              <w:jc w:val="center"/>
              <w:rPr>
                <w:sz w:val="21"/>
                <w:szCs w:val="21"/>
              </w:rPr>
            </w:pPr>
            <w:r>
              <w:rPr>
                <w:rFonts w:hint="eastAsia"/>
                <w:sz w:val="21"/>
                <w:szCs w:val="21"/>
              </w:rPr>
              <w:t xml:space="preserve">债券名称 </w:t>
            </w:r>
          </w:p>
        </w:tc>
        <w:tc>
          <w:tcPr>
            <w:tcW w:w="1665" w:type="dxa"/>
            <w:shd w:val="clear" w:color="auto" w:fill="auto"/>
          </w:tcPr>
          <w:p>
            <w:pPr>
              <w:pStyle w:val="7"/>
              <w:jc w:val="center"/>
              <w:rPr>
                <w:sz w:val="21"/>
                <w:szCs w:val="21"/>
              </w:rPr>
            </w:pPr>
            <w:r>
              <w:rPr>
                <w:rFonts w:hint="eastAsia"/>
                <w:sz w:val="21"/>
                <w:szCs w:val="21"/>
              </w:rPr>
              <w:t xml:space="preserve">数量（张） </w:t>
            </w:r>
          </w:p>
        </w:tc>
        <w:tc>
          <w:tcPr>
            <w:tcW w:w="1950" w:type="dxa"/>
            <w:shd w:val="clear" w:color="auto" w:fill="auto"/>
          </w:tcPr>
          <w:p>
            <w:pPr>
              <w:pStyle w:val="7"/>
              <w:jc w:val="center"/>
              <w:rPr>
                <w:sz w:val="21"/>
                <w:szCs w:val="21"/>
              </w:rPr>
            </w:pPr>
            <w:r>
              <w:rPr>
                <w:rFonts w:hint="eastAsia"/>
                <w:sz w:val="21"/>
                <w:szCs w:val="21"/>
              </w:rPr>
              <w:t xml:space="preserve">公允价值(元) </w:t>
            </w:r>
          </w:p>
        </w:tc>
        <w:tc>
          <w:tcPr>
            <w:tcW w:w="2925" w:type="dxa"/>
            <w:shd w:val="clear" w:color="auto" w:fill="auto"/>
          </w:tcPr>
          <w:p>
            <w:pPr>
              <w:pStyle w:val="7"/>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1 </w:t>
            </w:r>
          </w:p>
        </w:tc>
        <w:tc>
          <w:tcPr>
            <w:tcW w:w="1455" w:type="dxa"/>
            <w:shd w:val="clear" w:color="auto" w:fill="auto"/>
          </w:tcPr>
          <w:p>
            <w:pPr>
              <w:pStyle w:val="7"/>
              <w:jc w:val="center"/>
              <w:rPr>
                <w:sz w:val="21"/>
                <w:szCs w:val="21"/>
              </w:rPr>
            </w:pPr>
            <w:r>
              <w:rPr>
                <w:rFonts w:hint="eastAsia"/>
                <w:sz w:val="21"/>
                <w:szCs w:val="21"/>
              </w:rPr>
              <w:t xml:space="preserve">127043 </w:t>
            </w:r>
          </w:p>
        </w:tc>
        <w:tc>
          <w:tcPr>
            <w:tcW w:w="1785" w:type="dxa"/>
            <w:shd w:val="clear" w:color="auto" w:fill="auto"/>
          </w:tcPr>
          <w:p>
            <w:pPr>
              <w:pStyle w:val="7"/>
              <w:jc w:val="center"/>
              <w:rPr>
                <w:sz w:val="21"/>
                <w:szCs w:val="21"/>
              </w:rPr>
            </w:pPr>
            <w:r>
              <w:rPr>
                <w:rFonts w:hint="eastAsia"/>
                <w:sz w:val="21"/>
                <w:szCs w:val="21"/>
              </w:rPr>
              <w:t xml:space="preserve">川恒转债 </w:t>
            </w:r>
          </w:p>
        </w:tc>
        <w:tc>
          <w:tcPr>
            <w:tcW w:w="1665" w:type="dxa"/>
            <w:shd w:val="clear" w:color="auto" w:fill="auto"/>
          </w:tcPr>
          <w:p>
            <w:pPr>
              <w:pStyle w:val="7"/>
              <w:jc w:val="right"/>
              <w:rPr>
                <w:sz w:val="21"/>
                <w:szCs w:val="21"/>
              </w:rPr>
            </w:pPr>
            <w:r>
              <w:rPr>
                <w:rFonts w:hint="eastAsia"/>
                <w:sz w:val="21"/>
                <w:szCs w:val="21"/>
              </w:rPr>
              <w:t xml:space="preserve">8,300 </w:t>
            </w:r>
          </w:p>
        </w:tc>
        <w:tc>
          <w:tcPr>
            <w:tcW w:w="1950" w:type="dxa"/>
            <w:shd w:val="clear" w:color="auto" w:fill="auto"/>
          </w:tcPr>
          <w:p>
            <w:pPr>
              <w:pStyle w:val="7"/>
              <w:jc w:val="right"/>
              <w:rPr>
                <w:sz w:val="21"/>
                <w:szCs w:val="21"/>
              </w:rPr>
            </w:pPr>
            <w:r>
              <w:rPr>
                <w:rFonts w:hint="eastAsia"/>
                <w:sz w:val="21"/>
                <w:szCs w:val="21"/>
              </w:rPr>
              <w:t xml:space="preserve">1,443,728.38 </w:t>
            </w:r>
          </w:p>
        </w:tc>
        <w:tc>
          <w:tcPr>
            <w:tcW w:w="2925" w:type="dxa"/>
            <w:shd w:val="clear" w:color="auto" w:fill="auto"/>
          </w:tcPr>
          <w:p>
            <w:pPr>
              <w:pStyle w:val="7"/>
              <w:jc w:val="right"/>
              <w:rPr>
                <w:sz w:val="21"/>
                <w:szCs w:val="21"/>
              </w:rPr>
            </w:pPr>
            <w:r>
              <w:rPr>
                <w:rFonts w:hint="eastAsia"/>
                <w:sz w:val="21"/>
                <w:szCs w:val="21"/>
              </w:rPr>
              <w:t xml:space="preserve">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2 </w:t>
            </w:r>
          </w:p>
        </w:tc>
        <w:tc>
          <w:tcPr>
            <w:tcW w:w="1455" w:type="dxa"/>
            <w:shd w:val="clear" w:color="auto" w:fill="auto"/>
          </w:tcPr>
          <w:p>
            <w:pPr>
              <w:pStyle w:val="7"/>
              <w:jc w:val="center"/>
              <w:rPr>
                <w:sz w:val="21"/>
                <w:szCs w:val="21"/>
              </w:rPr>
            </w:pPr>
            <w:r>
              <w:rPr>
                <w:rFonts w:hint="eastAsia"/>
                <w:sz w:val="21"/>
                <w:szCs w:val="21"/>
              </w:rPr>
              <w:t xml:space="preserve">127064 </w:t>
            </w:r>
          </w:p>
        </w:tc>
        <w:tc>
          <w:tcPr>
            <w:tcW w:w="1785" w:type="dxa"/>
            <w:shd w:val="clear" w:color="auto" w:fill="auto"/>
          </w:tcPr>
          <w:p>
            <w:pPr>
              <w:pStyle w:val="7"/>
              <w:jc w:val="center"/>
              <w:rPr>
                <w:sz w:val="21"/>
                <w:szCs w:val="21"/>
              </w:rPr>
            </w:pPr>
            <w:r>
              <w:rPr>
                <w:rFonts w:hint="eastAsia"/>
                <w:sz w:val="21"/>
                <w:szCs w:val="21"/>
              </w:rPr>
              <w:t xml:space="preserve">杭氧转债 </w:t>
            </w:r>
          </w:p>
        </w:tc>
        <w:tc>
          <w:tcPr>
            <w:tcW w:w="1665" w:type="dxa"/>
            <w:shd w:val="clear" w:color="auto" w:fill="auto"/>
          </w:tcPr>
          <w:p>
            <w:pPr>
              <w:pStyle w:val="7"/>
              <w:jc w:val="right"/>
              <w:rPr>
                <w:sz w:val="21"/>
                <w:szCs w:val="21"/>
              </w:rPr>
            </w:pPr>
            <w:r>
              <w:rPr>
                <w:rFonts w:hint="eastAsia"/>
                <w:sz w:val="21"/>
                <w:szCs w:val="21"/>
              </w:rPr>
              <w:t xml:space="preserve">2,037 </w:t>
            </w:r>
          </w:p>
        </w:tc>
        <w:tc>
          <w:tcPr>
            <w:tcW w:w="1950" w:type="dxa"/>
            <w:shd w:val="clear" w:color="auto" w:fill="auto"/>
          </w:tcPr>
          <w:p>
            <w:pPr>
              <w:pStyle w:val="7"/>
              <w:jc w:val="right"/>
              <w:rPr>
                <w:sz w:val="21"/>
                <w:szCs w:val="21"/>
              </w:rPr>
            </w:pPr>
            <w:r>
              <w:rPr>
                <w:rFonts w:hint="eastAsia"/>
                <w:sz w:val="21"/>
                <w:szCs w:val="21"/>
              </w:rPr>
              <w:t xml:space="preserve">203,738.40 </w:t>
            </w:r>
          </w:p>
        </w:tc>
        <w:tc>
          <w:tcPr>
            <w:tcW w:w="2925" w:type="dxa"/>
            <w:shd w:val="clear" w:color="auto" w:fill="auto"/>
          </w:tcPr>
          <w:p>
            <w:pPr>
              <w:pStyle w:val="7"/>
              <w:jc w:val="right"/>
              <w:rPr>
                <w:sz w:val="21"/>
                <w:szCs w:val="21"/>
              </w:rPr>
            </w:pPr>
            <w:r>
              <w:rPr>
                <w:rFonts w:hint="eastAsia"/>
                <w:sz w:val="21"/>
                <w:szCs w:val="21"/>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3 </w:t>
            </w:r>
          </w:p>
        </w:tc>
        <w:tc>
          <w:tcPr>
            <w:tcW w:w="1455" w:type="dxa"/>
            <w:shd w:val="clear" w:color="auto" w:fill="auto"/>
          </w:tcPr>
          <w:p>
            <w:pPr>
              <w:pStyle w:val="7"/>
              <w:jc w:val="center"/>
              <w:rPr>
                <w:sz w:val="21"/>
                <w:szCs w:val="21"/>
              </w:rPr>
            </w:pPr>
            <w:r>
              <w:rPr>
                <w:rFonts w:hint="eastAsia"/>
                <w:sz w:val="21"/>
                <w:szCs w:val="21"/>
              </w:rPr>
              <w:t xml:space="preserve">113053 </w:t>
            </w:r>
          </w:p>
        </w:tc>
        <w:tc>
          <w:tcPr>
            <w:tcW w:w="1785" w:type="dxa"/>
            <w:shd w:val="clear" w:color="auto" w:fill="auto"/>
          </w:tcPr>
          <w:p>
            <w:pPr>
              <w:pStyle w:val="7"/>
              <w:jc w:val="center"/>
              <w:rPr>
                <w:sz w:val="21"/>
                <w:szCs w:val="21"/>
              </w:rPr>
            </w:pPr>
            <w:r>
              <w:rPr>
                <w:rFonts w:hint="eastAsia"/>
                <w:sz w:val="21"/>
                <w:szCs w:val="21"/>
              </w:rPr>
              <w:t xml:space="preserve">隆22转债 </w:t>
            </w:r>
          </w:p>
        </w:tc>
        <w:tc>
          <w:tcPr>
            <w:tcW w:w="1665" w:type="dxa"/>
            <w:shd w:val="clear" w:color="auto" w:fill="auto"/>
          </w:tcPr>
          <w:p>
            <w:pPr>
              <w:pStyle w:val="7"/>
              <w:jc w:val="right"/>
              <w:rPr>
                <w:sz w:val="21"/>
                <w:szCs w:val="21"/>
              </w:rPr>
            </w:pPr>
            <w:r>
              <w:rPr>
                <w:rFonts w:hint="eastAsia"/>
                <w:sz w:val="21"/>
                <w:szCs w:val="21"/>
              </w:rPr>
              <w:t xml:space="preserve">1,400 </w:t>
            </w:r>
          </w:p>
        </w:tc>
        <w:tc>
          <w:tcPr>
            <w:tcW w:w="1950" w:type="dxa"/>
            <w:shd w:val="clear" w:color="auto" w:fill="auto"/>
          </w:tcPr>
          <w:p>
            <w:pPr>
              <w:pStyle w:val="7"/>
              <w:jc w:val="right"/>
              <w:rPr>
                <w:sz w:val="21"/>
                <w:szCs w:val="21"/>
              </w:rPr>
            </w:pPr>
            <w:r>
              <w:rPr>
                <w:rFonts w:hint="eastAsia"/>
                <w:sz w:val="21"/>
                <w:szCs w:val="21"/>
              </w:rPr>
              <w:t xml:space="preserve">193,140.62 </w:t>
            </w:r>
          </w:p>
        </w:tc>
        <w:tc>
          <w:tcPr>
            <w:tcW w:w="2925" w:type="dxa"/>
            <w:shd w:val="clear" w:color="auto" w:fill="auto"/>
          </w:tcPr>
          <w:p>
            <w:pPr>
              <w:pStyle w:val="7"/>
              <w:jc w:val="right"/>
              <w:rPr>
                <w:sz w:val="21"/>
                <w:szCs w:val="21"/>
              </w:rPr>
            </w:pPr>
            <w:r>
              <w:rPr>
                <w:rFonts w:hint="eastAsia"/>
                <w:sz w:val="21"/>
                <w:szCs w:val="21"/>
              </w:rPr>
              <w:t xml:space="preserve">0.08 </w:t>
            </w:r>
          </w:p>
        </w:tc>
      </w:tr>
    </w:tbl>
    <w:p>
      <w:pPr>
        <w:pStyle w:val="7"/>
        <w:spacing w:before="0" w:beforeAutospacing="0" w:after="0" w:afterAutospacing="0" w:line="360" w:lineRule="auto"/>
        <w:ind w:firstLine="420"/>
        <w:rPr>
          <w:sz w:val="21"/>
          <w:szCs w:val="21"/>
        </w:rPr>
      </w:pPr>
      <w:r>
        <w:rPr>
          <w:rFonts w:hint="eastAsia"/>
          <w:sz w:val="21"/>
          <w:szCs w:val="21"/>
        </w:rPr>
        <w:t xml:space="preserve">6报告期末按公允价值占基金资产净值比例大小排序的前十名资产支持证券投资明细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本基金本报告期末未持有资产支持证券。 </w:t>
      </w:r>
    </w:p>
    <w:p>
      <w:pPr>
        <w:pStyle w:val="7"/>
        <w:spacing w:before="0" w:beforeAutospacing="0" w:after="0" w:afterAutospacing="0" w:line="360" w:lineRule="auto"/>
        <w:ind w:firstLine="420"/>
        <w:rPr>
          <w:sz w:val="21"/>
          <w:szCs w:val="21"/>
        </w:rPr>
      </w:pPr>
      <w:r>
        <w:rPr>
          <w:rFonts w:hint="eastAsia"/>
          <w:sz w:val="21"/>
          <w:szCs w:val="21"/>
        </w:rPr>
        <w:t xml:space="preserve">7报告期末按公允价值占基金资产净值比例大小排序的前五名贵金属投资明细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本基金本报告期末未持有贵金属。 </w:t>
      </w:r>
    </w:p>
    <w:p>
      <w:pPr>
        <w:pStyle w:val="7"/>
        <w:spacing w:before="0" w:beforeAutospacing="0" w:after="0" w:afterAutospacing="0" w:line="360" w:lineRule="auto"/>
        <w:ind w:firstLine="420"/>
        <w:rPr>
          <w:sz w:val="21"/>
          <w:szCs w:val="21"/>
        </w:rPr>
      </w:pPr>
      <w:r>
        <w:rPr>
          <w:rFonts w:hint="eastAsia"/>
          <w:sz w:val="21"/>
          <w:szCs w:val="21"/>
        </w:rPr>
        <w:t xml:space="preserve">8报告期末按公允价值占基金资产净值比例大小排序的前五名权证投资明细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本基金本报告期末未持有权证。 </w:t>
      </w:r>
    </w:p>
    <w:p>
      <w:pPr>
        <w:pStyle w:val="7"/>
        <w:spacing w:before="0" w:beforeAutospacing="0" w:after="0" w:afterAutospacing="0" w:line="360" w:lineRule="auto"/>
        <w:ind w:firstLine="420"/>
        <w:rPr>
          <w:sz w:val="21"/>
          <w:szCs w:val="21"/>
        </w:rPr>
      </w:pPr>
      <w:r>
        <w:rPr>
          <w:rFonts w:hint="eastAsia"/>
          <w:sz w:val="21"/>
          <w:szCs w:val="21"/>
        </w:rPr>
        <w:t xml:space="preserve">9报告期末本基金投资的股指期货交易情况说明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本基金本报告期末未持有股指期货。 </w:t>
      </w:r>
    </w:p>
    <w:p>
      <w:pPr>
        <w:pStyle w:val="7"/>
        <w:spacing w:before="0" w:beforeAutospacing="0" w:after="0" w:afterAutospacing="0" w:line="360" w:lineRule="auto"/>
        <w:ind w:firstLine="420"/>
        <w:rPr>
          <w:sz w:val="21"/>
          <w:szCs w:val="21"/>
        </w:rPr>
      </w:pPr>
      <w:r>
        <w:rPr>
          <w:rFonts w:hint="eastAsia"/>
          <w:sz w:val="21"/>
          <w:szCs w:val="21"/>
        </w:rPr>
        <w:t xml:space="preserve">10报告期末本基金投资的国债期货交易情况说明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本基金本报告期末未持有国债期货。 </w:t>
      </w:r>
    </w:p>
    <w:p>
      <w:pPr>
        <w:pStyle w:val="7"/>
        <w:spacing w:before="0" w:beforeAutospacing="0" w:after="0" w:afterAutospacing="0" w:line="360" w:lineRule="auto"/>
        <w:ind w:firstLine="420"/>
        <w:rPr>
          <w:sz w:val="21"/>
          <w:szCs w:val="21"/>
        </w:rPr>
      </w:pPr>
      <w:r>
        <w:rPr>
          <w:rFonts w:hint="eastAsia"/>
          <w:sz w:val="21"/>
          <w:szCs w:val="21"/>
        </w:rPr>
        <w:t xml:space="preserve">11投资组合报告附注 </w:t>
      </w:r>
    </w:p>
    <w:p>
      <w:pPr>
        <w:pStyle w:val="7"/>
        <w:spacing w:before="0" w:beforeAutospacing="0" w:after="0" w:afterAutospacing="0" w:line="360" w:lineRule="auto"/>
        <w:ind w:firstLine="420"/>
        <w:rPr>
          <w:sz w:val="21"/>
          <w:szCs w:val="21"/>
        </w:rPr>
      </w:pPr>
      <w:r>
        <w:rPr>
          <w:rFonts w:hint="eastAsia"/>
          <w:sz w:val="21"/>
          <w:szCs w:val="21"/>
        </w:rPr>
        <w:t xml:space="preserve">11.1基金投资前十名证券的发行主体被监管部门立案调查或编制日前一年内受到公开谴责、处罚的投资决策程序说明 </w:t>
      </w:r>
    </w:p>
    <w:p>
      <w:pPr>
        <w:pStyle w:val="7"/>
        <w:spacing w:before="0" w:beforeAutospacing="0" w:after="0" w:afterAutospacing="0" w:line="360" w:lineRule="auto"/>
        <w:ind w:firstLine="420"/>
        <w:rPr>
          <w:sz w:val="21"/>
          <w:szCs w:val="21"/>
        </w:rPr>
      </w:pPr>
      <w:r>
        <w:rPr>
          <w:rFonts w:hint="eastAsia"/>
          <w:sz w:val="21"/>
          <w:szCs w:val="21"/>
        </w:rPr>
        <w:t xml:space="preserve">基金管理人未发现本基金投资的前十名证券的发行主体出现本期被监管部门立案调查，或在报告编制日前一年内受到公开谴责、处罚的情形。 </w:t>
      </w:r>
    </w:p>
    <w:p>
      <w:pPr>
        <w:pStyle w:val="7"/>
        <w:spacing w:before="0" w:beforeAutospacing="0" w:after="0" w:afterAutospacing="0" w:line="360" w:lineRule="auto"/>
        <w:ind w:firstLine="420"/>
        <w:rPr>
          <w:sz w:val="21"/>
          <w:szCs w:val="21"/>
        </w:rPr>
      </w:pPr>
      <w:r>
        <w:rPr>
          <w:rFonts w:hint="eastAsia"/>
          <w:sz w:val="21"/>
          <w:szCs w:val="21"/>
        </w:rPr>
        <w:t xml:space="preserve">11.2报告期内基金投资的前十名股票中，没有投资超出基金合同规定备选股票库之外的股票。 </w:t>
      </w:r>
    </w:p>
    <w:p>
      <w:pPr>
        <w:pStyle w:val="7"/>
        <w:spacing w:before="0" w:beforeAutospacing="0" w:after="0" w:afterAutospacing="0" w:line="360" w:lineRule="auto"/>
        <w:ind w:firstLine="420"/>
        <w:rPr>
          <w:sz w:val="21"/>
          <w:szCs w:val="21"/>
        </w:rPr>
      </w:pPr>
      <w:r>
        <w:rPr>
          <w:rFonts w:hint="eastAsia"/>
          <w:sz w:val="21"/>
          <w:szCs w:val="21"/>
        </w:rPr>
        <w:t xml:space="preserve">11.3其他资产构成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3797"/>
        <w:gridCol w:w="4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序号 </w:t>
            </w:r>
          </w:p>
        </w:tc>
        <w:tc>
          <w:tcPr>
            <w:tcW w:w="4890" w:type="dxa"/>
            <w:shd w:val="clear" w:color="auto" w:fill="auto"/>
          </w:tcPr>
          <w:p>
            <w:pPr>
              <w:pStyle w:val="7"/>
              <w:jc w:val="center"/>
              <w:rPr>
                <w:sz w:val="21"/>
                <w:szCs w:val="21"/>
              </w:rPr>
            </w:pPr>
            <w:r>
              <w:rPr>
                <w:rFonts w:hint="eastAsia"/>
                <w:sz w:val="21"/>
                <w:szCs w:val="21"/>
              </w:rPr>
              <w:t xml:space="preserve">名称 </w:t>
            </w:r>
          </w:p>
        </w:tc>
        <w:tc>
          <w:tcPr>
            <w:tcW w:w="4890" w:type="dxa"/>
            <w:shd w:val="clear" w:color="auto" w:fill="auto"/>
          </w:tcPr>
          <w:p>
            <w:pPr>
              <w:pStyle w:val="7"/>
              <w:jc w:val="center"/>
              <w:rPr>
                <w:sz w:val="21"/>
                <w:szCs w:val="21"/>
              </w:rPr>
            </w:pPr>
            <w:r>
              <w:rPr>
                <w:rFonts w:hint="eastAsia"/>
                <w:sz w:val="21"/>
                <w:szCs w:val="21"/>
              </w:rPr>
              <w:t xml:space="preserve">金额(元)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1 </w:t>
            </w:r>
          </w:p>
        </w:tc>
        <w:tc>
          <w:tcPr>
            <w:tcW w:w="4890" w:type="dxa"/>
            <w:shd w:val="clear" w:color="auto" w:fill="auto"/>
          </w:tcPr>
          <w:p>
            <w:pPr>
              <w:pStyle w:val="7"/>
              <w:rPr>
                <w:sz w:val="21"/>
                <w:szCs w:val="21"/>
              </w:rPr>
            </w:pPr>
            <w:r>
              <w:rPr>
                <w:rFonts w:hint="eastAsia"/>
                <w:sz w:val="21"/>
                <w:szCs w:val="21"/>
              </w:rPr>
              <w:t xml:space="preserve">存出保证金 </w:t>
            </w:r>
          </w:p>
        </w:tc>
        <w:tc>
          <w:tcPr>
            <w:tcW w:w="4890" w:type="dxa"/>
            <w:shd w:val="clear" w:color="auto" w:fill="auto"/>
          </w:tcPr>
          <w:p>
            <w:pPr>
              <w:pStyle w:val="7"/>
              <w:jc w:val="right"/>
              <w:rPr>
                <w:sz w:val="21"/>
                <w:szCs w:val="21"/>
              </w:rPr>
            </w:pPr>
            <w:r>
              <w:rPr>
                <w:rFonts w:hint="eastAsia"/>
                <w:sz w:val="21"/>
                <w:szCs w:val="21"/>
              </w:rPr>
              <w:t xml:space="preserve">51,912.18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2 </w:t>
            </w:r>
          </w:p>
        </w:tc>
        <w:tc>
          <w:tcPr>
            <w:tcW w:w="4890" w:type="dxa"/>
            <w:shd w:val="clear" w:color="auto" w:fill="auto"/>
          </w:tcPr>
          <w:p>
            <w:pPr>
              <w:pStyle w:val="7"/>
              <w:rPr>
                <w:sz w:val="21"/>
                <w:szCs w:val="21"/>
              </w:rPr>
            </w:pPr>
            <w:r>
              <w:rPr>
                <w:rFonts w:hint="eastAsia"/>
                <w:sz w:val="21"/>
                <w:szCs w:val="21"/>
              </w:rPr>
              <w:t xml:space="preserve">应收证券清算款 </w:t>
            </w:r>
          </w:p>
        </w:tc>
        <w:tc>
          <w:tcPr>
            <w:tcW w:w="48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3 </w:t>
            </w:r>
          </w:p>
        </w:tc>
        <w:tc>
          <w:tcPr>
            <w:tcW w:w="4890" w:type="dxa"/>
            <w:shd w:val="clear" w:color="auto" w:fill="auto"/>
          </w:tcPr>
          <w:p>
            <w:pPr>
              <w:pStyle w:val="7"/>
              <w:rPr>
                <w:sz w:val="21"/>
                <w:szCs w:val="21"/>
              </w:rPr>
            </w:pPr>
            <w:r>
              <w:rPr>
                <w:rFonts w:hint="eastAsia"/>
                <w:sz w:val="21"/>
                <w:szCs w:val="21"/>
              </w:rPr>
              <w:t xml:space="preserve">应收股利 </w:t>
            </w:r>
          </w:p>
        </w:tc>
        <w:tc>
          <w:tcPr>
            <w:tcW w:w="48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4 </w:t>
            </w:r>
          </w:p>
        </w:tc>
        <w:tc>
          <w:tcPr>
            <w:tcW w:w="4890" w:type="dxa"/>
            <w:shd w:val="clear" w:color="auto" w:fill="auto"/>
          </w:tcPr>
          <w:p>
            <w:pPr>
              <w:pStyle w:val="7"/>
              <w:rPr>
                <w:sz w:val="21"/>
                <w:szCs w:val="21"/>
              </w:rPr>
            </w:pPr>
            <w:r>
              <w:rPr>
                <w:rFonts w:hint="eastAsia"/>
                <w:sz w:val="21"/>
                <w:szCs w:val="21"/>
              </w:rPr>
              <w:t xml:space="preserve">应收利息 </w:t>
            </w:r>
          </w:p>
        </w:tc>
        <w:tc>
          <w:tcPr>
            <w:tcW w:w="48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5 </w:t>
            </w:r>
          </w:p>
        </w:tc>
        <w:tc>
          <w:tcPr>
            <w:tcW w:w="4890" w:type="dxa"/>
            <w:shd w:val="clear" w:color="auto" w:fill="auto"/>
          </w:tcPr>
          <w:p>
            <w:pPr>
              <w:pStyle w:val="7"/>
              <w:rPr>
                <w:sz w:val="21"/>
                <w:szCs w:val="21"/>
              </w:rPr>
            </w:pPr>
            <w:r>
              <w:rPr>
                <w:rFonts w:hint="eastAsia"/>
                <w:sz w:val="21"/>
                <w:szCs w:val="21"/>
              </w:rPr>
              <w:t xml:space="preserve">应收申购款 </w:t>
            </w:r>
          </w:p>
        </w:tc>
        <w:tc>
          <w:tcPr>
            <w:tcW w:w="4890" w:type="dxa"/>
            <w:shd w:val="clear" w:color="auto" w:fill="auto"/>
          </w:tcPr>
          <w:p>
            <w:pPr>
              <w:pStyle w:val="7"/>
              <w:jc w:val="right"/>
              <w:rPr>
                <w:sz w:val="21"/>
                <w:szCs w:val="21"/>
              </w:rPr>
            </w:pPr>
            <w:r>
              <w:rPr>
                <w:rFonts w:hint="eastAsia"/>
                <w:sz w:val="21"/>
                <w:szCs w:val="21"/>
              </w:rPr>
              <w:t xml:space="preserve">277,658.32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6 </w:t>
            </w:r>
          </w:p>
        </w:tc>
        <w:tc>
          <w:tcPr>
            <w:tcW w:w="4890" w:type="dxa"/>
            <w:shd w:val="clear" w:color="auto" w:fill="auto"/>
          </w:tcPr>
          <w:p>
            <w:pPr>
              <w:pStyle w:val="7"/>
              <w:rPr>
                <w:sz w:val="21"/>
                <w:szCs w:val="21"/>
              </w:rPr>
            </w:pPr>
            <w:r>
              <w:rPr>
                <w:rFonts w:hint="eastAsia"/>
                <w:sz w:val="21"/>
                <w:szCs w:val="21"/>
              </w:rPr>
              <w:t xml:space="preserve">其他应收款 </w:t>
            </w:r>
          </w:p>
        </w:tc>
        <w:tc>
          <w:tcPr>
            <w:tcW w:w="48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7 </w:t>
            </w:r>
          </w:p>
        </w:tc>
        <w:tc>
          <w:tcPr>
            <w:tcW w:w="4890" w:type="dxa"/>
            <w:shd w:val="clear" w:color="auto" w:fill="auto"/>
          </w:tcPr>
          <w:p>
            <w:pPr>
              <w:pStyle w:val="7"/>
              <w:rPr>
                <w:sz w:val="21"/>
                <w:szCs w:val="21"/>
              </w:rPr>
            </w:pPr>
            <w:r>
              <w:rPr>
                <w:rFonts w:hint="eastAsia"/>
                <w:sz w:val="21"/>
                <w:szCs w:val="21"/>
              </w:rPr>
              <w:t xml:space="preserve">待摊费用 </w:t>
            </w:r>
          </w:p>
        </w:tc>
        <w:tc>
          <w:tcPr>
            <w:tcW w:w="48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8 </w:t>
            </w:r>
          </w:p>
        </w:tc>
        <w:tc>
          <w:tcPr>
            <w:tcW w:w="4890" w:type="dxa"/>
            <w:shd w:val="clear" w:color="auto" w:fill="auto"/>
          </w:tcPr>
          <w:p>
            <w:pPr>
              <w:pStyle w:val="7"/>
              <w:rPr>
                <w:sz w:val="21"/>
                <w:szCs w:val="21"/>
              </w:rPr>
            </w:pPr>
            <w:r>
              <w:rPr>
                <w:rFonts w:hint="eastAsia"/>
                <w:sz w:val="21"/>
                <w:szCs w:val="21"/>
              </w:rPr>
              <w:t xml:space="preserve">其他 </w:t>
            </w:r>
          </w:p>
        </w:tc>
        <w:tc>
          <w:tcPr>
            <w:tcW w:w="48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9 </w:t>
            </w:r>
          </w:p>
        </w:tc>
        <w:tc>
          <w:tcPr>
            <w:tcW w:w="4890" w:type="dxa"/>
            <w:shd w:val="clear" w:color="auto" w:fill="auto"/>
          </w:tcPr>
          <w:p>
            <w:pPr>
              <w:pStyle w:val="7"/>
              <w:rPr>
                <w:sz w:val="21"/>
                <w:szCs w:val="21"/>
              </w:rPr>
            </w:pPr>
            <w:r>
              <w:rPr>
                <w:rFonts w:hint="eastAsia"/>
                <w:sz w:val="21"/>
                <w:szCs w:val="21"/>
              </w:rPr>
              <w:t xml:space="preserve">合计 </w:t>
            </w:r>
          </w:p>
        </w:tc>
        <w:tc>
          <w:tcPr>
            <w:tcW w:w="4890" w:type="dxa"/>
            <w:shd w:val="clear" w:color="auto" w:fill="auto"/>
          </w:tcPr>
          <w:p>
            <w:pPr>
              <w:pStyle w:val="7"/>
              <w:jc w:val="right"/>
              <w:rPr>
                <w:sz w:val="21"/>
                <w:szCs w:val="21"/>
              </w:rPr>
            </w:pPr>
            <w:r>
              <w:rPr>
                <w:rFonts w:hint="eastAsia"/>
                <w:sz w:val="21"/>
                <w:szCs w:val="21"/>
              </w:rPr>
              <w:t xml:space="preserve">329,570.50 </w:t>
            </w:r>
          </w:p>
        </w:tc>
      </w:tr>
    </w:tbl>
    <w:p>
      <w:pPr>
        <w:pStyle w:val="7"/>
        <w:spacing w:before="0" w:beforeAutospacing="0" w:after="0" w:afterAutospacing="0" w:line="360" w:lineRule="auto"/>
        <w:ind w:firstLine="420"/>
        <w:rPr>
          <w:sz w:val="21"/>
          <w:szCs w:val="21"/>
        </w:rPr>
      </w:pPr>
      <w:r>
        <w:rPr>
          <w:rFonts w:hint="eastAsia"/>
          <w:sz w:val="21"/>
          <w:szCs w:val="21"/>
        </w:rPr>
        <w:t xml:space="preserve">11.4报告期末持有的处于转股期的可转换债券明细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1467"/>
        <w:gridCol w:w="1348"/>
        <w:gridCol w:w="2825"/>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shd w:val="clear" w:color="auto" w:fill="auto"/>
          </w:tcPr>
          <w:p>
            <w:pPr>
              <w:pStyle w:val="7"/>
              <w:jc w:val="center"/>
              <w:rPr>
                <w:sz w:val="21"/>
                <w:szCs w:val="21"/>
              </w:rPr>
            </w:pPr>
            <w:r>
              <w:rPr>
                <w:rFonts w:hint="eastAsia"/>
                <w:sz w:val="21"/>
                <w:szCs w:val="21"/>
              </w:rPr>
              <w:t xml:space="preserve">序号 </w:t>
            </w:r>
          </w:p>
        </w:tc>
        <w:tc>
          <w:tcPr>
            <w:tcW w:w="1740" w:type="dxa"/>
            <w:shd w:val="clear" w:color="auto" w:fill="auto"/>
          </w:tcPr>
          <w:p>
            <w:pPr>
              <w:pStyle w:val="7"/>
              <w:jc w:val="center"/>
              <w:rPr>
                <w:sz w:val="21"/>
                <w:szCs w:val="21"/>
              </w:rPr>
            </w:pPr>
            <w:r>
              <w:rPr>
                <w:rFonts w:hint="eastAsia"/>
                <w:sz w:val="21"/>
                <w:szCs w:val="21"/>
              </w:rPr>
              <w:t xml:space="preserve">债券代码 </w:t>
            </w:r>
          </w:p>
        </w:tc>
        <w:tc>
          <w:tcPr>
            <w:tcW w:w="1755" w:type="dxa"/>
            <w:shd w:val="clear" w:color="auto" w:fill="auto"/>
          </w:tcPr>
          <w:p>
            <w:pPr>
              <w:pStyle w:val="7"/>
              <w:jc w:val="center"/>
              <w:rPr>
                <w:sz w:val="21"/>
                <w:szCs w:val="21"/>
              </w:rPr>
            </w:pPr>
            <w:r>
              <w:rPr>
                <w:rFonts w:hint="eastAsia"/>
                <w:sz w:val="21"/>
                <w:szCs w:val="21"/>
              </w:rPr>
              <w:t xml:space="preserve">债券名称 </w:t>
            </w:r>
          </w:p>
        </w:tc>
        <w:tc>
          <w:tcPr>
            <w:tcW w:w="3420" w:type="dxa"/>
            <w:shd w:val="clear" w:color="auto" w:fill="auto"/>
          </w:tcPr>
          <w:p>
            <w:pPr>
              <w:pStyle w:val="7"/>
              <w:jc w:val="center"/>
              <w:rPr>
                <w:sz w:val="21"/>
                <w:szCs w:val="21"/>
              </w:rPr>
            </w:pPr>
            <w:r>
              <w:rPr>
                <w:rFonts w:hint="eastAsia"/>
                <w:sz w:val="21"/>
                <w:szCs w:val="21"/>
              </w:rPr>
              <w:t xml:space="preserve">公允价值(元) </w:t>
            </w:r>
          </w:p>
        </w:tc>
        <w:tc>
          <w:tcPr>
            <w:tcW w:w="2865" w:type="dxa"/>
            <w:shd w:val="clear" w:color="auto" w:fill="auto"/>
          </w:tcPr>
          <w:p>
            <w:pPr>
              <w:pStyle w:val="7"/>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shd w:val="clear" w:color="auto" w:fill="auto"/>
          </w:tcPr>
          <w:p>
            <w:pPr>
              <w:pStyle w:val="7"/>
              <w:jc w:val="center"/>
              <w:rPr>
                <w:sz w:val="21"/>
                <w:szCs w:val="21"/>
              </w:rPr>
            </w:pPr>
            <w:r>
              <w:rPr>
                <w:rFonts w:hint="eastAsia"/>
                <w:sz w:val="21"/>
                <w:szCs w:val="21"/>
              </w:rPr>
              <w:t xml:space="preserve">1 </w:t>
            </w:r>
          </w:p>
        </w:tc>
        <w:tc>
          <w:tcPr>
            <w:tcW w:w="1740" w:type="dxa"/>
            <w:shd w:val="clear" w:color="auto" w:fill="auto"/>
          </w:tcPr>
          <w:p>
            <w:pPr>
              <w:pStyle w:val="7"/>
              <w:jc w:val="center"/>
              <w:rPr>
                <w:sz w:val="21"/>
                <w:szCs w:val="21"/>
              </w:rPr>
            </w:pPr>
            <w:r>
              <w:rPr>
                <w:rFonts w:hint="eastAsia"/>
                <w:sz w:val="21"/>
                <w:szCs w:val="21"/>
              </w:rPr>
              <w:t xml:space="preserve">127043 </w:t>
            </w:r>
          </w:p>
        </w:tc>
        <w:tc>
          <w:tcPr>
            <w:tcW w:w="1755" w:type="dxa"/>
            <w:shd w:val="clear" w:color="auto" w:fill="auto"/>
          </w:tcPr>
          <w:p>
            <w:pPr>
              <w:pStyle w:val="7"/>
              <w:jc w:val="center"/>
              <w:rPr>
                <w:sz w:val="21"/>
                <w:szCs w:val="21"/>
              </w:rPr>
            </w:pPr>
            <w:r>
              <w:rPr>
                <w:rFonts w:hint="eastAsia"/>
                <w:sz w:val="21"/>
                <w:szCs w:val="21"/>
              </w:rPr>
              <w:t xml:space="preserve">川恒转债 </w:t>
            </w:r>
          </w:p>
        </w:tc>
        <w:tc>
          <w:tcPr>
            <w:tcW w:w="3420" w:type="dxa"/>
            <w:shd w:val="clear" w:color="auto" w:fill="auto"/>
          </w:tcPr>
          <w:p>
            <w:pPr>
              <w:pStyle w:val="7"/>
              <w:jc w:val="right"/>
              <w:rPr>
                <w:sz w:val="21"/>
                <w:szCs w:val="21"/>
              </w:rPr>
            </w:pPr>
            <w:r>
              <w:rPr>
                <w:rFonts w:hint="eastAsia"/>
                <w:sz w:val="21"/>
                <w:szCs w:val="21"/>
              </w:rPr>
              <w:t xml:space="preserve">1,443,728.38 </w:t>
            </w:r>
          </w:p>
        </w:tc>
        <w:tc>
          <w:tcPr>
            <w:tcW w:w="2865" w:type="dxa"/>
            <w:shd w:val="clear" w:color="auto" w:fill="auto"/>
          </w:tcPr>
          <w:p>
            <w:pPr>
              <w:pStyle w:val="7"/>
              <w:jc w:val="right"/>
              <w:rPr>
                <w:sz w:val="21"/>
                <w:szCs w:val="21"/>
              </w:rPr>
            </w:pPr>
            <w:r>
              <w:rPr>
                <w:rFonts w:hint="eastAsia"/>
                <w:sz w:val="21"/>
                <w:szCs w:val="21"/>
              </w:rPr>
              <w:t xml:space="preserve">0.63 </w:t>
            </w:r>
          </w:p>
        </w:tc>
      </w:tr>
    </w:tbl>
    <w:p>
      <w:pPr>
        <w:pStyle w:val="7"/>
        <w:spacing w:before="0" w:beforeAutospacing="0" w:after="0" w:afterAutospacing="0" w:line="360" w:lineRule="auto"/>
        <w:ind w:firstLine="420"/>
        <w:rPr>
          <w:sz w:val="21"/>
          <w:szCs w:val="21"/>
        </w:rPr>
      </w:pPr>
      <w:r>
        <w:rPr>
          <w:rFonts w:hint="eastAsia"/>
          <w:sz w:val="21"/>
          <w:szCs w:val="21"/>
        </w:rPr>
        <w:t xml:space="preserve">11.5报告期末前十名股票中存在流通受限情况的说明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本基金本报告期末前十名股票中不存在流通受限情况。 </w:t>
      </w:r>
    </w:p>
    <w:p>
      <w:pPr>
        <w:pStyle w:val="7"/>
        <w:spacing w:before="0" w:beforeAutospacing="0" w:after="0" w:afterAutospacing="0" w:line="360" w:lineRule="auto"/>
        <w:ind w:firstLine="420"/>
        <w:rPr>
          <w:sz w:val="21"/>
          <w:szCs w:val="21"/>
        </w:rPr>
      </w:pPr>
      <w:r>
        <w:rPr>
          <w:rFonts w:hint="eastAsia"/>
          <w:sz w:val="21"/>
          <w:szCs w:val="21"/>
        </w:rPr>
        <w:t xml:space="preserve">11.6投资组合报告附注的其他文字描述部分 </w:t>
      </w:r>
    </w:p>
    <w:p>
      <w:pPr>
        <w:pStyle w:val="7"/>
        <w:spacing w:before="0" w:beforeAutospacing="0" w:after="0" w:afterAutospacing="0" w:line="360" w:lineRule="auto"/>
        <w:ind w:firstLine="420"/>
        <w:rPr>
          <w:sz w:val="21"/>
          <w:szCs w:val="21"/>
        </w:rPr>
      </w:pPr>
      <w:bookmarkStart w:id="139" w:name="chapter_level1_11_60_section_6_end"/>
      <w:bookmarkEnd w:id="139"/>
      <w:r>
        <w:rPr>
          <w:rFonts w:hint="eastAsia"/>
          <w:sz w:val="21"/>
          <w:szCs w:val="21"/>
        </w:rPr>
        <w:t xml:space="preserve">由于四舍五入的原因，分项之和与合计项之间可能存在尾差。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0" w:name="_Toc113628540"/>
      <w:bookmarkStart w:id="141" w:name="chapter_level1_12_3500"/>
      <w:r>
        <w:rPr>
          <w:rFonts w:hint="eastAsia" w:ascii="宋体" w:hAnsi="宋体" w:eastAsia="宋体"/>
          <w:sz w:val="30"/>
        </w:rPr>
        <w:t>第九部分 基金的业绩</w:t>
      </w:r>
      <w:bookmarkEnd w:id="140"/>
      <w:bookmarkEnd w:id="141"/>
    </w:p>
    <w:p>
      <w:pPr>
        <w:pStyle w:val="7"/>
        <w:spacing w:before="0" w:beforeAutospacing="0" w:after="0" w:afterAutospacing="0" w:line="360" w:lineRule="auto"/>
        <w:ind w:firstLine="420"/>
        <w:rPr>
          <w:sz w:val="21"/>
          <w:szCs w:val="21"/>
        </w:rPr>
      </w:pPr>
      <w:bookmarkStart w:id="142" w:name="chapter_level1_12_3500_section_1"/>
      <w:bookmarkEnd w:id="142"/>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pPr>
        <w:pStyle w:val="7"/>
        <w:spacing w:before="0" w:beforeAutospacing="0" w:after="0" w:afterAutospacing="0" w:line="360" w:lineRule="auto"/>
        <w:ind w:firstLine="420"/>
        <w:rPr>
          <w:sz w:val="21"/>
          <w:szCs w:val="21"/>
        </w:rPr>
      </w:pPr>
      <w:r>
        <w:rPr>
          <w:rFonts w:hint="eastAsia"/>
          <w:sz w:val="21"/>
          <w:szCs w:val="21"/>
        </w:rPr>
        <w:t xml:space="preserve">自基金合同生效开始，基金份额净值增长率及其与同期业绩比较基准收益率的比较 </w:t>
      </w:r>
    </w:p>
    <w:p>
      <w:pPr>
        <w:pStyle w:val="7"/>
        <w:spacing w:before="0" w:beforeAutospacing="0" w:after="0" w:afterAutospacing="0" w:line="360" w:lineRule="auto"/>
        <w:ind w:firstLine="420"/>
        <w:rPr>
          <w:sz w:val="21"/>
          <w:szCs w:val="21"/>
        </w:rPr>
      </w:pPr>
      <w:bookmarkStart w:id="143" w:name="field_0_indatatable_1_start"/>
      <w:bookmarkEnd w:id="143"/>
      <w:r>
        <w:rPr>
          <w:rFonts w:hint="eastAsia"/>
          <w:sz w:val="21"/>
          <w:szCs w:val="21"/>
        </w:rPr>
        <w:t xml:space="preserve">博时逆向投资混合A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48"/>
        <w:gridCol w:w="996"/>
        <w:gridCol w:w="1206"/>
        <w:gridCol w:w="1153"/>
        <w:gridCol w:w="95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期间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①净值增长率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②净值增长率标准差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③业绩比较基准收益率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④业绩比较基准收益率标准差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①-③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2017.04.14-2017.12.31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-10.93%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10.33%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-21.26%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2018.01.01-2018.12.31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-18.38%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-16.12%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-2.26%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2019.01.01-2019.12.31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54.14%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26.26%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27.88%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2020.01.01-2020.12.31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62.59%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1.40%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20.07%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42.52%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2021.01.01-2021.12.31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9.69%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-1.88%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11.57%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2022.01.01-2022.06.30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-12.04%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-5.79%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-6.25%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2017.04.14-2022.06.30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75.79%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29.69%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46.10%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0.39% </w:t>
            </w:r>
          </w:p>
        </w:tc>
      </w:tr>
    </w:tbl>
    <w:p>
      <w:pPr>
        <w:pStyle w:val="7"/>
        <w:spacing w:before="0" w:beforeAutospacing="0" w:after="0" w:afterAutospacing="0" w:line="360" w:lineRule="auto"/>
        <w:ind w:firstLine="420"/>
        <w:rPr>
          <w:sz w:val="21"/>
          <w:szCs w:val="21"/>
        </w:rPr>
      </w:pPr>
      <w:r>
        <w:rPr>
          <w:rFonts w:hint="eastAsia"/>
          <w:sz w:val="21"/>
          <w:szCs w:val="21"/>
        </w:rPr>
        <w:t xml:space="preserve">博时逆向投资混合C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48"/>
        <w:gridCol w:w="996"/>
        <w:gridCol w:w="1206"/>
        <w:gridCol w:w="1153"/>
        <w:gridCol w:w="95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期间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①净值增长率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②净值增长率标准差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③业绩比较基准收益率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④业绩比较基准收益率标准差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①-③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2017.04.14-2017.12.31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-11.27%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10.33%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-21.60%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2018.01.01-2018.12.31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-18.79%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-16.12%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-2.67%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2019.01.01-2019.12.31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53.36%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26.26%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27.10%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2020.01.01-2020.12.31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61.80%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1.40%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20.07%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41.73%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2021.01.01-2021.12.31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9.15%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-1.88%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11.03%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2022.01.01-2022.06.30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-12.26%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-5.79%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-6.47%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2017.04.14-2022.06.30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71.23%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29.69%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41.54%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0.39% </w:t>
            </w:r>
          </w:p>
        </w:tc>
      </w:tr>
    </w:tbl>
    <w:p>
      <w:pPr>
        <w:pStyle w:val="7"/>
        <w:spacing w:before="0" w:beforeAutospacing="0" w:after="0" w:afterAutospacing="0" w:line="360" w:lineRule="auto"/>
        <w:ind w:firstLine="420"/>
        <w:rPr>
          <w:sz w:val="21"/>
          <w:szCs w:val="21"/>
        </w:rPr>
      </w:pPr>
      <w:bookmarkStart w:id="144" w:name="field_0_indatatable_1_end"/>
      <w:bookmarkEnd w:id="144"/>
      <w:bookmarkStart w:id="145" w:name="chapter_level1_12_3500_section_1_end"/>
      <w:bookmarkEnd w:id="145"/>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6" w:name="_Toc113628541"/>
      <w:bookmarkStart w:id="147" w:name="chapter_level1_13_62"/>
      <w:r>
        <w:rPr>
          <w:rFonts w:hint="eastAsia" w:ascii="宋体" w:hAnsi="宋体" w:eastAsia="宋体"/>
          <w:sz w:val="30"/>
        </w:rPr>
        <w:t>第十部分  基金的财产</w:t>
      </w:r>
      <w:bookmarkEnd w:id="146"/>
      <w:bookmarkEnd w:id="147"/>
    </w:p>
    <w:p>
      <w:pPr>
        <w:pStyle w:val="7"/>
        <w:spacing w:before="0" w:beforeAutospacing="0" w:after="0" w:afterAutospacing="0" w:line="360" w:lineRule="auto"/>
        <w:ind w:firstLine="420"/>
        <w:rPr>
          <w:sz w:val="21"/>
          <w:szCs w:val="21"/>
        </w:rPr>
      </w:pPr>
      <w:bookmarkStart w:id="148" w:name="chapter_level1_13_62_section_1"/>
      <w:bookmarkEnd w:id="148"/>
      <w:r>
        <w:rPr>
          <w:rStyle w:val="11"/>
          <w:rFonts w:hint="eastAsia"/>
          <w:sz w:val="21"/>
          <w:szCs w:val="21"/>
        </w:rPr>
        <w:t>一、基金资产总值</w:t>
      </w:r>
    </w:p>
    <w:p>
      <w:pPr>
        <w:pStyle w:val="7"/>
        <w:spacing w:before="0" w:beforeAutospacing="0" w:after="0" w:afterAutospacing="0" w:line="360" w:lineRule="auto"/>
        <w:ind w:firstLine="420"/>
        <w:rPr>
          <w:sz w:val="21"/>
          <w:szCs w:val="21"/>
        </w:rPr>
      </w:pPr>
      <w:r>
        <w:rPr>
          <w:rFonts w:hint="eastAsia"/>
          <w:sz w:val="21"/>
          <w:szCs w:val="21"/>
        </w:rPr>
        <w:t xml:space="preserve">基金资产总值是指购买的各类证券及票据价值、银行存款本息和基金应收的申购基金款以及其他投资所形成的价值总和。 </w:t>
      </w:r>
    </w:p>
    <w:p>
      <w:pPr>
        <w:pStyle w:val="7"/>
        <w:spacing w:before="0" w:beforeAutospacing="0" w:after="0" w:afterAutospacing="0" w:line="360" w:lineRule="auto"/>
        <w:ind w:firstLine="420"/>
        <w:rPr>
          <w:sz w:val="21"/>
          <w:szCs w:val="21"/>
        </w:rPr>
      </w:pPr>
      <w:r>
        <w:rPr>
          <w:rStyle w:val="11"/>
          <w:rFonts w:hint="eastAsia"/>
          <w:sz w:val="21"/>
          <w:szCs w:val="21"/>
        </w:rPr>
        <w:t>二、基金资产净值</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基金资产净值是指基金资产总值减去基金负债后的价值。 </w:t>
      </w:r>
    </w:p>
    <w:p>
      <w:pPr>
        <w:pStyle w:val="7"/>
        <w:spacing w:before="0" w:beforeAutospacing="0" w:after="0" w:afterAutospacing="0" w:line="360" w:lineRule="auto"/>
        <w:ind w:firstLine="420"/>
        <w:rPr>
          <w:sz w:val="21"/>
          <w:szCs w:val="21"/>
        </w:rPr>
      </w:pPr>
      <w:r>
        <w:rPr>
          <w:rStyle w:val="11"/>
          <w:rFonts w:hint="eastAsia"/>
          <w:sz w:val="21"/>
          <w:szCs w:val="21"/>
        </w:rPr>
        <w:t>三、基金财产的账户</w:t>
      </w:r>
    </w:p>
    <w:p>
      <w:pPr>
        <w:pStyle w:val="7"/>
        <w:spacing w:before="0" w:beforeAutospacing="0" w:after="0" w:afterAutospacing="0" w:line="360" w:lineRule="auto"/>
        <w:ind w:firstLine="420"/>
        <w:rPr>
          <w:sz w:val="21"/>
          <w:szCs w:val="21"/>
        </w:rPr>
      </w:pPr>
      <w:r>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pPr>
        <w:pStyle w:val="7"/>
        <w:spacing w:before="0" w:beforeAutospacing="0" w:after="0" w:afterAutospacing="0" w:line="360" w:lineRule="auto"/>
        <w:ind w:firstLine="420"/>
        <w:rPr>
          <w:sz w:val="21"/>
          <w:szCs w:val="21"/>
        </w:rPr>
      </w:pPr>
      <w:r>
        <w:rPr>
          <w:rStyle w:val="11"/>
          <w:rFonts w:hint="eastAsia"/>
          <w:sz w:val="21"/>
          <w:szCs w:val="21"/>
        </w:rPr>
        <w:t>四、基金财产的保管和处分</w:t>
      </w:r>
    </w:p>
    <w:p>
      <w:pPr>
        <w:pStyle w:val="7"/>
        <w:spacing w:before="0" w:beforeAutospacing="0" w:after="0" w:afterAutospacing="0" w:line="360" w:lineRule="auto"/>
        <w:ind w:firstLine="420"/>
        <w:rPr>
          <w:sz w:val="21"/>
          <w:szCs w:val="21"/>
        </w:rPr>
      </w:pPr>
      <w:r>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pPr>
        <w:pStyle w:val="7"/>
        <w:spacing w:before="0" w:beforeAutospacing="0" w:after="0" w:afterAutospacing="0" w:line="360" w:lineRule="auto"/>
        <w:ind w:firstLine="420"/>
        <w:rPr>
          <w:sz w:val="21"/>
          <w:szCs w:val="21"/>
        </w:rPr>
      </w:pPr>
      <w:r>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49" w:name="chapter_level1_13_62_section_1_end"/>
      <w:bookmarkEnd w:id="149"/>
      <w:r>
        <w:rPr>
          <w:rFonts w:hint="eastAsia"/>
          <w:sz w:val="21"/>
          <w:szCs w:val="21"/>
        </w:rPr>
        <w:t xml:space="preserve">得相互抵销。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0" w:name="_Toc113628542"/>
      <w:bookmarkStart w:id="151" w:name="chapter_level1_14_63"/>
      <w:r>
        <w:rPr>
          <w:rFonts w:hint="eastAsia" w:ascii="宋体" w:hAnsi="宋体" w:eastAsia="宋体"/>
          <w:sz w:val="30"/>
        </w:rPr>
        <w:t>第十一部分  基金资产的估值</w:t>
      </w:r>
      <w:bookmarkEnd w:id="150"/>
      <w:bookmarkEnd w:id="151"/>
    </w:p>
    <w:p>
      <w:pPr>
        <w:pStyle w:val="7"/>
        <w:spacing w:before="0" w:beforeAutospacing="0" w:after="0" w:afterAutospacing="0" w:line="360" w:lineRule="auto"/>
        <w:ind w:firstLine="420"/>
        <w:rPr>
          <w:sz w:val="21"/>
          <w:szCs w:val="21"/>
        </w:rPr>
      </w:pPr>
      <w:bookmarkStart w:id="152" w:name="chapter_level1_14_63_section_1"/>
      <w:bookmarkEnd w:id="152"/>
      <w:r>
        <w:rPr>
          <w:rStyle w:val="11"/>
          <w:rFonts w:hint="eastAsia"/>
          <w:sz w:val="21"/>
          <w:szCs w:val="21"/>
        </w:rPr>
        <w:t>一、估值日</w:t>
      </w:r>
    </w:p>
    <w:p>
      <w:pPr>
        <w:pStyle w:val="7"/>
        <w:spacing w:before="0" w:beforeAutospacing="0" w:after="0" w:afterAutospacing="0" w:line="360" w:lineRule="auto"/>
        <w:ind w:firstLine="420"/>
        <w:rPr>
          <w:sz w:val="21"/>
          <w:szCs w:val="21"/>
        </w:rPr>
      </w:pPr>
      <w:r>
        <w:rPr>
          <w:rFonts w:hint="eastAsia"/>
          <w:sz w:val="21"/>
          <w:szCs w:val="21"/>
        </w:rPr>
        <w:t xml:space="preserve">本基金的估值日为本基金相关的证券交易场所的交易日以及国家法律法规规定需要对外披露基金净值的非交易日。 </w:t>
      </w:r>
    </w:p>
    <w:p>
      <w:pPr>
        <w:pStyle w:val="7"/>
        <w:spacing w:before="0" w:beforeAutospacing="0" w:after="0" w:afterAutospacing="0" w:line="360" w:lineRule="auto"/>
        <w:ind w:firstLine="420"/>
        <w:rPr>
          <w:sz w:val="21"/>
          <w:szCs w:val="21"/>
        </w:rPr>
      </w:pPr>
      <w:r>
        <w:rPr>
          <w:rStyle w:val="11"/>
          <w:rFonts w:hint="eastAsia"/>
          <w:sz w:val="21"/>
          <w:szCs w:val="21"/>
        </w:rPr>
        <w:t>二、估值对象</w:t>
      </w:r>
    </w:p>
    <w:p>
      <w:pPr>
        <w:pStyle w:val="7"/>
        <w:spacing w:before="0" w:beforeAutospacing="0" w:after="0" w:afterAutospacing="0" w:line="360" w:lineRule="auto"/>
        <w:ind w:firstLine="420"/>
        <w:rPr>
          <w:sz w:val="21"/>
          <w:szCs w:val="21"/>
        </w:rPr>
      </w:pPr>
      <w:r>
        <w:rPr>
          <w:rFonts w:hint="eastAsia"/>
          <w:sz w:val="21"/>
          <w:szCs w:val="21"/>
        </w:rPr>
        <w:t xml:space="preserve">基金所拥有的股票、股指期货合约、权证、债券、国债期货合约和银行存款本息、应收款项、其它投资等资产及负债。 </w:t>
      </w:r>
    </w:p>
    <w:p>
      <w:pPr>
        <w:pStyle w:val="7"/>
        <w:spacing w:before="0" w:beforeAutospacing="0" w:after="0" w:afterAutospacing="0" w:line="360" w:lineRule="auto"/>
        <w:ind w:firstLine="420"/>
        <w:rPr>
          <w:sz w:val="21"/>
          <w:szCs w:val="21"/>
        </w:rPr>
      </w:pPr>
      <w:r>
        <w:rPr>
          <w:rStyle w:val="11"/>
          <w:rFonts w:hint="eastAsia"/>
          <w:sz w:val="21"/>
          <w:szCs w:val="21"/>
        </w:rPr>
        <w:t>三、估值方法</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1）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（2）交易所上市交易或挂牌转让的固定收益品种（基金合同另有规定的除外），选取估值日第三方估值机构提供的相应品种对应的估值净价估值，具体估值机构由基金管理人与托管人另行协商约定； </w:t>
      </w:r>
    </w:p>
    <w:p>
      <w:pPr>
        <w:pStyle w:val="7"/>
        <w:spacing w:before="0" w:beforeAutospacing="0" w:after="0" w:afterAutospacing="0" w:line="360" w:lineRule="auto"/>
        <w:ind w:firstLine="420"/>
        <w:rPr>
          <w:sz w:val="21"/>
          <w:szCs w:val="21"/>
        </w:rPr>
      </w:pPr>
      <w:r>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（1）送股、转增股、配股和公开增发的新股，按估值日在证券交易所挂牌的同一股票的估值方法估值；该日无交易的，以最近一日的市价（收盘价）估值；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3、全国银行间债券市场交易的债券、资产支持证券等固定收益品种，采用第三方估值机构提供的相应品种当日的估值净价确定公允价值。 </w:t>
      </w:r>
    </w:p>
    <w:p>
      <w:pPr>
        <w:pStyle w:val="7"/>
        <w:spacing w:before="0" w:beforeAutospacing="0" w:after="0" w:afterAutospacing="0" w:line="360" w:lineRule="auto"/>
        <w:ind w:firstLine="420"/>
        <w:rPr>
          <w:sz w:val="21"/>
          <w:szCs w:val="21"/>
        </w:rPr>
      </w:pPr>
      <w:r>
        <w:rPr>
          <w:rFonts w:hint="eastAsia"/>
          <w:sz w:val="21"/>
          <w:szCs w:val="21"/>
        </w:rPr>
        <w:t xml:space="preserve">4、同一债券同时在两个或两个以上市场交易的，按债券所处的市场分别估值。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5、本基金投资股指期货合约、国债期货合约，一般以估值当日结算价进行估值，估值当日无结算价的，且最近交易日后经济环境未发生重大变化的，采用最近交易日结算价估值。 </w:t>
      </w:r>
    </w:p>
    <w:p>
      <w:pPr>
        <w:pStyle w:val="7"/>
        <w:spacing w:before="0" w:beforeAutospacing="0" w:after="0" w:afterAutospacing="0" w:line="360" w:lineRule="auto"/>
        <w:ind w:firstLine="420"/>
        <w:rPr>
          <w:sz w:val="21"/>
          <w:szCs w:val="21"/>
        </w:rPr>
      </w:pPr>
      <w:r>
        <w:rPr>
          <w:rFonts w:hint="eastAsia"/>
          <w:sz w:val="21"/>
          <w:szCs w:val="21"/>
        </w:rPr>
        <w:t xml:space="preserve">6、中小企业私募债券，采用估值技术确定公允价值。在估值技术难以可靠计量公允价值的情况下，按成本估值。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8、相关法律法规以及监管部门有强制规定的，从其规定。如有新增事项，按国家最新规定估值。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7"/>
        <w:spacing w:before="0" w:beforeAutospacing="0" w:after="0" w:afterAutospacing="0" w:line="360" w:lineRule="auto"/>
        <w:ind w:firstLine="420"/>
        <w:rPr>
          <w:sz w:val="21"/>
          <w:szCs w:val="21"/>
        </w:rPr>
      </w:pPr>
      <w:r>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53" w:name="chapter_level1_14_63_section_1_end"/>
      <w:bookmarkEnd w:id="153"/>
      <w:r>
        <w:rPr>
          <w:rFonts w:hint="eastAsia"/>
          <w:sz w:val="21"/>
          <w:szCs w:val="21"/>
        </w:rPr>
        <w:t xml:space="preserve">予以公布。 </w:t>
      </w:r>
    </w:p>
    <w:p>
      <w:pPr>
        <w:pStyle w:val="7"/>
        <w:spacing w:before="0" w:beforeAutospacing="0" w:after="0" w:afterAutospacing="0" w:line="360" w:lineRule="auto"/>
        <w:ind w:firstLine="420"/>
        <w:rPr>
          <w:sz w:val="21"/>
          <w:szCs w:val="21"/>
        </w:rPr>
      </w:pPr>
      <w:bookmarkStart w:id="154" w:name="chapter_level1_14_63_section_2"/>
      <w:bookmarkEnd w:id="154"/>
      <w:r>
        <w:rPr>
          <w:rStyle w:val="11"/>
          <w:rFonts w:hint="eastAsia"/>
          <w:sz w:val="21"/>
          <w:szCs w:val="21"/>
        </w:rPr>
        <w:t>四、估值程序</w:t>
      </w:r>
    </w:p>
    <w:p>
      <w:pPr>
        <w:pStyle w:val="7"/>
        <w:spacing w:before="0" w:beforeAutospacing="0" w:after="0" w:afterAutospacing="0" w:line="360" w:lineRule="auto"/>
        <w:ind w:firstLine="420"/>
        <w:rPr>
          <w:sz w:val="21"/>
          <w:szCs w:val="21"/>
        </w:rPr>
      </w:pPr>
      <w:r>
        <w:rPr>
          <w:rFonts w:hint="eastAsia"/>
          <w:sz w:val="21"/>
          <w:szCs w:val="21"/>
        </w:rPr>
        <w:t>1、基金份额净值是按照每个工作日闭市后，基金资产净值除以当日基金份额的余额数量计算，精确到</w:t>
      </w:r>
      <w:bookmarkStart w:id="155" w:name="field_63_netdecimalvalue_1"/>
      <w:r>
        <w:rPr>
          <w:sz w:val="21"/>
          <w:szCs w:val="21"/>
        </w:rPr>
        <w:t>0.0001</w:t>
      </w:r>
      <w:bookmarkEnd w:id="155"/>
      <w:r>
        <w:rPr>
          <w:rFonts w:hint="eastAsia"/>
          <w:sz w:val="21"/>
          <w:szCs w:val="21"/>
        </w:rPr>
        <w:t xml:space="preserve">元，小数点后第5位四舍五入。国家另有规定的，从其规定。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基金管理人于每个工作日计算基金资产净值及两类基金份额净值，并按规定公告。 </w:t>
      </w:r>
    </w:p>
    <w:p>
      <w:pPr>
        <w:pStyle w:val="7"/>
        <w:spacing w:before="0" w:beforeAutospacing="0" w:after="0" w:afterAutospacing="0" w:line="360" w:lineRule="auto"/>
        <w:ind w:firstLine="420"/>
        <w:rPr>
          <w:sz w:val="21"/>
          <w:szCs w:val="21"/>
        </w:rPr>
      </w:pPr>
      <w:r>
        <w:rPr>
          <w:rFonts w:hint="eastAsia"/>
          <w:sz w:val="21"/>
          <w:szCs w:val="21"/>
        </w:rPr>
        <w:t xml:space="preserve">2、基金管理人应每个工作日对基金资产估值。但基金管理人根据法律法规或基金合同的规定暂停估值时除外。基金管理人每个工作日对基金资产估值后，将两类基金份额净值结果发送基金托管人，经基金托管人复核无误后，由基金管理人按约定对外公布。 </w:t>
      </w:r>
    </w:p>
    <w:p>
      <w:pPr>
        <w:pStyle w:val="7"/>
        <w:spacing w:before="0" w:beforeAutospacing="0" w:after="0" w:afterAutospacing="0" w:line="360" w:lineRule="auto"/>
        <w:ind w:firstLine="420"/>
        <w:rPr>
          <w:sz w:val="21"/>
          <w:szCs w:val="21"/>
        </w:rPr>
      </w:pPr>
      <w:r>
        <w:rPr>
          <w:rStyle w:val="11"/>
          <w:rFonts w:hint="eastAsia"/>
          <w:sz w:val="21"/>
          <w:szCs w:val="21"/>
        </w:rPr>
        <w:t>五、估值错误的处理</w:t>
      </w:r>
    </w:p>
    <w:p>
      <w:pPr>
        <w:pStyle w:val="7"/>
        <w:spacing w:before="0" w:beforeAutospacing="0" w:after="0" w:afterAutospacing="0" w:line="360" w:lineRule="auto"/>
        <w:ind w:firstLine="420"/>
        <w:rPr>
          <w:sz w:val="21"/>
          <w:szCs w:val="21"/>
        </w:rPr>
      </w:pPr>
      <w:r>
        <w:rPr>
          <w:rFonts w:hint="eastAsia"/>
          <w:sz w:val="21"/>
          <w:szCs w:val="21"/>
        </w:rPr>
        <w:t>基金管理人和基金托管人将采取必要、适当、合理的措施确保基金资产估值的准确性、及时性。当基金份额净值小数点后</w:t>
      </w:r>
      <w:bookmarkStart w:id="156" w:name="field_63_netdecimal_1"/>
      <w:r>
        <w:rPr>
          <w:sz w:val="21"/>
          <w:szCs w:val="21"/>
        </w:rPr>
        <w:t>4</w:t>
      </w:r>
      <w:bookmarkEnd w:id="156"/>
      <w:r>
        <w:rPr>
          <w:rFonts w:hint="eastAsia"/>
          <w:sz w:val="21"/>
          <w:szCs w:val="21"/>
        </w:rPr>
        <w:t>位以内（含第</w:t>
      </w:r>
      <w:bookmarkStart w:id="157" w:name="field_63_netdecimal_2"/>
      <w:r>
        <w:rPr>
          <w:sz w:val="21"/>
          <w:szCs w:val="21"/>
        </w:rPr>
        <w:t>4</w:t>
      </w:r>
      <w:bookmarkEnd w:id="157"/>
      <w:r>
        <w:rPr>
          <w:rFonts w:hint="eastAsia"/>
          <w:sz w:val="21"/>
          <w:szCs w:val="21"/>
        </w:rPr>
        <w:t xml:space="preserve">位）发生估值错误时，视为基金份额净值错误。 </w:t>
      </w:r>
    </w:p>
    <w:p>
      <w:pPr>
        <w:pStyle w:val="7"/>
        <w:spacing w:before="0" w:beforeAutospacing="0" w:after="0" w:afterAutospacing="0" w:line="360" w:lineRule="auto"/>
        <w:ind w:firstLine="420"/>
        <w:rPr>
          <w:sz w:val="21"/>
          <w:szCs w:val="21"/>
        </w:rPr>
      </w:pPr>
      <w:r>
        <w:rPr>
          <w:rFonts w:hint="eastAsia"/>
          <w:sz w:val="21"/>
          <w:szCs w:val="21"/>
        </w:rPr>
        <w:t xml:space="preserve">基金合同的当事人应按照以下约定处理： </w:t>
      </w:r>
    </w:p>
    <w:p>
      <w:pPr>
        <w:pStyle w:val="7"/>
        <w:spacing w:before="0" w:beforeAutospacing="0" w:after="0" w:afterAutospacing="0" w:line="360" w:lineRule="auto"/>
        <w:ind w:firstLine="420"/>
        <w:rPr>
          <w:sz w:val="21"/>
          <w:szCs w:val="21"/>
        </w:rPr>
      </w:pPr>
      <w:r>
        <w:rPr>
          <w:rFonts w:hint="eastAsia"/>
          <w:sz w:val="21"/>
          <w:szCs w:val="21"/>
        </w:rPr>
        <w:t xml:space="preserve">1、估值错误类型 </w:t>
      </w:r>
    </w:p>
    <w:p>
      <w:pPr>
        <w:pStyle w:val="7"/>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pPr>
        <w:pStyle w:val="7"/>
        <w:spacing w:before="0" w:beforeAutospacing="0" w:after="0" w:afterAutospacing="0" w:line="360" w:lineRule="auto"/>
        <w:ind w:firstLine="420"/>
        <w:rPr>
          <w:sz w:val="21"/>
          <w:szCs w:val="21"/>
        </w:rPr>
      </w:pPr>
      <w:r>
        <w:rPr>
          <w:rFonts w:hint="eastAsia"/>
          <w:sz w:val="21"/>
          <w:szCs w:val="21"/>
        </w:rPr>
        <w:t xml:space="preserve">上述估值错误的主要类型包括但不限于：资料申报差错、数据传输差错、数据计算差错、系统故障差错、下达指令差错等。 </w:t>
      </w:r>
    </w:p>
    <w:p>
      <w:pPr>
        <w:pStyle w:val="7"/>
        <w:spacing w:before="0" w:beforeAutospacing="0" w:after="0" w:afterAutospacing="0" w:line="360" w:lineRule="auto"/>
        <w:ind w:firstLine="420"/>
        <w:rPr>
          <w:sz w:val="21"/>
          <w:szCs w:val="21"/>
        </w:rPr>
      </w:pPr>
      <w:r>
        <w:rPr>
          <w:rFonts w:hint="eastAsia"/>
          <w:sz w:val="21"/>
          <w:szCs w:val="21"/>
        </w:rPr>
        <w:t xml:space="preserve">2、估值错误处理原则 </w:t>
      </w:r>
    </w:p>
    <w:p>
      <w:pPr>
        <w:pStyle w:val="7"/>
        <w:spacing w:before="0" w:beforeAutospacing="0" w:after="0" w:afterAutospacing="0" w:line="360" w:lineRule="auto"/>
        <w:ind w:firstLine="420"/>
        <w:rPr>
          <w:sz w:val="21"/>
          <w:szCs w:val="21"/>
        </w:rPr>
      </w:pPr>
      <w:r>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pPr>
        <w:pStyle w:val="7"/>
        <w:spacing w:before="0" w:beforeAutospacing="0" w:after="0" w:afterAutospacing="0" w:line="360" w:lineRule="auto"/>
        <w:ind w:firstLine="420"/>
        <w:rPr>
          <w:sz w:val="21"/>
          <w:szCs w:val="21"/>
        </w:rPr>
      </w:pPr>
      <w:r>
        <w:rPr>
          <w:rFonts w:hint="eastAsia"/>
          <w:sz w:val="21"/>
          <w:szCs w:val="21"/>
        </w:rPr>
        <w:t xml:space="preserve">（2）估值错误的责任方对有关当事人的直接损失负责，不对间接损失负责，并且仅对估值错误的有关直接当事人负责，不对第三方负责。 </w:t>
      </w:r>
    </w:p>
    <w:p>
      <w:pPr>
        <w:pStyle w:val="7"/>
        <w:spacing w:before="0" w:beforeAutospacing="0" w:after="0" w:afterAutospacing="0" w:line="360" w:lineRule="auto"/>
        <w:ind w:firstLine="420"/>
        <w:rPr>
          <w:sz w:val="21"/>
          <w:szCs w:val="21"/>
        </w:rPr>
      </w:pPr>
      <w:r>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pPr>
        <w:pStyle w:val="7"/>
        <w:spacing w:before="0" w:beforeAutospacing="0" w:after="0" w:afterAutospacing="0" w:line="360" w:lineRule="auto"/>
        <w:ind w:firstLine="420"/>
        <w:rPr>
          <w:sz w:val="21"/>
          <w:szCs w:val="21"/>
        </w:rPr>
      </w:pPr>
      <w:r>
        <w:rPr>
          <w:rFonts w:hint="eastAsia"/>
          <w:sz w:val="21"/>
          <w:szCs w:val="21"/>
        </w:rPr>
        <w:t xml:space="preserve">（4）估值错误调整采用尽量恢复至假设未发生估值错误的正确情形的方式。 </w:t>
      </w:r>
    </w:p>
    <w:p>
      <w:pPr>
        <w:pStyle w:val="7"/>
        <w:spacing w:before="0" w:beforeAutospacing="0" w:after="0" w:afterAutospacing="0" w:line="360" w:lineRule="auto"/>
        <w:ind w:firstLine="420"/>
        <w:rPr>
          <w:sz w:val="21"/>
          <w:szCs w:val="21"/>
        </w:rPr>
      </w:pPr>
      <w:r>
        <w:rPr>
          <w:rFonts w:hint="eastAsia"/>
          <w:sz w:val="21"/>
          <w:szCs w:val="21"/>
        </w:rPr>
        <w:t xml:space="preserve">3、估值错误处理程序 </w:t>
      </w:r>
    </w:p>
    <w:p>
      <w:pPr>
        <w:pStyle w:val="7"/>
        <w:spacing w:before="0" w:beforeAutospacing="0" w:after="0" w:afterAutospacing="0" w:line="360" w:lineRule="auto"/>
        <w:ind w:firstLine="420"/>
        <w:rPr>
          <w:sz w:val="21"/>
          <w:szCs w:val="21"/>
        </w:rPr>
      </w:pPr>
      <w:r>
        <w:rPr>
          <w:rFonts w:hint="eastAsia"/>
          <w:sz w:val="21"/>
          <w:szCs w:val="21"/>
        </w:rPr>
        <w:t xml:space="preserve">估值错误被发现后，有关的当事人应当及时进行处理，处理的程序如下： </w:t>
      </w:r>
    </w:p>
    <w:p>
      <w:pPr>
        <w:pStyle w:val="7"/>
        <w:spacing w:before="0" w:beforeAutospacing="0" w:after="0" w:afterAutospacing="0" w:line="360" w:lineRule="auto"/>
        <w:ind w:firstLine="420"/>
        <w:rPr>
          <w:sz w:val="21"/>
          <w:szCs w:val="21"/>
        </w:rPr>
      </w:pPr>
      <w:r>
        <w:rPr>
          <w:rFonts w:hint="eastAsia"/>
          <w:sz w:val="21"/>
          <w:szCs w:val="21"/>
        </w:rPr>
        <w:t xml:space="preserve">（1）查明估值错误发生的原因，列明所有的当事人，并根据估值错误发生的原因确定估值错误的责任方； </w:t>
      </w:r>
    </w:p>
    <w:p>
      <w:pPr>
        <w:pStyle w:val="7"/>
        <w:spacing w:before="0" w:beforeAutospacing="0" w:after="0" w:afterAutospacing="0" w:line="360" w:lineRule="auto"/>
        <w:ind w:firstLine="420"/>
        <w:rPr>
          <w:sz w:val="21"/>
          <w:szCs w:val="21"/>
        </w:rPr>
      </w:pPr>
      <w:r>
        <w:rPr>
          <w:rFonts w:hint="eastAsia"/>
          <w:sz w:val="21"/>
          <w:szCs w:val="21"/>
        </w:rPr>
        <w:t xml:space="preserve">（2）根据估值错误处理原则或当事人协商的方法对因估值错误造成的损失进行评估； </w:t>
      </w:r>
    </w:p>
    <w:p>
      <w:pPr>
        <w:pStyle w:val="7"/>
        <w:spacing w:before="0" w:beforeAutospacing="0" w:after="0" w:afterAutospacing="0" w:line="360" w:lineRule="auto"/>
        <w:ind w:firstLine="420"/>
        <w:rPr>
          <w:sz w:val="21"/>
          <w:szCs w:val="21"/>
        </w:rPr>
      </w:pPr>
      <w:r>
        <w:rPr>
          <w:rFonts w:hint="eastAsia"/>
          <w:sz w:val="21"/>
          <w:szCs w:val="21"/>
        </w:rPr>
        <w:t xml:space="preserve">（3）根据估值错误处理原则或当事人协商的方法由估值错误的责任方进行更正和赔偿损失； </w:t>
      </w:r>
    </w:p>
    <w:p>
      <w:pPr>
        <w:pStyle w:val="7"/>
        <w:spacing w:before="0" w:beforeAutospacing="0" w:after="0" w:afterAutospacing="0" w:line="360" w:lineRule="auto"/>
        <w:ind w:firstLine="420"/>
        <w:rPr>
          <w:sz w:val="21"/>
          <w:szCs w:val="21"/>
        </w:rPr>
      </w:pPr>
      <w:r>
        <w:rPr>
          <w:rFonts w:hint="eastAsia"/>
          <w:sz w:val="21"/>
          <w:szCs w:val="21"/>
        </w:rPr>
        <w:t xml:space="preserve">（4）根据估值错误处理的方法，需要修改基金登记机构交易数据的，由基金登记机构进行更正，并就估值错误的更正向有关当事人进行确认。 </w:t>
      </w:r>
    </w:p>
    <w:p>
      <w:pPr>
        <w:pStyle w:val="7"/>
        <w:spacing w:before="0" w:beforeAutospacing="0" w:after="0" w:afterAutospacing="0" w:line="360" w:lineRule="auto"/>
        <w:ind w:firstLine="420"/>
        <w:rPr>
          <w:sz w:val="21"/>
          <w:szCs w:val="21"/>
        </w:rPr>
      </w:pPr>
      <w:r>
        <w:rPr>
          <w:rFonts w:hint="eastAsia"/>
          <w:sz w:val="21"/>
          <w:szCs w:val="21"/>
        </w:rPr>
        <w:t xml:space="preserve">4、基金份额净值估值错误处理的方法如下： </w:t>
      </w:r>
    </w:p>
    <w:p>
      <w:pPr>
        <w:pStyle w:val="7"/>
        <w:spacing w:before="0" w:beforeAutospacing="0" w:after="0" w:afterAutospacing="0" w:line="360" w:lineRule="auto"/>
        <w:ind w:firstLine="420"/>
        <w:rPr>
          <w:sz w:val="21"/>
          <w:szCs w:val="21"/>
        </w:rPr>
      </w:pPr>
      <w:r>
        <w:rPr>
          <w:rFonts w:hint="eastAsia"/>
          <w:sz w:val="21"/>
          <w:szCs w:val="21"/>
        </w:rPr>
        <w:t xml:space="preserve">（1）基金份额净值计算出现错误时，基金管理人应当立即予以纠正，通报基金托管人，并采取合理的措施防止损失进一步扩大。 </w:t>
      </w:r>
    </w:p>
    <w:p>
      <w:pPr>
        <w:pStyle w:val="7"/>
        <w:spacing w:before="0" w:beforeAutospacing="0" w:after="0" w:afterAutospacing="0" w:line="360" w:lineRule="auto"/>
        <w:ind w:firstLine="420"/>
        <w:rPr>
          <w:sz w:val="21"/>
          <w:szCs w:val="21"/>
        </w:rPr>
      </w:pPr>
      <w:r>
        <w:rPr>
          <w:rFonts w:hint="eastAsia"/>
          <w:sz w:val="21"/>
          <w:szCs w:val="21"/>
        </w:rPr>
        <w:t xml:space="preserve">（2）错误偏差达到基金份额净值的0.25%时，基金管理人应当通报基金托管人并报中国证监会备案；错误偏差达到基金份额净值的0.5%时，基金管理人应当公告。 </w:t>
      </w:r>
    </w:p>
    <w:p>
      <w:pPr>
        <w:pStyle w:val="7"/>
        <w:spacing w:before="0" w:beforeAutospacing="0" w:after="0" w:afterAutospacing="0" w:line="360" w:lineRule="auto"/>
        <w:ind w:firstLine="420"/>
        <w:rPr>
          <w:sz w:val="21"/>
          <w:szCs w:val="21"/>
        </w:rPr>
      </w:pPr>
      <w:r>
        <w:rPr>
          <w:rFonts w:hint="eastAsia"/>
          <w:sz w:val="21"/>
          <w:szCs w:val="21"/>
        </w:rPr>
        <w:t xml:space="preserve">（3）当基金份额净值计算差错给基金和基金份额持有人造成损失需要进行赔偿时，基金管理人和基金托管人应根据实际情况界定双方承担的责任，经确认后按以下条款进行赔偿： </w:t>
      </w:r>
    </w:p>
    <w:p>
      <w:pPr>
        <w:pStyle w:val="7"/>
        <w:spacing w:before="0" w:beforeAutospacing="0" w:after="0" w:afterAutospacing="0" w:line="360" w:lineRule="auto"/>
        <w:ind w:firstLine="420"/>
        <w:rPr>
          <w:sz w:val="21"/>
          <w:szCs w:val="21"/>
        </w:rPr>
      </w:pPr>
      <w:r>
        <w:rPr>
          <w:rFonts w:hint="eastAsia"/>
          <w:sz w:val="21"/>
          <w:szCs w:val="21"/>
        </w:rPr>
        <w:t xml:space="preserve">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 </w:t>
      </w:r>
    </w:p>
    <w:p>
      <w:pPr>
        <w:pStyle w:val="7"/>
        <w:spacing w:before="0" w:beforeAutospacing="0" w:after="0" w:afterAutospacing="0" w:line="360" w:lineRule="auto"/>
        <w:ind w:firstLine="420"/>
        <w:rPr>
          <w:sz w:val="21"/>
          <w:szCs w:val="21"/>
        </w:rPr>
      </w:pPr>
      <w:r>
        <w:rPr>
          <w:rFonts w:hint="eastAsia"/>
          <w:sz w:val="21"/>
          <w:szCs w:val="21"/>
        </w:rPr>
        <w:t xml:space="preserve">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 </w:t>
      </w:r>
    </w:p>
    <w:p>
      <w:pPr>
        <w:pStyle w:val="7"/>
        <w:spacing w:before="0" w:beforeAutospacing="0" w:after="0" w:afterAutospacing="0" w:line="360" w:lineRule="auto"/>
        <w:ind w:firstLine="420"/>
        <w:rPr>
          <w:sz w:val="21"/>
          <w:szCs w:val="21"/>
        </w:rPr>
      </w:pPr>
      <w:r>
        <w:rPr>
          <w:rFonts w:hint="eastAsia"/>
          <w:sz w:val="21"/>
          <w:szCs w:val="21"/>
        </w:rPr>
        <w:t xml:space="preserve">③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 </w:t>
      </w:r>
    </w:p>
    <w:p>
      <w:pPr>
        <w:pStyle w:val="7"/>
        <w:spacing w:before="0" w:beforeAutospacing="0" w:after="0" w:afterAutospacing="0" w:line="360" w:lineRule="auto"/>
        <w:ind w:firstLine="420"/>
        <w:rPr>
          <w:sz w:val="21"/>
          <w:szCs w:val="21"/>
        </w:rPr>
      </w:pPr>
      <w:r>
        <w:rPr>
          <w:rFonts w:hint="eastAsia"/>
          <w:sz w:val="21"/>
          <w:szCs w:val="21"/>
        </w:rPr>
        <w:t xml:space="preserve">④由于基金管理人提供的信息错误（包括但不限于基金申购或赎回金额等），进而导致基金份额净值计算错误而引起的基金份额持有人和基金财产的损失，由基金管理人负责赔付。 </w:t>
      </w:r>
    </w:p>
    <w:p>
      <w:pPr>
        <w:pStyle w:val="7"/>
        <w:spacing w:before="0" w:beforeAutospacing="0" w:after="0" w:afterAutospacing="0" w:line="360" w:lineRule="auto"/>
        <w:ind w:firstLine="420"/>
        <w:rPr>
          <w:sz w:val="21"/>
          <w:szCs w:val="21"/>
        </w:rPr>
      </w:pPr>
      <w:r>
        <w:rPr>
          <w:rFonts w:hint="eastAsia"/>
          <w:sz w:val="21"/>
          <w:szCs w:val="21"/>
        </w:rPr>
        <w:t xml:space="preserve">（4）基金管理人和基金托管人由于各自技术系统设置而产生的净值计算尾差，以基金管理人计算结果为准。 </w:t>
      </w:r>
    </w:p>
    <w:p>
      <w:pPr>
        <w:pStyle w:val="7"/>
        <w:spacing w:before="0" w:beforeAutospacing="0" w:after="0" w:afterAutospacing="0" w:line="360" w:lineRule="auto"/>
        <w:ind w:firstLine="420"/>
        <w:rPr>
          <w:sz w:val="21"/>
          <w:szCs w:val="21"/>
        </w:rPr>
      </w:pPr>
      <w:r>
        <w:rPr>
          <w:rFonts w:hint="eastAsia"/>
          <w:sz w:val="21"/>
          <w:szCs w:val="21"/>
        </w:rPr>
        <w:t xml:space="preserve">（5）前述内容如法律法规或监管机关另有规定的，从其规定处理。 </w:t>
      </w:r>
    </w:p>
    <w:p>
      <w:pPr>
        <w:pStyle w:val="7"/>
        <w:spacing w:before="0" w:beforeAutospacing="0" w:after="0" w:afterAutospacing="0" w:line="360" w:lineRule="auto"/>
        <w:ind w:firstLine="420"/>
        <w:rPr>
          <w:sz w:val="21"/>
          <w:szCs w:val="21"/>
        </w:rPr>
      </w:pPr>
      <w:r>
        <w:rPr>
          <w:rStyle w:val="11"/>
          <w:rFonts w:hint="eastAsia"/>
          <w:sz w:val="21"/>
          <w:szCs w:val="21"/>
        </w:rPr>
        <w:t>六、暂停估值的情形</w:t>
      </w:r>
    </w:p>
    <w:p>
      <w:pPr>
        <w:pStyle w:val="7"/>
        <w:spacing w:before="0" w:beforeAutospacing="0" w:after="0" w:afterAutospacing="0" w:line="360" w:lineRule="auto"/>
        <w:ind w:firstLine="420"/>
        <w:rPr>
          <w:sz w:val="21"/>
          <w:szCs w:val="21"/>
        </w:rPr>
      </w:pPr>
      <w:r>
        <w:rPr>
          <w:rFonts w:hint="eastAsia"/>
          <w:sz w:val="21"/>
          <w:szCs w:val="21"/>
        </w:rPr>
        <w:t xml:space="preserve">1、基金投资所涉及的证券、期货交易市场遇法定节假日或因其他原因暂停营业时；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2、因不可抗力致使基金管理人、基金托管人无法准确评估基金资产价值时；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pPr>
        <w:pStyle w:val="7"/>
        <w:spacing w:before="0" w:beforeAutospacing="0" w:after="0" w:afterAutospacing="0" w:line="360" w:lineRule="auto"/>
        <w:ind w:firstLine="420"/>
        <w:rPr>
          <w:sz w:val="21"/>
          <w:szCs w:val="21"/>
        </w:rPr>
      </w:pPr>
      <w:r>
        <w:rPr>
          <w:rFonts w:hint="eastAsia"/>
          <w:sz w:val="21"/>
          <w:szCs w:val="21"/>
        </w:rPr>
        <w:t xml:space="preserve">4、法律法规规定、中国证监会和基金合同认定的其它情形。 </w:t>
      </w:r>
    </w:p>
    <w:p>
      <w:pPr>
        <w:pStyle w:val="7"/>
        <w:spacing w:before="0" w:beforeAutospacing="0" w:after="0" w:afterAutospacing="0" w:line="360" w:lineRule="auto"/>
        <w:ind w:firstLine="420"/>
        <w:rPr>
          <w:sz w:val="21"/>
          <w:szCs w:val="21"/>
        </w:rPr>
      </w:pPr>
      <w:r>
        <w:rPr>
          <w:rStyle w:val="11"/>
          <w:rFonts w:hint="eastAsia"/>
          <w:sz w:val="21"/>
          <w:szCs w:val="21"/>
        </w:rPr>
        <w:t>七、基金净值的确认</w:t>
      </w:r>
    </w:p>
    <w:p>
      <w:pPr>
        <w:pStyle w:val="7"/>
        <w:spacing w:before="0" w:beforeAutospacing="0" w:after="0" w:afterAutospacing="0" w:line="360" w:lineRule="auto"/>
        <w:ind w:firstLine="420"/>
        <w:rPr>
          <w:sz w:val="21"/>
          <w:szCs w:val="21"/>
        </w:rPr>
      </w:pPr>
      <w:r>
        <w:rPr>
          <w:rFonts w:hint="eastAsia"/>
          <w:sz w:val="21"/>
          <w:szCs w:val="21"/>
        </w:rPr>
        <w:t xml:space="preserve">基金资产净值和两类基金份额净值由基金管理人负责计算，基金托管人负责进行复核。基金管理人应于每个开放日交易结束后计算当日的基金资产净值和两类基金份额净值并发送给基金托管人。基金托管人对净值计算结果复核确认后发送给基金管理人，由基金管理人对基金净值按约定予以公布。 </w:t>
      </w:r>
    </w:p>
    <w:p>
      <w:pPr>
        <w:pStyle w:val="7"/>
        <w:spacing w:before="0" w:beforeAutospacing="0" w:after="0" w:afterAutospacing="0" w:line="360" w:lineRule="auto"/>
        <w:ind w:firstLine="420"/>
        <w:rPr>
          <w:sz w:val="21"/>
          <w:szCs w:val="21"/>
        </w:rPr>
      </w:pPr>
      <w:r>
        <w:rPr>
          <w:rStyle w:val="11"/>
          <w:rFonts w:hint="eastAsia"/>
          <w:sz w:val="21"/>
          <w:szCs w:val="21"/>
        </w:rPr>
        <w:t>八、特殊情况的处理方法</w:t>
      </w:r>
    </w:p>
    <w:p>
      <w:pPr>
        <w:pStyle w:val="7"/>
        <w:spacing w:before="0" w:beforeAutospacing="0" w:after="0" w:afterAutospacing="0" w:line="360" w:lineRule="auto"/>
        <w:ind w:firstLine="420"/>
        <w:rPr>
          <w:sz w:val="21"/>
          <w:szCs w:val="21"/>
        </w:rPr>
      </w:pPr>
      <w:r>
        <w:rPr>
          <w:rFonts w:hint="eastAsia"/>
          <w:sz w:val="21"/>
          <w:szCs w:val="21"/>
        </w:rPr>
        <w:t xml:space="preserve">1、基金管理人或基金托管人按估值方法的第7项进行估值时，所造成的误差不作为基金资产估值错误处理。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w:t>
      </w:r>
      <w:bookmarkStart w:id="158" w:name="chapter_level1_14_63_section_2_end"/>
      <w:bookmarkEnd w:id="158"/>
      <w:r>
        <w:rPr>
          <w:rFonts w:hint="eastAsia"/>
          <w:sz w:val="21"/>
          <w:szCs w:val="21"/>
        </w:rPr>
        <w:t xml:space="preserve">但基金管理人和基金托管人应当积极采取必要的措施消除或减轻由此造成的影响。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9" w:name="chapter_level1_15_64"/>
      <w:bookmarkStart w:id="160" w:name="_Toc113628543"/>
      <w:r>
        <w:rPr>
          <w:rFonts w:hint="eastAsia" w:ascii="宋体" w:hAnsi="宋体" w:eastAsia="宋体"/>
          <w:sz w:val="30"/>
        </w:rPr>
        <w:t>第十二部分  基金的收益分配</w:t>
      </w:r>
      <w:bookmarkEnd w:id="159"/>
      <w:bookmarkEnd w:id="160"/>
    </w:p>
    <w:p>
      <w:pPr>
        <w:pStyle w:val="7"/>
        <w:spacing w:before="0" w:beforeAutospacing="0" w:after="0" w:afterAutospacing="0" w:line="360" w:lineRule="auto"/>
        <w:ind w:firstLine="420"/>
        <w:rPr>
          <w:sz w:val="21"/>
          <w:szCs w:val="21"/>
        </w:rPr>
      </w:pPr>
      <w:bookmarkStart w:id="161" w:name="chapter_level1_15_64_section_1"/>
      <w:bookmarkEnd w:id="161"/>
      <w:r>
        <w:rPr>
          <w:rStyle w:val="11"/>
          <w:rFonts w:hint="eastAsia"/>
          <w:sz w:val="21"/>
          <w:szCs w:val="21"/>
        </w:rPr>
        <w:t>一、基金利润的构成</w:t>
      </w:r>
    </w:p>
    <w:p>
      <w:pPr>
        <w:pStyle w:val="7"/>
        <w:spacing w:before="0" w:beforeAutospacing="0" w:after="0" w:afterAutospacing="0" w:line="360" w:lineRule="auto"/>
        <w:ind w:firstLine="420"/>
        <w:rPr>
          <w:sz w:val="21"/>
          <w:szCs w:val="21"/>
        </w:rPr>
      </w:pPr>
      <w:r>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pPr>
        <w:pStyle w:val="7"/>
        <w:spacing w:before="0" w:beforeAutospacing="0" w:after="0" w:afterAutospacing="0" w:line="360" w:lineRule="auto"/>
        <w:ind w:firstLine="420"/>
        <w:rPr>
          <w:sz w:val="21"/>
          <w:szCs w:val="21"/>
        </w:rPr>
      </w:pPr>
      <w:r>
        <w:rPr>
          <w:rStyle w:val="11"/>
          <w:rFonts w:hint="eastAsia"/>
          <w:sz w:val="21"/>
          <w:szCs w:val="21"/>
        </w:rPr>
        <w:t>二、基金可供分配利润</w:t>
      </w:r>
    </w:p>
    <w:p>
      <w:pPr>
        <w:pStyle w:val="7"/>
        <w:spacing w:before="0" w:beforeAutospacing="0" w:after="0" w:afterAutospacing="0" w:line="360" w:lineRule="auto"/>
        <w:ind w:firstLine="420"/>
        <w:rPr>
          <w:sz w:val="21"/>
          <w:szCs w:val="21"/>
        </w:rPr>
      </w:pPr>
      <w:r>
        <w:rPr>
          <w:rFonts w:hint="eastAsia"/>
          <w:sz w:val="21"/>
          <w:szCs w:val="21"/>
        </w:rPr>
        <w:t xml:space="preserve">基金可供分配利润指截至收益分配基准日基金未分配利润与未分配利润中已实现收益的孰低数。 </w:t>
      </w:r>
    </w:p>
    <w:p>
      <w:pPr>
        <w:pStyle w:val="7"/>
        <w:spacing w:before="0" w:beforeAutospacing="0" w:after="0" w:afterAutospacing="0" w:line="360" w:lineRule="auto"/>
        <w:ind w:firstLine="420"/>
        <w:rPr>
          <w:sz w:val="21"/>
          <w:szCs w:val="21"/>
        </w:rPr>
      </w:pPr>
      <w:r>
        <w:rPr>
          <w:rStyle w:val="11"/>
          <w:rFonts w:hint="eastAsia"/>
          <w:sz w:val="21"/>
          <w:szCs w:val="21"/>
        </w:rPr>
        <w:t>三、基金收益分配原则</w:t>
      </w:r>
    </w:p>
    <w:p>
      <w:pPr>
        <w:pStyle w:val="7"/>
        <w:spacing w:before="0" w:beforeAutospacing="0" w:after="0" w:afterAutospacing="0" w:line="360" w:lineRule="auto"/>
        <w:ind w:firstLine="420"/>
        <w:rPr>
          <w:sz w:val="21"/>
          <w:szCs w:val="21"/>
        </w:rPr>
      </w:pPr>
      <w:r>
        <w:rPr>
          <w:rFonts w:hint="eastAsia"/>
          <w:sz w:val="21"/>
          <w:szCs w:val="21"/>
        </w:rPr>
        <w:t xml:space="preserve">1、由于本基金A类基金份额不收取销售服务费，而C类基金份额收取销售服务费，各基金份额类别对应的可供分配利润将有所不同，本基金同一类别的每一基金份额享有同等分配权； </w:t>
      </w:r>
    </w:p>
    <w:p>
      <w:pPr>
        <w:pStyle w:val="7"/>
        <w:spacing w:before="0" w:beforeAutospacing="0" w:after="0" w:afterAutospacing="0" w:line="360" w:lineRule="auto"/>
        <w:ind w:firstLine="420"/>
        <w:rPr>
          <w:sz w:val="21"/>
          <w:szCs w:val="21"/>
        </w:rPr>
      </w:pPr>
      <w:r>
        <w:rPr>
          <w:rFonts w:hint="eastAsia"/>
          <w:sz w:val="21"/>
          <w:szCs w:val="21"/>
        </w:rPr>
        <w:t xml:space="preserve">2、本基金收益分配方式分两种：现金分红与红利再投资，投资者可选择现金红利或将现金红利自动转为相应类别基金份额进行再投资；若投资者不选择，本基金默认的收益分配方式是现金分红； </w:t>
      </w:r>
    </w:p>
    <w:p>
      <w:pPr>
        <w:pStyle w:val="7"/>
        <w:spacing w:before="0" w:beforeAutospacing="0" w:after="0" w:afterAutospacing="0" w:line="360" w:lineRule="auto"/>
        <w:ind w:firstLine="420"/>
        <w:rPr>
          <w:sz w:val="21"/>
          <w:szCs w:val="21"/>
        </w:rPr>
      </w:pPr>
      <w:r>
        <w:rPr>
          <w:rFonts w:hint="eastAsia"/>
          <w:sz w:val="21"/>
          <w:szCs w:val="21"/>
        </w:rPr>
        <w:t xml:space="preserve">3、基金收益分配后两类基金份额净值不能低于面值，即基金收益分配基准日的两类基金份额净值减去每单位基金份额收益分配金额后不能低于面值； </w:t>
      </w:r>
    </w:p>
    <w:p>
      <w:pPr>
        <w:pStyle w:val="7"/>
        <w:spacing w:before="0" w:beforeAutospacing="0" w:after="0" w:afterAutospacing="0" w:line="360" w:lineRule="auto"/>
        <w:ind w:firstLine="420"/>
        <w:rPr>
          <w:sz w:val="21"/>
          <w:szCs w:val="21"/>
        </w:rPr>
      </w:pPr>
      <w:bookmarkStart w:id="162" w:name="chapter_level1_15_64_section_1_end"/>
      <w:bookmarkEnd w:id="162"/>
      <w:r>
        <w:rPr>
          <w:rFonts w:hint="eastAsia"/>
          <w:sz w:val="21"/>
          <w:szCs w:val="21"/>
        </w:rPr>
        <w:t xml:space="preserve">4、法律法规或监管机关另有规定的，从其规定。 </w:t>
      </w:r>
    </w:p>
    <w:p>
      <w:pPr>
        <w:pStyle w:val="7"/>
        <w:spacing w:before="0" w:beforeAutospacing="0" w:after="0" w:afterAutospacing="0" w:line="360" w:lineRule="auto"/>
        <w:ind w:firstLine="420"/>
        <w:rPr>
          <w:sz w:val="21"/>
          <w:szCs w:val="21"/>
        </w:rPr>
      </w:pPr>
      <w:bookmarkStart w:id="163" w:name="chapter_level1_15_64_section_2"/>
      <w:bookmarkEnd w:id="163"/>
      <w:r>
        <w:rPr>
          <w:rStyle w:val="11"/>
          <w:rFonts w:hint="eastAsia"/>
          <w:sz w:val="21"/>
          <w:szCs w:val="21"/>
        </w:rPr>
        <w:t>四、收益分配方案</w:t>
      </w:r>
    </w:p>
    <w:p>
      <w:pPr>
        <w:pStyle w:val="7"/>
        <w:spacing w:before="0" w:beforeAutospacing="0" w:after="0" w:afterAutospacing="0" w:line="360" w:lineRule="auto"/>
        <w:ind w:firstLine="420"/>
        <w:rPr>
          <w:sz w:val="21"/>
          <w:szCs w:val="21"/>
        </w:rPr>
      </w:pPr>
      <w:r>
        <w:rPr>
          <w:rFonts w:hint="eastAsia"/>
          <w:sz w:val="21"/>
          <w:szCs w:val="21"/>
        </w:rPr>
        <w:t xml:space="preserve">基金收益分配方案中应载明截止收益分配基准日的可供分配利润、基金收益分配对象、分配时间、分配数额及比例、分配方式等内容。 </w:t>
      </w:r>
    </w:p>
    <w:p>
      <w:pPr>
        <w:pStyle w:val="7"/>
        <w:spacing w:before="0" w:beforeAutospacing="0" w:after="0" w:afterAutospacing="0" w:line="360" w:lineRule="auto"/>
        <w:ind w:firstLine="420"/>
        <w:rPr>
          <w:sz w:val="21"/>
          <w:szCs w:val="21"/>
        </w:rPr>
      </w:pPr>
      <w:r>
        <w:rPr>
          <w:rStyle w:val="11"/>
          <w:rFonts w:hint="eastAsia"/>
          <w:sz w:val="21"/>
          <w:szCs w:val="21"/>
        </w:rPr>
        <w:t>五、收益分配方案的确定、公告与实施</w:t>
      </w:r>
    </w:p>
    <w:p>
      <w:pPr>
        <w:pStyle w:val="7"/>
        <w:spacing w:before="0" w:beforeAutospacing="0" w:after="0" w:afterAutospacing="0" w:line="360" w:lineRule="auto"/>
        <w:ind w:firstLine="420"/>
        <w:rPr>
          <w:sz w:val="21"/>
          <w:szCs w:val="21"/>
        </w:rPr>
      </w:pPr>
      <w:r>
        <w:rPr>
          <w:rFonts w:hint="eastAsia"/>
          <w:sz w:val="21"/>
          <w:szCs w:val="21"/>
        </w:rPr>
        <w:t xml:space="preserve">本基金收益分配方案由基金管理人拟定，并由基金托管人复核，依照《信息披露办法》的有关规定在指定媒介公告。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基金红利发放日距离收益分配基准日（即可供分配利润计算截止日）的时间不得超过15个工作日。 </w:t>
      </w:r>
    </w:p>
    <w:p>
      <w:pPr>
        <w:pStyle w:val="7"/>
        <w:spacing w:before="0" w:beforeAutospacing="0" w:after="0" w:afterAutospacing="0" w:line="360" w:lineRule="auto"/>
        <w:ind w:firstLine="420"/>
        <w:rPr>
          <w:sz w:val="21"/>
          <w:szCs w:val="21"/>
        </w:rPr>
      </w:pPr>
      <w:r>
        <w:rPr>
          <w:rStyle w:val="11"/>
          <w:rFonts w:hint="eastAsia"/>
          <w:sz w:val="21"/>
          <w:szCs w:val="21"/>
        </w:rPr>
        <w:t>六、基金收益分配中发生的费用</w:t>
      </w:r>
    </w:p>
    <w:p>
      <w:pPr>
        <w:pStyle w:val="7"/>
        <w:spacing w:before="0" w:beforeAutospacing="0" w:after="0" w:afterAutospacing="0" w:line="360" w:lineRule="auto"/>
        <w:ind w:firstLine="420"/>
        <w:rPr>
          <w:sz w:val="21"/>
          <w:szCs w:val="21"/>
        </w:rPr>
      </w:pPr>
      <w:r>
        <w:rPr>
          <w:rFonts w:hint="eastAsia"/>
          <w:sz w:val="21"/>
          <w:szCs w:val="21"/>
        </w:rPr>
        <w:t>基金收益分配时所发生的银行转账或其他手续费用由投资者自行承担。当投资者的现金红利小于一定金额，不足以支付银行转账或其他手续费用时，基金登记机构可将基金份额持</w:t>
      </w:r>
      <w:bookmarkStart w:id="164" w:name="chapter_level1_15_64_section_2_end"/>
      <w:bookmarkEnd w:id="164"/>
      <w:r>
        <w:rPr>
          <w:rFonts w:hint="eastAsia"/>
          <w:sz w:val="21"/>
          <w:szCs w:val="21"/>
        </w:rPr>
        <w:t xml:space="preserve">有人的现金红利自动转为基金份额。红利再投资的计算方法，依照《业务规则》执行。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5" w:name="chapter_level1_16_65"/>
      <w:bookmarkStart w:id="166" w:name="_Toc113628544"/>
      <w:r>
        <w:rPr>
          <w:rFonts w:hint="eastAsia" w:ascii="宋体" w:hAnsi="宋体" w:eastAsia="宋体"/>
          <w:sz w:val="30"/>
        </w:rPr>
        <w:t>第十三部分  基金费用与税收</w:t>
      </w:r>
      <w:bookmarkEnd w:id="165"/>
      <w:bookmarkEnd w:id="166"/>
    </w:p>
    <w:p>
      <w:pPr>
        <w:pStyle w:val="7"/>
        <w:spacing w:before="0" w:beforeAutospacing="0" w:after="0" w:afterAutospacing="0" w:line="360" w:lineRule="auto"/>
        <w:ind w:firstLine="420"/>
        <w:rPr>
          <w:sz w:val="21"/>
          <w:szCs w:val="21"/>
        </w:rPr>
      </w:pPr>
      <w:bookmarkStart w:id="167" w:name="chapter_level1_16_65_section_1"/>
      <w:bookmarkEnd w:id="167"/>
      <w:r>
        <w:rPr>
          <w:rStyle w:val="11"/>
          <w:rFonts w:hint="eastAsia"/>
          <w:sz w:val="21"/>
          <w:szCs w:val="21"/>
        </w:rPr>
        <w:t>一、基金费用的种类</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 xml:space="preserve">3、C类基金份额的销售服务费； </w:t>
      </w:r>
    </w:p>
    <w:p>
      <w:pPr>
        <w:pStyle w:val="7"/>
        <w:spacing w:before="0" w:beforeAutospacing="0" w:after="0" w:afterAutospacing="0" w:line="360" w:lineRule="auto"/>
        <w:ind w:firstLine="420"/>
        <w:rPr>
          <w:sz w:val="21"/>
          <w:szCs w:val="21"/>
        </w:rPr>
      </w:pPr>
      <w:r>
        <w:rPr>
          <w:rFonts w:hint="eastAsia"/>
          <w:sz w:val="21"/>
          <w:szCs w:val="21"/>
        </w:rPr>
        <w:t xml:space="preserve">4、《基金合同》生效后与基金相关的信息披露费用，法律法规、中国证监会另有规定的除外；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5、《基金合同》生效后与基金相关的会计师费、律师费、诉讼费和仲裁费； </w:t>
      </w:r>
    </w:p>
    <w:p>
      <w:pPr>
        <w:pStyle w:val="7"/>
        <w:spacing w:before="0" w:beforeAutospacing="0" w:after="0" w:afterAutospacing="0" w:line="360" w:lineRule="auto"/>
        <w:ind w:firstLine="420"/>
        <w:rPr>
          <w:sz w:val="21"/>
          <w:szCs w:val="21"/>
        </w:rPr>
      </w:pPr>
      <w:r>
        <w:rPr>
          <w:rFonts w:hint="eastAsia"/>
          <w:sz w:val="21"/>
          <w:szCs w:val="21"/>
        </w:rPr>
        <w:t xml:space="preserve">6、基金份额持有人大会费用； </w:t>
      </w:r>
    </w:p>
    <w:p>
      <w:pPr>
        <w:pStyle w:val="7"/>
        <w:spacing w:before="0" w:beforeAutospacing="0" w:after="0" w:afterAutospacing="0" w:line="360" w:lineRule="auto"/>
        <w:ind w:firstLine="420"/>
        <w:rPr>
          <w:sz w:val="21"/>
          <w:szCs w:val="21"/>
        </w:rPr>
      </w:pPr>
      <w:r>
        <w:rPr>
          <w:rFonts w:hint="eastAsia"/>
          <w:sz w:val="21"/>
          <w:szCs w:val="21"/>
        </w:rPr>
        <w:t xml:space="preserve">7、基金的证券、期货交易费用； </w:t>
      </w:r>
    </w:p>
    <w:p>
      <w:pPr>
        <w:pStyle w:val="7"/>
        <w:spacing w:before="0" w:beforeAutospacing="0" w:after="0" w:afterAutospacing="0" w:line="360" w:lineRule="auto"/>
        <w:ind w:firstLine="420"/>
        <w:rPr>
          <w:sz w:val="21"/>
          <w:szCs w:val="21"/>
        </w:rPr>
      </w:pPr>
      <w:r>
        <w:rPr>
          <w:rFonts w:hint="eastAsia"/>
          <w:sz w:val="21"/>
          <w:szCs w:val="21"/>
        </w:rPr>
        <w:t xml:space="preserve">8、基金的银行汇划费用； </w:t>
      </w:r>
    </w:p>
    <w:p>
      <w:pPr>
        <w:pStyle w:val="7"/>
        <w:spacing w:before="0" w:beforeAutospacing="0" w:after="0" w:afterAutospacing="0" w:line="360" w:lineRule="auto"/>
        <w:ind w:firstLine="420"/>
        <w:rPr>
          <w:sz w:val="21"/>
          <w:szCs w:val="21"/>
        </w:rPr>
      </w:pPr>
      <w:r>
        <w:rPr>
          <w:rFonts w:hint="eastAsia"/>
          <w:sz w:val="21"/>
          <w:szCs w:val="21"/>
        </w:rPr>
        <w:t xml:space="preserve">9、基金的账户开户费用、账户维护费用； </w:t>
      </w:r>
    </w:p>
    <w:p>
      <w:pPr>
        <w:pStyle w:val="7"/>
        <w:spacing w:before="0" w:beforeAutospacing="0" w:after="0" w:afterAutospacing="0" w:line="360" w:lineRule="auto"/>
        <w:ind w:firstLine="420"/>
        <w:rPr>
          <w:sz w:val="21"/>
          <w:szCs w:val="21"/>
        </w:rPr>
      </w:pPr>
      <w:r>
        <w:rPr>
          <w:rFonts w:hint="eastAsia"/>
          <w:sz w:val="21"/>
          <w:szCs w:val="21"/>
        </w:rPr>
        <w:t xml:space="preserve">10、按照国家有关规定和《基金合同》约定，可以在基金财产中列支的其他费用。 </w:t>
      </w:r>
    </w:p>
    <w:p>
      <w:pPr>
        <w:pStyle w:val="7"/>
        <w:spacing w:before="0" w:beforeAutospacing="0" w:after="0" w:afterAutospacing="0" w:line="360" w:lineRule="auto"/>
        <w:ind w:firstLine="420"/>
        <w:rPr>
          <w:sz w:val="21"/>
          <w:szCs w:val="21"/>
        </w:rPr>
      </w:pPr>
      <w:r>
        <w:rPr>
          <w:rStyle w:val="11"/>
          <w:rFonts w:hint="eastAsia"/>
          <w:sz w:val="21"/>
          <w:szCs w:val="21"/>
        </w:rPr>
        <w:t>二、基金费用计提方法、计提标准和支付方式</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本基金的管理费按前一日基金资产净值的</w:t>
      </w:r>
      <w:bookmarkStart w:id="168" w:name="field_0_managementrate_1"/>
      <w:r>
        <w:rPr>
          <w:sz w:val="21"/>
          <w:szCs w:val="21"/>
        </w:rPr>
        <w:t>1.</w:t>
      </w:r>
      <w:r>
        <w:rPr>
          <w:rFonts w:hint="eastAsia"/>
          <w:sz w:val="21"/>
          <w:szCs w:val="21"/>
        </w:rPr>
        <w:t>2</w:t>
      </w:r>
      <w:r>
        <w:rPr>
          <w:sz w:val="21"/>
          <w:szCs w:val="21"/>
        </w:rPr>
        <w:t>0</w:t>
      </w:r>
      <w:bookmarkEnd w:id="168"/>
      <w:r>
        <w:rPr>
          <w:rFonts w:hint="eastAsia"/>
          <w:sz w:val="21"/>
          <w:szCs w:val="21"/>
        </w:rPr>
        <w:t xml:space="preserve">%年费率计提。管理费的计算方法如下：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69" w:name="field_0_managementrate_2"/>
      <w:r>
        <w:rPr>
          <w:sz w:val="21"/>
          <w:szCs w:val="21"/>
        </w:rPr>
        <w:t>1.</w:t>
      </w:r>
      <w:r>
        <w:rPr>
          <w:rFonts w:hint="eastAsia"/>
          <w:sz w:val="21"/>
          <w:szCs w:val="21"/>
        </w:rPr>
        <w:t>2</w:t>
      </w:r>
      <w:r>
        <w:rPr>
          <w:sz w:val="21"/>
          <w:szCs w:val="21"/>
        </w:rPr>
        <w:t>0</w:t>
      </w:r>
      <w:bookmarkEnd w:id="169"/>
      <w:r>
        <w:rPr>
          <w:rFonts w:hint="eastAsia"/>
          <w:sz w:val="21"/>
          <w:szCs w:val="21"/>
        </w:rPr>
        <w:t xml:space="preserve">%÷当年天数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H为每日应计提的基金管理费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管理费每日计算，逐日累计至每月月末，按月支付，由基金托管人根据与基金管理人核对一致的财务数据，自动在月初三个工作日内、按照指定的账户路径进行资金支付，基金管理人无需再出具资金划拨指令。若遇法定节假日、公休假等，支付日期顺延。费用自动扣划后，基金管理人应进行核对，如发现数据不符，及时联系基金托管人协商解决。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本基金的托管费按前一日基金资产净值的</w:t>
      </w:r>
      <w:bookmarkStart w:id="170" w:name="field_0_trusteerate_1"/>
      <w:r>
        <w:rPr>
          <w:sz w:val="21"/>
          <w:szCs w:val="21"/>
        </w:rPr>
        <w:t>0.2</w:t>
      </w:r>
      <w:bookmarkEnd w:id="170"/>
      <w:r>
        <w:rPr>
          <w:rFonts w:hint="eastAsia"/>
          <w:sz w:val="21"/>
          <w:szCs w:val="21"/>
        </w:rPr>
        <w:t xml:space="preserve">0%的年费率计提。托管费的计算方法如下：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71" w:name="field_0_trusteerate_2"/>
      <w:r>
        <w:rPr>
          <w:sz w:val="21"/>
          <w:szCs w:val="21"/>
        </w:rPr>
        <w:t>0.2</w:t>
      </w:r>
      <w:bookmarkEnd w:id="171"/>
      <w:r>
        <w:rPr>
          <w:rFonts w:hint="eastAsia"/>
          <w:sz w:val="21"/>
          <w:szCs w:val="21"/>
        </w:rPr>
        <w:t xml:space="preserve">0%÷当年天数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H为每日应计提的基金托管费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托管费每日计算，逐日累计至每月月末，按月支付，由基金托管人根据与基金管理人核对一致的财务数据，自动在月初三个工作日内、按照指定的账户路径进行资金支付，基金管理人无需再出具资金划拨指令。若遇法定节假日、公休日等，支付日期顺延。费用自动扣划后，基金管理人应进行核对，如发现数据不符，及时联系基金托管人协商解决。 </w:t>
      </w:r>
    </w:p>
    <w:p>
      <w:pPr>
        <w:pStyle w:val="7"/>
        <w:spacing w:before="0" w:beforeAutospacing="0" w:after="0" w:afterAutospacing="0" w:line="360" w:lineRule="auto"/>
        <w:ind w:firstLine="420"/>
        <w:rPr>
          <w:sz w:val="21"/>
          <w:szCs w:val="21"/>
        </w:rPr>
      </w:pPr>
      <w:r>
        <w:rPr>
          <w:rFonts w:hint="eastAsia"/>
          <w:sz w:val="21"/>
          <w:szCs w:val="21"/>
        </w:rPr>
        <w:t xml:space="preserve">3、销售服务费 </w:t>
      </w:r>
    </w:p>
    <w:p>
      <w:pPr>
        <w:pStyle w:val="7"/>
        <w:spacing w:before="0" w:beforeAutospacing="0" w:after="0" w:afterAutospacing="0" w:line="360" w:lineRule="auto"/>
        <w:ind w:firstLine="420"/>
        <w:rPr>
          <w:sz w:val="21"/>
          <w:szCs w:val="21"/>
        </w:rPr>
      </w:pPr>
      <w:r>
        <w:rPr>
          <w:rFonts w:hint="eastAsia"/>
          <w:sz w:val="21"/>
          <w:szCs w:val="21"/>
        </w:rPr>
        <w:t xml:space="preserve">本基金A类基金份额不收取销售服务费，C类基金份额的销售服务费年费率为0.50%。 </w:t>
      </w:r>
    </w:p>
    <w:p>
      <w:pPr>
        <w:pStyle w:val="7"/>
        <w:spacing w:before="0" w:beforeAutospacing="0" w:after="0" w:afterAutospacing="0" w:line="360" w:lineRule="auto"/>
        <w:ind w:firstLine="420"/>
        <w:rPr>
          <w:sz w:val="21"/>
          <w:szCs w:val="21"/>
        </w:rPr>
      </w:pPr>
      <w:r>
        <w:rPr>
          <w:rFonts w:hint="eastAsia"/>
          <w:sz w:val="21"/>
          <w:szCs w:val="21"/>
        </w:rPr>
        <w:t xml:space="preserve">本基金销售服务费按前一日C类基金份额的基金资产净值的0.50%年费率计提。 计算方法如下： </w:t>
      </w:r>
    </w:p>
    <w:p>
      <w:pPr>
        <w:pStyle w:val="7"/>
        <w:spacing w:before="0" w:beforeAutospacing="0" w:after="0" w:afterAutospacing="0" w:line="360" w:lineRule="auto"/>
        <w:ind w:firstLine="420"/>
        <w:rPr>
          <w:sz w:val="21"/>
          <w:szCs w:val="21"/>
        </w:rPr>
      </w:pPr>
      <w:r>
        <w:rPr>
          <w:rFonts w:hint="eastAsia"/>
          <w:sz w:val="21"/>
          <w:szCs w:val="21"/>
        </w:rPr>
        <w:t xml:space="preserve">H=E×0.50%÷当年天数 </w:t>
      </w:r>
    </w:p>
    <w:p>
      <w:pPr>
        <w:pStyle w:val="7"/>
        <w:spacing w:before="0" w:beforeAutospacing="0" w:after="0" w:afterAutospacing="0" w:line="360" w:lineRule="auto"/>
        <w:ind w:firstLine="420"/>
        <w:rPr>
          <w:sz w:val="21"/>
          <w:szCs w:val="21"/>
        </w:rPr>
      </w:pPr>
      <w:r>
        <w:rPr>
          <w:rFonts w:hint="eastAsia"/>
          <w:sz w:val="21"/>
          <w:szCs w:val="21"/>
        </w:rPr>
        <w:t xml:space="preserve">H为C类基金份额每日应计提的销售服务费 </w:t>
      </w:r>
    </w:p>
    <w:p>
      <w:pPr>
        <w:pStyle w:val="7"/>
        <w:spacing w:before="0" w:beforeAutospacing="0" w:after="0" w:afterAutospacing="0" w:line="360" w:lineRule="auto"/>
        <w:ind w:firstLine="420"/>
        <w:rPr>
          <w:sz w:val="21"/>
          <w:szCs w:val="21"/>
        </w:rPr>
      </w:pPr>
      <w:r>
        <w:rPr>
          <w:rFonts w:hint="eastAsia"/>
          <w:sz w:val="21"/>
          <w:szCs w:val="21"/>
        </w:rPr>
        <w:t xml:space="preserve">E为C类基金份额前一日基金资产净值 </w:t>
      </w:r>
    </w:p>
    <w:p>
      <w:pPr>
        <w:pStyle w:val="7"/>
        <w:spacing w:before="0" w:beforeAutospacing="0" w:after="0" w:afterAutospacing="0" w:line="360" w:lineRule="auto"/>
        <w:ind w:firstLine="420"/>
        <w:rPr>
          <w:sz w:val="21"/>
          <w:szCs w:val="21"/>
        </w:rPr>
      </w:pPr>
      <w:r>
        <w:rPr>
          <w:rFonts w:hint="eastAsia"/>
          <w:sz w:val="21"/>
          <w:szCs w:val="21"/>
        </w:rPr>
        <w:t xml:space="preserve">销售服务费每日计算，逐日累计至每月月末，按月支付。经基金管理人与基金托管人核对一致后，由基金托管人自动于次月首日起三个工作日内从基金财产中一次性支付至登记机构，由登记机构代付给销售机构。若遇法定节假日、公休日等，支付日期顺延。 </w:t>
      </w:r>
    </w:p>
    <w:p>
      <w:pPr>
        <w:pStyle w:val="7"/>
        <w:spacing w:before="0" w:beforeAutospacing="0" w:after="0" w:afterAutospacing="0" w:line="360" w:lineRule="auto"/>
        <w:ind w:firstLine="420"/>
        <w:rPr>
          <w:sz w:val="21"/>
          <w:szCs w:val="21"/>
        </w:rPr>
      </w:pPr>
      <w:r>
        <w:rPr>
          <w:rFonts w:hint="eastAsia"/>
          <w:sz w:val="21"/>
          <w:szCs w:val="21"/>
        </w:rPr>
        <w:t xml:space="preserve">销售服务费主要用于本基金持续销售以及基金份额持有人服务等各项费用。 </w:t>
      </w:r>
    </w:p>
    <w:p>
      <w:pPr>
        <w:pStyle w:val="7"/>
        <w:spacing w:before="0" w:beforeAutospacing="0" w:after="0" w:afterAutospacing="0" w:line="360" w:lineRule="auto"/>
        <w:ind w:firstLine="420"/>
        <w:rPr>
          <w:sz w:val="21"/>
          <w:szCs w:val="21"/>
        </w:rPr>
      </w:pPr>
      <w:r>
        <w:rPr>
          <w:rFonts w:hint="eastAsia"/>
          <w:sz w:val="21"/>
          <w:szCs w:val="21"/>
        </w:rPr>
        <w:t xml:space="preserve">上述“一、基金费用的种类中第4－10项费用”，根据有关法规及相应协议规定，按费用实际支出金额列入当期费用，由基金托管人从基金财产中支付。 </w:t>
      </w:r>
    </w:p>
    <w:p>
      <w:pPr>
        <w:pStyle w:val="7"/>
        <w:spacing w:before="0" w:beforeAutospacing="0" w:after="0" w:afterAutospacing="0" w:line="360" w:lineRule="auto"/>
        <w:ind w:firstLine="420"/>
        <w:rPr>
          <w:sz w:val="21"/>
          <w:szCs w:val="21"/>
        </w:rPr>
      </w:pPr>
      <w:r>
        <w:rPr>
          <w:rStyle w:val="11"/>
          <w:rFonts w:hint="eastAsia"/>
          <w:sz w:val="21"/>
          <w:szCs w:val="21"/>
        </w:rPr>
        <w:t>三、不列入基金费用的项目</w:t>
      </w:r>
    </w:p>
    <w:p>
      <w:pPr>
        <w:pStyle w:val="7"/>
        <w:spacing w:before="0" w:beforeAutospacing="0" w:after="0" w:afterAutospacing="0" w:line="360" w:lineRule="auto"/>
        <w:ind w:firstLine="420"/>
        <w:rPr>
          <w:sz w:val="21"/>
          <w:szCs w:val="21"/>
        </w:rPr>
      </w:pPr>
      <w:r>
        <w:rPr>
          <w:rFonts w:hint="eastAsia"/>
          <w:sz w:val="21"/>
          <w:szCs w:val="21"/>
        </w:rPr>
        <w:t xml:space="preserve">下列费用不列入基金费用： </w:t>
      </w:r>
    </w:p>
    <w:p>
      <w:pPr>
        <w:pStyle w:val="7"/>
        <w:spacing w:before="0" w:beforeAutospacing="0" w:after="0" w:afterAutospacing="0" w:line="360" w:lineRule="auto"/>
        <w:ind w:firstLine="420"/>
        <w:rPr>
          <w:sz w:val="21"/>
          <w:szCs w:val="21"/>
        </w:rPr>
      </w:pPr>
      <w:r>
        <w:rPr>
          <w:rFonts w:hint="eastAsia"/>
          <w:sz w:val="21"/>
          <w:szCs w:val="21"/>
        </w:rPr>
        <w:t xml:space="preserve">1、基金管理人和基金托管人因未履行或未完全履行义务导致的费用支出或基金财产的损失； </w:t>
      </w:r>
    </w:p>
    <w:p>
      <w:pPr>
        <w:pStyle w:val="7"/>
        <w:spacing w:before="0" w:beforeAutospacing="0" w:after="0" w:afterAutospacing="0" w:line="360" w:lineRule="auto"/>
        <w:ind w:firstLine="420"/>
        <w:rPr>
          <w:sz w:val="21"/>
          <w:szCs w:val="21"/>
        </w:rPr>
      </w:pPr>
      <w:r>
        <w:rPr>
          <w:rFonts w:hint="eastAsia"/>
          <w:sz w:val="21"/>
          <w:szCs w:val="21"/>
        </w:rPr>
        <w:t xml:space="preserve">2、基金管理人和基金托管人处理与基金运作无关的事项发生的费用； </w:t>
      </w:r>
    </w:p>
    <w:p>
      <w:pPr>
        <w:pStyle w:val="7"/>
        <w:spacing w:before="0" w:beforeAutospacing="0" w:after="0" w:afterAutospacing="0" w:line="360" w:lineRule="auto"/>
        <w:ind w:firstLine="420"/>
        <w:rPr>
          <w:sz w:val="21"/>
          <w:szCs w:val="21"/>
        </w:rPr>
      </w:pPr>
      <w:r>
        <w:rPr>
          <w:rFonts w:hint="eastAsia"/>
          <w:sz w:val="21"/>
          <w:szCs w:val="21"/>
        </w:rPr>
        <w:t xml:space="preserve">3、基金合同生效前的相关费用； </w:t>
      </w:r>
    </w:p>
    <w:p>
      <w:pPr>
        <w:pStyle w:val="7"/>
        <w:spacing w:before="0" w:beforeAutospacing="0" w:after="0" w:afterAutospacing="0" w:line="360" w:lineRule="auto"/>
        <w:ind w:firstLine="420"/>
        <w:rPr>
          <w:sz w:val="21"/>
          <w:szCs w:val="21"/>
        </w:rPr>
      </w:pPr>
      <w:r>
        <w:rPr>
          <w:rFonts w:hint="eastAsia"/>
          <w:sz w:val="21"/>
          <w:szCs w:val="21"/>
        </w:rPr>
        <w:t xml:space="preserve">4、其他根据相关法律法规及中国证监会的有关规定不得列入基金费用的项目。 </w:t>
      </w:r>
    </w:p>
    <w:p>
      <w:pPr>
        <w:pStyle w:val="7"/>
        <w:spacing w:before="0" w:beforeAutospacing="0" w:after="0" w:afterAutospacing="0" w:line="360" w:lineRule="auto"/>
        <w:ind w:firstLine="420"/>
        <w:rPr>
          <w:sz w:val="21"/>
          <w:szCs w:val="21"/>
        </w:rPr>
      </w:pPr>
      <w:r>
        <w:rPr>
          <w:rStyle w:val="11"/>
          <w:rFonts w:hint="eastAsia"/>
          <w:sz w:val="21"/>
          <w:szCs w:val="21"/>
        </w:rPr>
        <w:t>四、基金税收</w:t>
      </w:r>
    </w:p>
    <w:p>
      <w:pPr>
        <w:pStyle w:val="7"/>
        <w:spacing w:before="0" w:beforeAutospacing="0" w:after="0" w:afterAutospacing="0" w:line="360" w:lineRule="auto"/>
        <w:ind w:firstLine="420"/>
        <w:rPr>
          <w:sz w:val="21"/>
          <w:szCs w:val="21"/>
        </w:rPr>
      </w:pPr>
      <w:bookmarkStart w:id="172" w:name="chapter_level1_16_65_section_1_end"/>
      <w:bookmarkEnd w:id="172"/>
      <w:r>
        <w:rPr>
          <w:rFonts w:hint="eastAsia"/>
          <w:sz w:val="21"/>
          <w:szCs w:val="21"/>
        </w:rPr>
        <w:t xml:space="preserve">本基金运作过程中涉及的各纳税主体，其纳税义务按国家税收法律、法规执行。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3" w:name="chapter_level1_17_66"/>
      <w:bookmarkStart w:id="174" w:name="_Toc113628545"/>
      <w:r>
        <w:rPr>
          <w:rFonts w:hint="eastAsia" w:ascii="宋体" w:hAnsi="宋体" w:eastAsia="宋体"/>
          <w:sz w:val="30"/>
        </w:rPr>
        <w:t>第十四部分  基金的会计与审计</w:t>
      </w:r>
      <w:bookmarkEnd w:id="173"/>
      <w:bookmarkEnd w:id="174"/>
    </w:p>
    <w:p>
      <w:pPr>
        <w:pStyle w:val="7"/>
        <w:spacing w:before="0" w:beforeAutospacing="0" w:after="0" w:afterAutospacing="0" w:line="360" w:lineRule="auto"/>
        <w:ind w:firstLine="420"/>
        <w:rPr>
          <w:sz w:val="21"/>
          <w:szCs w:val="21"/>
        </w:rPr>
      </w:pPr>
      <w:bookmarkStart w:id="175" w:name="chapter_level1_17_66_section_1"/>
      <w:bookmarkEnd w:id="175"/>
      <w:r>
        <w:rPr>
          <w:rStyle w:val="11"/>
          <w:rFonts w:hint="eastAsia"/>
          <w:sz w:val="21"/>
          <w:szCs w:val="21"/>
        </w:rPr>
        <w:t>一、基金会计政策</w:t>
      </w:r>
    </w:p>
    <w:p>
      <w:pPr>
        <w:pStyle w:val="7"/>
        <w:spacing w:before="0" w:beforeAutospacing="0" w:after="0" w:afterAutospacing="0" w:line="360" w:lineRule="auto"/>
        <w:ind w:firstLine="420"/>
        <w:rPr>
          <w:sz w:val="21"/>
          <w:szCs w:val="21"/>
        </w:rPr>
      </w:pPr>
      <w:r>
        <w:rPr>
          <w:rFonts w:hint="eastAsia"/>
          <w:sz w:val="21"/>
          <w:szCs w:val="21"/>
        </w:rPr>
        <w:t xml:space="preserve">1、基金管理人为本基金的基金会计责任方； </w:t>
      </w:r>
    </w:p>
    <w:p>
      <w:pPr>
        <w:pStyle w:val="7"/>
        <w:spacing w:before="0" w:beforeAutospacing="0" w:after="0" w:afterAutospacing="0" w:line="360" w:lineRule="auto"/>
        <w:ind w:firstLine="420"/>
        <w:rPr>
          <w:sz w:val="21"/>
          <w:szCs w:val="21"/>
        </w:rPr>
      </w:pPr>
      <w:r>
        <w:rPr>
          <w:rFonts w:hint="eastAsia"/>
          <w:sz w:val="21"/>
          <w:szCs w:val="21"/>
        </w:rPr>
        <w:t xml:space="preserve">2、基金的会计年度为公历年度的1月1日至12月31日；基金首次募集的会计年度按如下原则：如果《基金合同》生效少于2个月，可以并入下一个会计年度披露； </w:t>
      </w:r>
    </w:p>
    <w:p>
      <w:pPr>
        <w:pStyle w:val="7"/>
        <w:spacing w:before="0" w:beforeAutospacing="0" w:after="0" w:afterAutospacing="0" w:line="360" w:lineRule="auto"/>
        <w:ind w:firstLine="420"/>
        <w:rPr>
          <w:sz w:val="21"/>
          <w:szCs w:val="21"/>
        </w:rPr>
      </w:pPr>
      <w:r>
        <w:rPr>
          <w:rFonts w:hint="eastAsia"/>
          <w:sz w:val="21"/>
          <w:szCs w:val="21"/>
        </w:rPr>
        <w:t xml:space="preserve">3、基金核算以人民币为记账本位币，以人民币元为记账单位； </w:t>
      </w:r>
    </w:p>
    <w:p>
      <w:pPr>
        <w:pStyle w:val="7"/>
        <w:spacing w:before="0" w:beforeAutospacing="0" w:after="0" w:afterAutospacing="0" w:line="360" w:lineRule="auto"/>
        <w:ind w:firstLine="420"/>
        <w:rPr>
          <w:sz w:val="21"/>
          <w:szCs w:val="21"/>
        </w:rPr>
      </w:pPr>
      <w:r>
        <w:rPr>
          <w:rFonts w:hint="eastAsia"/>
          <w:sz w:val="21"/>
          <w:szCs w:val="21"/>
        </w:rPr>
        <w:t xml:space="preserve">4、会计制度执行国家有关会计制度； </w:t>
      </w:r>
    </w:p>
    <w:p>
      <w:pPr>
        <w:pStyle w:val="7"/>
        <w:spacing w:before="0" w:beforeAutospacing="0" w:after="0" w:afterAutospacing="0" w:line="360" w:lineRule="auto"/>
        <w:ind w:firstLine="420"/>
        <w:rPr>
          <w:sz w:val="21"/>
          <w:szCs w:val="21"/>
        </w:rPr>
      </w:pPr>
      <w:r>
        <w:rPr>
          <w:rFonts w:hint="eastAsia"/>
          <w:sz w:val="21"/>
          <w:szCs w:val="21"/>
        </w:rPr>
        <w:t xml:space="preserve">5、本基金独立建账、独立核算； </w:t>
      </w:r>
    </w:p>
    <w:p>
      <w:pPr>
        <w:pStyle w:val="7"/>
        <w:spacing w:before="0" w:beforeAutospacing="0" w:after="0" w:afterAutospacing="0" w:line="360" w:lineRule="auto"/>
        <w:ind w:firstLine="420"/>
        <w:rPr>
          <w:sz w:val="21"/>
          <w:szCs w:val="21"/>
        </w:rPr>
      </w:pPr>
      <w:r>
        <w:rPr>
          <w:rFonts w:hint="eastAsia"/>
          <w:sz w:val="21"/>
          <w:szCs w:val="21"/>
        </w:rPr>
        <w:t xml:space="preserve">6、基金管理人及基金托管人各自保留完整的会计账目、凭证并进行日常的会计核算，按照有关规定编制基金会计报表； </w:t>
      </w:r>
    </w:p>
    <w:p>
      <w:pPr>
        <w:pStyle w:val="7"/>
        <w:spacing w:before="0" w:beforeAutospacing="0" w:after="0" w:afterAutospacing="0" w:line="360" w:lineRule="auto"/>
        <w:ind w:firstLine="420"/>
        <w:rPr>
          <w:sz w:val="21"/>
          <w:szCs w:val="21"/>
        </w:rPr>
      </w:pPr>
      <w:r>
        <w:rPr>
          <w:rFonts w:hint="eastAsia"/>
          <w:sz w:val="21"/>
          <w:szCs w:val="21"/>
        </w:rPr>
        <w:t xml:space="preserve">7、基金托管人每月与基金管理人就基金的会计核算、报表编制等进行核对并以书面方式确认。 </w:t>
      </w:r>
    </w:p>
    <w:p>
      <w:pPr>
        <w:pStyle w:val="7"/>
        <w:spacing w:before="0" w:beforeAutospacing="0" w:after="0" w:afterAutospacing="0" w:line="360" w:lineRule="auto"/>
        <w:ind w:firstLine="420"/>
        <w:rPr>
          <w:sz w:val="21"/>
          <w:szCs w:val="21"/>
        </w:rPr>
      </w:pPr>
      <w:r>
        <w:rPr>
          <w:rStyle w:val="11"/>
          <w:rFonts w:hint="eastAsia"/>
          <w:sz w:val="21"/>
          <w:szCs w:val="21"/>
        </w:rPr>
        <w:t>二、基金的年度审计</w:t>
      </w:r>
    </w:p>
    <w:p>
      <w:pPr>
        <w:pStyle w:val="7"/>
        <w:spacing w:before="0" w:beforeAutospacing="0" w:after="0" w:afterAutospacing="0" w:line="360" w:lineRule="auto"/>
        <w:ind w:firstLine="420"/>
        <w:rPr>
          <w:sz w:val="21"/>
          <w:szCs w:val="21"/>
        </w:rPr>
      </w:pPr>
      <w:r>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pPr>
        <w:pStyle w:val="7"/>
        <w:spacing w:before="0" w:beforeAutospacing="0" w:after="0" w:afterAutospacing="0" w:line="360" w:lineRule="auto"/>
        <w:ind w:firstLine="420"/>
        <w:rPr>
          <w:sz w:val="21"/>
          <w:szCs w:val="21"/>
        </w:rPr>
      </w:pPr>
      <w:r>
        <w:rPr>
          <w:rFonts w:hint="eastAsia"/>
          <w:sz w:val="21"/>
          <w:szCs w:val="21"/>
        </w:rPr>
        <w:t xml:space="preserve">2、会计师事务所更换经办注册会计师，应事先征得基金管理人同意。 </w:t>
      </w:r>
    </w:p>
    <w:p>
      <w:pPr>
        <w:pStyle w:val="7"/>
        <w:spacing w:before="0" w:beforeAutospacing="0" w:after="0" w:afterAutospacing="0" w:line="360" w:lineRule="auto"/>
        <w:ind w:firstLine="420"/>
        <w:rPr>
          <w:sz w:val="21"/>
          <w:szCs w:val="21"/>
        </w:rPr>
      </w:pPr>
      <w:r>
        <w:rPr>
          <w:rFonts w:hint="eastAsia"/>
          <w:sz w:val="21"/>
          <w:szCs w:val="21"/>
        </w:rPr>
        <w:t>3、基金管理人认为有充足理由更换会计师事务所，须通报基金托管人。更换会计师事</w:t>
      </w:r>
      <w:bookmarkStart w:id="176" w:name="chapter_level1_17_66_section_1_end"/>
      <w:bookmarkEnd w:id="176"/>
      <w:r>
        <w:rPr>
          <w:rFonts w:hint="eastAsia"/>
          <w:sz w:val="21"/>
          <w:szCs w:val="21"/>
        </w:rPr>
        <w:t xml:space="preserve">务所需按照《信息披露办法》的有关规定在指定媒介公告。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7" w:name="chapter_level1_18_67"/>
      <w:bookmarkStart w:id="178" w:name="_Toc113628546"/>
      <w:r>
        <w:rPr>
          <w:rFonts w:hint="eastAsia" w:ascii="宋体" w:hAnsi="宋体" w:eastAsia="宋体"/>
          <w:sz w:val="30"/>
        </w:rPr>
        <w:t>第十五部分  基金的信息披露</w:t>
      </w:r>
      <w:bookmarkEnd w:id="177"/>
      <w:bookmarkEnd w:id="178"/>
    </w:p>
    <w:p>
      <w:pPr>
        <w:pStyle w:val="7"/>
        <w:spacing w:before="0" w:beforeAutospacing="0" w:after="0" w:afterAutospacing="0" w:line="360" w:lineRule="auto"/>
        <w:ind w:firstLine="420"/>
        <w:rPr>
          <w:sz w:val="21"/>
          <w:szCs w:val="21"/>
        </w:rPr>
      </w:pPr>
      <w:bookmarkStart w:id="179" w:name="chapter_level1_18_67_section_1"/>
      <w:bookmarkEnd w:id="179"/>
      <w:r>
        <w:rPr>
          <w:rStyle w:val="11"/>
          <w:rFonts w:hint="eastAsia"/>
          <w:sz w:val="21"/>
          <w:szCs w:val="21"/>
        </w:rPr>
        <w:t>一、本基金的信息披露应符合《基金法》、《运作办法》、《信息披露办法》、《基金合同》及其他有关规定。 </w:t>
      </w:r>
    </w:p>
    <w:p>
      <w:pPr>
        <w:pStyle w:val="7"/>
        <w:spacing w:before="0" w:beforeAutospacing="0" w:after="0" w:afterAutospacing="0" w:line="360" w:lineRule="auto"/>
        <w:ind w:firstLine="420"/>
        <w:rPr>
          <w:sz w:val="21"/>
          <w:szCs w:val="21"/>
        </w:rPr>
      </w:pPr>
      <w:r>
        <w:rPr>
          <w:rStyle w:val="11"/>
          <w:rFonts w:hint="eastAsia"/>
          <w:sz w:val="21"/>
          <w:szCs w:val="21"/>
        </w:rPr>
        <w:t>二、信息披露义务人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 </w:t>
      </w:r>
    </w:p>
    <w:p>
      <w:pPr>
        <w:pStyle w:val="7"/>
        <w:spacing w:before="0" w:beforeAutospacing="0" w:after="0" w:afterAutospacing="0" w:line="360" w:lineRule="auto"/>
        <w:ind w:firstLine="420"/>
        <w:rPr>
          <w:sz w:val="21"/>
          <w:szCs w:val="21"/>
        </w:rPr>
      </w:pPr>
      <w:r>
        <w:rPr>
          <w:rStyle w:val="11"/>
          <w:rFonts w:hint="eastAsia"/>
          <w:sz w:val="21"/>
          <w:szCs w:val="21"/>
        </w:rPr>
        <w:t>三、本基金信息披露义务人承诺公开披露的基金信息，不得有下列行为： </w:t>
      </w:r>
    </w:p>
    <w:p>
      <w:pPr>
        <w:pStyle w:val="7"/>
        <w:spacing w:before="0" w:beforeAutospacing="0" w:after="0" w:afterAutospacing="0" w:line="360" w:lineRule="auto"/>
        <w:ind w:firstLine="420"/>
        <w:rPr>
          <w:sz w:val="21"/>
          <w:szCs w:val="21"/>
        </w:rPr>
      </w:pPr>
      <w:r>
        <w:rPr>
          <w:rFonts w:hint="eastAsia"/>
          <w:sz w:val="21"/>
          <w:szCs w:val="21"/>
        </w:rPr>
        <w:t xml:space="preserve">1、虚假记载、误导性陈述或者重大遗漏；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 xml:space="preserve">2、对证券投资业绩进行预测； </w:t>
      </w:r>
    </w:p>
    <w:p>
      <w:pPr>
        <w:pStyle w:val="7"/>
        <w:spacing w:before="0" w:beforeAutospacing="0" w:after="0" w:afterAutospacing="0" w:line="360" w:lineRule="auto"/>
        <w:ind w:firstLine="420"/>
        <w:rPr>
          <w:sz w:val="21"/>
          <w:szCs w:val="21"/>
        </w:rPr>
      </w:pPr>
      <w:r>
        <w:rPr>
          <w:rFonts w:hint="eastAsia"/>
          <w:sz w:val="21"/>
          <w:szCs w:val="21"/>
        </w:rPr>
        <w:t xml:space="preserve">3、违规承诺收益或者承担损失；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4、诋毁其他基金管理人、基金托管人或者基金销售机构； </w:t>
      </w:r>
    </w:p>
    <w:p>
      <w:pPr>
        <w:pStyle w:val="7"/>
        <w:spacing w:before="0" w:beforeAutospacing="0" w:after="0" w:afterAutospacing="0" w:line="360" w:lineRule="auto"/>
        <w:ind w:firstLine="420"/>
        <w:rPr>
          <w:sz w:val="21"/>
          <w:szCs w:val="21"/>
        </w:rPr>
      </w:pPr>
      <w:r>
        <w:rPr>
          <w:rFonts w:hint="eastAsia"/>
          <w:sz w:val="21"/>
          <w:szCs w:val="21"/>
        </w:rPr>
        <w:t xml:space="preserve">5、登载任何自然人、法人和非法人组织的祝贺性、恭维性或推荐性文字； </w:t>
      </w:r>
    </w:p>
    <w:p>
      <w:pPr>
        <w:pStyle w:val="7"/>
        <w:spacing w:before="0" w:beforeAutospacing="0" w:after="0" w:afterAutospacing="0" w:line="360" w:lineRule="auto"/>
        <w:ind w:firstLine="420"/>
        <w:rPr>
          <w:sz w:val="21"/>
          <w:szCs w:val="21"/>
        </w:rPr>
      </w:pPr>
      <w:r>
        <w:rPr>
          <w:rFonts w:hint="eastAsia"/>
          <w:sz w:val="21"/>
          <w:szCs w:val="21"/>
        </w:rPr>
        <w:t xml:space="preserve">6、中国证监会禁止的其他行为。 </w:t>
      </w:r>
    </w:p>
    <w:p>
      <w:pPr>
        <w:pStyle w:val="7"/>
        <w:spacing w:before="0" w:beforeAutospacing="0" w:after="0" w:afterAutospacing="0" w:line="360" w:lineRule="auto"/>
        <w:ind w:firstLine="420"/>
        <w:rPr>
          <w:sz w:val="21"/>
          <w:szCs w:val="21"/>
        </w:rPr>
      </w:pPr>
      <w:r>
        <w:rPr>
          <w:rStyle w:val="11"/>
          <w:rFonts w:hint="eastAsia"/>
          <w:sz w:val="21"/>
          <w:szCs w:val="21"/>
        </w:rPr>
        <w:t>四、本基金公开披露的信息应采用中文文本。如同时采用外文文本的，基金信息披露义务人应保证不同文本的内容一致。不同文本之间发生歧义的，以中文文本为准。 </w:t>
      </w:r>
    </w:p>
    <w:p>
      <w:pPr>
        <w:pStyle w:val="7"/>
        <w:spacing w:before="0" w:beforeAutospacing="0" w:after="0" w:afterAutospacing="0" w:line="360" w:lineRule="auto"/>
        <w:ind w:firstLine="420"/>
        <w:rPr>
          <w:sz w:val="21"/>
          <w:szCs w:val="21"/>
        </w:rPr>
      </w:pPr>
      <w:bookmarkStart w:id="180" w:name="chapter_level1_18_67_section_1_end"/>
      <w:bookmarkEnd w:id="180"/>
      <w:r>
        <w:rPr>
          <w:rFonts w:hint="eastAsia"/>
          <w:sz w:val="21"/>
          <w:szCs w:val="21"/>
        </w:rPr>
        <w:t xml:space="preserve">本基金公开披露的信息采用阿拉伯数字；除特别说明外，货币单位为人民币元。 </w:t>
      </w:r>
    </w:p>
    <w:p>
      <w:pPr>
        <w:pStyle w:val="7"/>
        <w:spacing w:before="0" w:beforeAutospacing="0" w:after="0" w:afterAutospacing="0" w:line="360" w:lineRule="auto"/>
        <w:ind w:firstLine="420"/>
        <w:rPr>
          <w:sz w:val="21"/>
          <w:szCs w:val="21"/>
        </w:rPr>
      </w:pPr>
      <w:bookmarkStart w:id="181" w:name="chapter_level1_18_67_section_2"/>
      <w:bookmarkEnd w:id="181"/>
      <w:r>
        <w:rPr>
          <w:rStyle w:val="11"/>
          <w:rFonts w:hint="eastAsia"/>
          <w:sz w:val="21"/>
          <w:szCs w:val="21"/>
        </w:rPr>
        <w:t>五、公开披露的基金信息 </w:t>
      </w:r>
    </w:p>
    <w:p>
      <w:pPr>
        <w:pStyle w:val="7"/>
        <w:spacing w:before="0" w:beforeAutospacing="0" w:after="0" w:afterAutospacing="0" w:line="360" w:lineRule="auto"/>
        <w:ind w:firstLine="420"/>
        <w:rPr>
          <w:sz w:val="21"/>
          <w:szCs w:val="21"/>
        </w:rPr>
      </w:pPr>
      <w:r>
        <w:rPr>
          <w:rFonts w:hint="eastAsia"/>
          <w:sz w:val="21"/>
          <w:szCs w:val="21"/>
        </w:rPr>
        <w:t xml:space="preserve">公开披露的基金信息包括： </w:t>
      </w:r>
    </w:p>
    <w:p>
      <w:pPr>
        <w:pStyle w:val="7"/>
        <w:spacing w:before="0" w:beforeAutospacing="0" w:after="0" w:afterAutospacing="0" w:line="360" w:lineRule="auto"/>
        <w:ind w:firstLine="420"/>
        <w:rPr>
          <w:sz w:val="21"/>
          <w:szCs w:val="21"/>
        </w:rPr>
      </w:pPr>
      <w:r>
        <w:rPr>
          <w:rFonts w:hint="eastAsia"/>
          <w:sz w:val="21"/>
          <w:szCs w:val="21"/>
        </w:rPr>
        <w:t xml:space="preserve">（一）基金招募说明书、《基金合同》、基金托管协议、基金产品资料概要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pPr>
        <w:pStyle w:val="7"/>
        <w:spacing w:before="0" w:beforeAutospacing="0" w:after="0" w:afterAutospacing="0" w:line="360" w:lineRule="auto"/>
        <w:ind w:firstLine="420"/>
        <w:rPr>
          <w:sz w:val="21"/>
          <w:szCs w:val="21"/>
        </w:rPr>
      </w:pPr>
      <w:r>
        <w:rPr>
          <w:rFonts w:hint="eastAsia"/>
          <w:sz w:val="21"/>
          <w:szCs w:val="21"/>
        </w:rPr>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pPr>
        <w:pStyle w:val="7"/>
        <w:spacing w:before="0" w:beforeAutospacing="0" w:after="0" w:afterAutospacing="0" w:line="360" w:lineRule="auto"/>
        <w:ind w:firstLine="420"/>
        <w:rPr>
          <w:sz w:val="21"/>
          <w:szCs w:val="21"/>
        </w:rPr>
      </w:pPr>
      <w:r>
        <w:rPr>
          <w:rFonts w:hint="eastAsia"/>
          <w:sz w:val="21"/>
          <w:szCs w:val="21"/>
        </w:rPr>
        <w:t xml:space="preserve">3、基金托管协议是界定基金托管人和基金管理人在基金财产保管及基金运作监督等活动中的权利、义务关系的法律文件。 </w:t>
      </w:r>
    </w:p>
    <w:p>
      <w:pPr>
        <w:pStyle w:val="7"/>
        <w:spacing w:before="0" w:beforeAutospacing="0" w:after="0" w:afterAutospacing="0" w:line="360" w:lineRule="auto"/>
        <w:ind w:firstLine="420"/>
        <w:rPr>
          <w:sz w:val="21"/>
          <w:szCs w:val="21"/>
        </w:rPr>
      </w:pPr>
      <w:r>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网站上。 </w:t>
      </w:r>
    </w:p>
    <w:p>
      <w:pPr>
        <w:pStyle w:val="7"/>
        <w:spacing w:before="0" w:beforeAutospacing="0" w:after="0" w:afterAutospacing="0" w:line="360" w:lineRule="auto"/>
        <w:ind w:firstLine="420"/>
        <w:rPr>
          <w:sz w:val="21"/>
          <w:szCs w:val="21"/>
        </w:rPr>
      </w:pPr>
      <w:r>
        <w:rPr>
          <w:rFonts w:hint="eastAsia"/>
          <w:sz w:val="21"/>
          <w:szCs w:val="21"/>
        </w:rPr>
        <w:t xml:space="preserve">（二）基金份额发售公告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基金管理人应当就基金份额发售的具体事宜编制基金份额发售公告，并在披露招募说明书的当日登载于指定媒介上。 </w:t>
      </w:r>
    </w:p>
    <w:p>
      <w:pPr>
        <w:pStyle w:val="7"/>
        <w:spacing w:before="0" w:beforeAutospacing="0" w:after="0" w:afterAutospacing="0" w:line="360" w:lineRule="auto"/>
        <w:ind w:firstLine="420"/>
        <w:rPr>
          <w:sz w:val="21"/>
          <w:szCs w:val="21"/>
        </w:rPr>
      </w:pPr>
      <w:r>
        <w:rPr>
          <w:rFonts w:hint="eastAsia"/>
          <w:sz w:val="21"/>
          <w:szCs w:val="21"/>
        </w:rPr>
        <w:t xml:space="preserve">（三）《基金合同》生效公告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基金管理人应当在收到中国证监会确认文件的次日在指定媒介上登载《基金合同》生效公告。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（四）基金净值信息 </w:t>
      </w:r>
    </w:p>
    <w:p>
      <w:pPr>
        <w:pStyle w:val="7"/>
        <w:spacing w:before="0" w:beforeAutospacing="0" w:after="0" w:afterAutospacing="0" w:line="360" w:lineRule="auto"/>
        <w:ind w:firstLine="420"/>
        <w:rPr>
          <w:sz w:val="21"/>
          <w:szCs w:val="21"/>
        </w:rPr>
      </w:pPr>
      <w:r>
        <w:rPr>
          <w:rFonts w:hint="eastAsia"/>
          <w:sz w:val="21"/>
          <w:szCs w:val="21"/>
        </w:rPr>
        <w:t xml:space="preserve">《基金合同》生效后，在开始办理基金份额申购或者赎回前，基金管理人应当至少每周在指定网站披露一次各类基金份额净值和各类基金份额累计净值。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在开始办理基金份额申购或者赎回后，基金管理人应当在不晚于每个开放日的次日，通过指定网站、基金销售机构网站或者营业网点披露开放日的各类基金份额净值和各类基金份额累计净值。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基金管理人应当在不晚于半年度和年度最后一日的次日，在指定网站披露半年度和年度最后一日的各类基金份额净值和各类基金份额累计净值。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（五）基金份额申购、赎回价格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基金管理人应当在《基金合同》、招募说明书等信息披露文件上载明基金份额申购、赎回价格的计算方式及有关申购、赎回费率，并保证投资者能够在基金销售机构网站或营业网点查阅或者复制前述信息资料。 </w:t>
      </w:r>
    </w:p>
    <w:p>
      <w:pPr>
        <w:pStyle w:val="7"/>
        <w:spacing w:before="0" w:beforeAutospacing="0" w:after="0" w:afterAutospacing="0" w:line="360" w:lineRule="auto"/>
        <w:ind w:firstLine="420"/>
        <w:rPr>
          <w:sz w:val="21"/>
          <w:szCs w:val="21"/>
        </w:rPr>
      </w:pPr>
      <w:r>
        <w:rPr>
          <w:rFonts w:hint="eastAsia"/>
          <w:sz w:val="21"/>
          <w:szCs w:val="21"/>
        </w:rPr>
        <w:t xml:space="preserve">（六）基金定期报告，包括基金年度报告、基金中期报告和基金季度报告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基金管理人应当在上半年结束之日起两个月内，编制完成基金中期报告，将中期报告登载在指定网站上，并将中期报告提示性公告登载在指定报刊上。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基金管理人应当在季度结束之日起15个工作日内，编制完成基金季度报告，将季度报告登载在指定网站上，并将季度报告提示性公告登载在指定报刊上。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《基金合同》生效不足2个月的，基金管理人可以不编制当期季度报告、中期报告或者年度报告。 </w:t>
      </w:r>
    </w:p>
    <w:p>
      <w:pPr>
        <w:pStyle w:val="7"/>
        <w:spacing w:before="0" w:beforeAutospacing="0" w:after="0" w:afterAutospacing="0" w:line="360" w:lineRule="auto"/>
        <w:ind w:firstLine="420"/>
        <w:rPr>
          <w:sz w:val="21"/>
          <w:szCs w:val="21"/>
        </w:rPr>
      </w:pPr>
      <w:r>
        <w:rPr>
          <w:rFonts w:hint="eastAsia"/>
          <w:sz w:val="21"/>
          <w:szCs w:val="21"/>
        </w:rPr>
        <w:t xml:space="preserve">本基金持续运作过程中，应当在基金年度报告和中期报告中披露基金组合资产情况及其流动性风险分析等。 </w:t>
      </w:r>
    </w:p>
    <w:p>
      <w:pPr>
        <w:pStyle w:val="7"/>
        <w:spacing w:before="0" w:beforeAutospacing="0" w:after="0" w:afterAutospacing="0" w:line="360" w:lineRule="auto"/>
        <w:ind w:firstLine="420"/>
        <w:rPr>
          <w:sz w:val="21"/>
          <w:szCs w:val="21"/>
        </w:rPr>
      </w:pPr>
      <w:r>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（七）临时报告 </w:t>
      </w:r>
    </w:p>
    <w:p>
      <w:pPr>
        <w:pStyle w:val="7"/>
        <w:spacing w:before="0" w:beforeAutospacing="0" w:after="0" w:afterAutospacing="0" w:line="360" w:lineRule="auto"/>
        <w:ind w:firstLine="420"/>
        <w:rPr>
          <w:sz w:val="21"/>
          <w:szCs w:val="21"/>
        </w:rPr>
      </w:pPr>
      <w:r>
        <w:rPr>
          <w:rFonts w:hint="eastAsia"/>
          <w:sz w:val="21"/>
          <w:szCs w:val="21"/>
        </w:rPr>
        <w:t xml:space="preserve">本基金发生重大事件，有关信息披露义务人应当按规定编制临时报告书，并登载在指定报刊和指定网站上。 </w:t>
      </w:r>
    </w:p>
    <w:p>
      <w:pPr>
        <w:pStyle w:val="7"/>
        <w:spacing w:before="0" w:beforeAutospacing="0" w:after="0" w:afterAutospacing="0" w:line="360" w:lineRule="auto"/>
        <w:ind w:firstLine="420"/>
        <w:rPr>
          <w:sz w:val="21"/>
          <w:szCs w:val="21"/>
        </w:rPr>
      </w:pPr>
      <w:r>
        <w:rPr>
          <w:rFonts w:hint="eastAsia"/>
          <w:sz w:val="21"/>
          <w:szCs w:val="21"/>
        </w:rPr>
        <w:t xml:space="preserve">前款所称重大事件，是指可能对基金份额持有人权益或者基金份额的价格产生重大影响的下列事件：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1、基金份额持有人大会的召开及决定的事项； </w:t>
      </w:r>
    </w:p>
    <w:p>
      <w:pPr>
        <w:pStyle w:val="7"/>
        <w:spacing w:before="0" w:beforeAutospacing="0" w:after="0" w:afterAutospacing="0" w:line="360" w:lineRule="auto"/>
        <w:ind w:firstLine="420"/>
        <w:rPr>
          <w:sz w:val="21"/>
          <w:szCs w:val="21"/>
        </w:rPr>
      </w:pPr>
      <w:r>
        <w:rPr>
          <w:rFonts w:hint="eastAsia"/>
          <w:sz w:val="21"/>
          <w:szCs w:val="21"/>
        </w:rPr>
        <w:t xml:space="preserve">2、《基金合同》终止、基金清算； </w:t>
      </w:r>
    </w:p>
    <w:p>
      <w:pPr>
        <w:pStyle w:val="7"/>
        <w:spacing w:before="0" w:beforeAutospacing="0" w:after="0" w:afterAutospacing="0" w:line="360" w:lineRule="auto"/>
        <w:ind w:firstLine="420"/>
        <w:rPr>
          <w:sz w:val="21"/>
          <w:szCs w:val="21"/>
        </w:rPr>
      </w:pPr>
      <w:r>
        <w:rPr>
          <w:rFonts w:hint="eastAsia"/>
          <w:sz w:val="21"/>
          <w:szCs w:val="21"/>
        </w:rPr>
        <w:t xml:space="preserve">3、转换基金运作方式、基金合并； </w:t>
      </w:r>
    </w:p>
    <w:p>
      <w:pPr>
        <w:pStyle w:val="7"/>
        <w:spacing w:before="0" w:beforeAutospacing="0" w:after="0" w:afterAutospacing="0" w:line="360" w:lineRule="auto"/>
        <w:ind w:firstLine="420"/>
        <w:rPr>
          <w:sz w:val="21"/>
          <w:szCs w:val="21"/>
        </w:rPr>
      </w:pPr>
      <w:r>
        <w:rPr>
          <w:rFonts w:hint="eastAsia"/>
          <w:sz w:val="21"/>
          <w:szCs w:val="21"/>
        </w:rPr>
        <w:t xml:space="preserve">4、更换基金管理人、基金托管人、基金份额登记机构，基金改聘会计师事务所； </w:t>
      </w:r>
    </w:p>
    <w:p>
      <w:pPr>
        <w:pStyle w:val="7"/>
        <w:spacing w:before="0" w:beforeAutospacing="0" w:after="0" w:afterAutospacing="0" w:line="360" w:lineRule="auto"/>
        <w:ind w:firstLine="420"/>
        <w:rPr>
          <w:sz w:val="21"/>
          <w:szCs w:val="21"/>
        </w:rPr>
      </w:pPr>
      <w:r>
        <w:rPr>
          <w:rFonts w:hint="eastAsia"/>
          <w:sz w:val="21"/>
          <w:szCs w:val="21"/>
        </w:rPr>
        <w:t xml:space="preserve">5、基金管理人委托基金服务机构代为办理基金的份额登记、核算、估值等事项，基金托管人委托基金服务机构代为办理基金的核算、估值、复核等事项；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6、基金管理人、基金托管人的法定名称、住所发生变更； </w:t>
      </w:r>
    </w:p>
    <w:p>
      <w:pPr>
        <w:pStyle w:val="7"/>
        <w:spacing w:before="0" w:beforeAutospacing="0" w:after="0" w:afterAutospacing="0" w:line="360" w:lineRule="auto"/>
        <w:ind w:firstLine="420"/>
        <w:rPr>
          <w:sz w:val="21"/>
          <w:szCs w:val="21"/>
        </w:rPr>
      </w:pPr>
      <w:r>
        <w:rPr>
          <w:rFonts w:hint="eastAsia"/>
          <w:sz w:val="21"/>
          <w:szCs w:val="21"/>
        </w:rPr>
        <w:t xml:space="preserve">7、基金管理人变更持有百分之五以上股权的股东、基金管理人的实际控制人变更； </w:t>
      </w:r>
    </w:p>
    <w:p>
      <w:pPr>
        <w:pStyle w:val="7"/>
        <w:spacing w:before="0" w:beforeAutospacing="0" w:after="0" w:afterAutospacing="0" w:line="360" w:lineRule="auto"/>
        <w:ind w:firstLine="420"/>
        <w:rPr>
          <w:sz w:val="21"/>
          <w:szCs w:val="21"/>
        </w:rPr>
      </w:pPr>
      <w:r>
        <w:rPr>
          <w:rFonts w:hint="eastAsia"/>
          <w:sz w:val="21"/>
          <w:szCs w:val="21"/>
        </w:rPr>
        <w:t xml:space="preserve">8、基金募集期延长或提前结束募集； </w:t>
      </w:r>
    </w:p>
    <w:p>
      <w:pPr>
        <w:pStyle w:val="7"/>
        <w:spacing w:before="0" w:beforeAutospacing="0" w:after="0" w:afterAutospacing="0" w:line="360" w:lineRule="auto"/>
        <w:ind w:firstLine="420"/>
        <w:rPr>
          <w:sz w:val="21"/>
          <w:szCs w:val="21"/>
        </w:rPr>
      </w:pPr>
      <w:r>
        <w:rPr>
          <w:rFonts w:hint="eastAsia"/>
          <w:sz w:val="21"/>
          <w:szCs w:val="21"/>
        </w:rPr>
        <w:t xml:space="preserve">9、基金管理人的高级管理人员、基金经理和基金托管人专门基金托管部门负责人发生变动； </w:t>
      </w:r>
    </w:p>
    <w:p>
      <w:pPr>
        <w:pStyle w:val="7"/>
        <w:spacing w:before="0" w:beforeAutospacing="0" w:after="0" w:afterAutospacing="0" w:line="360" w:lineRule="auto"/>
        <w:ind w:firstLine="420"/>
        <w:rPr>
          <w:sz w:val="21"/>
          <w:szCs w:val="21"/>
        </w:rPr>
      </w:pPr>
      <w:r>
        <w:rPr>
          <w:rFonts w:hint="eastAsia"/>
          <w:sz w:val="21"/>
          <w:szCs w:val="21"/>
        </w:rPr>
        <w:t xml:space="preserve">10、基金管理人的董事在最近12个月内变更超过百分之五十； </w:t>
      </w:r>
    </w:p>
    <w:p>
      <w:pPr>
        <w:pStyle w:val="7"/>
        <w:spacing w:before="0" w:beforeAutospacing="0" w:after="0" w:afterAutospacing="0" w:line="360" w:lineRule="auto"/>
        <w:ind w:firstLine="420"/>
        <w:rPr>
          <w:sz w:val="21"/>
          <w:szCs w:val="21"/>
        </w:rPr>
      </w:pPr>
      <w:r>
        <w:rPr>
          <w:rFonts w:hint="eastAsia"/>
          <w:sz w:val="21"/>
          <w:szCs w:val="21"/>
        </w:rPr>
        <w:t xml:space="preserve">11、基金管理人、基金托管人专门基金托管部门的主要业务人员在最近12个月内变动超过百分之三十； </w:t>
      </w:r>
    </w:p>
    <w:p>
      <w:pPr>
        <w:pStyle w:val="7"/>
        <w:spacing w:before="0" w:beforeAutospacing="0" w:after="0" w:afterAutospacing="0" w:line="360" w:lineRule="auto"/>
        <w:ind w:firstLine="420"/>
        <w:rPr>
          <w:sz w:val="21"/>
          <w:szCs w:val="21"/>
        </w:rPr>
      </w:pPr>
      <w:r>
        <w:rPr>
          <w:rFonts w:hint="eastAsia"/>
          <w:sz w:val="21"/>
          <w:szCs w:val="21"/>
        </w:rPr>
        <w:t xml:space="preserve">12、涉及基金财产、基金管理业务、基金托管业务的诉讼或仲裁； </w:t>
      </w:r>
    </w:p>
    <w:p>
      <w:pPr>
        <w:pStyle w:val="7"/>
        <w:spacing w:before="0" w:beforeAutospacing="0" w:after="0" w:afterAutospacing="0" w:line="360" w:lineRule="auto"/>
        <w:ind w:firstLine="420"/>
        <w:rPr>
          <w:sz w:val="21"/>
          <w:szCs w:val="21"/>
        </w:rPr>
      </w:pPr>
      <w:r>
        <w:rPr>
          <w:rFonts w:hint="eastAsia"/>
          <w:sz w:val="21"/>
          <w:szCs w:val="21"/>
        </w:rPr>
        <w:t xml:space="preserve">13、基金管理人或其高级管理人员、基金经理因基金管理业务相关行为受到重大行政处罚、刑事处罚，基金托管人或其专门基金托管部门负责人因基金托管业务相关行为受到重大行政处罚、刑事处罚； </w:t>
      </w:r>
    </w:p>
    <w:p>
      <w:pPr>
        <w:pStyle w:val="7"/>
        <w:spacing w:before="0" w:beforeAutospacing="0" w:after="0" w:afterAutospacing="0" w:line="360" w:lineRule="auto"/>
        <w:ind w:firstLine="420"/>
        <w:rPr>
          <w:sz w:val="21"/>
          <w:szCs w:val="21"/>
        </w:rPr>
      </w:pPr>
      <w:r>
        <w:rPr>
          <w:rFonts w:hint="eastAsia"/>
          <w:sz w:val="21"/>
          <w:szCs w:val="21"/>
        </w:rPr>
        <w:t xml:space="preserve">14、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15、基金收益分配事项； </w:t>
      </w:r>
    </w:p>
    <w:p>
      <w:pPr>
        <w:pStyle w:val="7"/>
        <w:spacing w:before="0" w:beforeAutospacing="0" w:after="0" w:afterAutospacing="0" w:line="360" w:lineRule="auto"/>
        <w:ind w:firstLine="420"/>
        <w:rPr>
          <w:sz w:val="21"/>
          <w:szCs w:val="21"/>
        </w:rPr>
      </w:pPr>
      <w:r>
        <w:rPr>
          <w:rFonts w:hint="eastAsia"/>
          <w:sz w:val="21"/>
          <w:szCs w:val="21"/>
        </w:rPr>
        <w:t xml:space="preserve">16、管理费、托管费、销售服务费、申购费、赎回费等费用计提标准、计提方式和费率发生变更； </w:t>
      </w:r>
    </w:p>
    <w:p>
      <w:pPr>
        <w:pStyle w:val="7"/>
        <w:spacing w:before="0" w:beforeAutospacing="0" w:after="0" w:afterAutospacing="0" w:line="360" w:lineRule="auto"/>
        <w:ind w:firstLine="420"/>
        <w:rPr>
          <w:sz w:val="21"/>
          <w:szCs w:val="21"/>
        </w:rPr>
      </w:pPr>
      <w:r>
        <w:rPr>
          <w:rFonts w:hint="eastAsia"/>
          <w:sz w:val="21"/>
          <w:szCs w:val="21"/>
        </w:rPr>
        <w:t xml:space="preserve">17、基金份额净值计价错误达基金份额净值百分之零点五； </w:t>
      </w:r>
    </w:p>
    <w:p>
      <w:pPr>
        <w:pStyle w:val="7"/>
        <w:spacing w:before="0" w:beforeAutospacing="0" w:after="0" w:afterAutospacing="0" w:line="360" w:lineRule="auto"/>
        <w:ind w:firstLine="420"/>
        <w:rPr>
          <w:sz w:val="21"/>
          <w:szCs w:val="21"/>
        </w:rPr>
      </w:pPr>
      <w:r>
        <w:rPr>
          <w:rFonts w:hint="eastAsia"/>
          <w:sz w:val="21"/>
          <w:szCs w:val="21"/>
        </w:rPr>
        <w:t xml:space="preserve">18、本基金开始办理申购、赎回； </w:t>
      </w:r>
    </w:p>
    <w:p>
      <w:pPr>
        <w:pStyle w:val="7"/>
        <w:spacing w:before="0" w:beforeAutospacing="0" w:after="0" w:afterAutospacing="0" w:line="360" w:lineRule="auto"/>
        <w:ind w:firstLine="420"/>
        <w:rPr>
          <w:sz w:val="21"/>
          <w:szCs w:val="21"/>
        </w:rPr>
      </w:pPr>
      <w:r>
        <w:rPr>
          <w:rFonts w:hint="eastAsia"/>
          <w:sz w:val="21"/>
          <w:szCs w:val="21"/>
        </w:rPr>
        <w:t xml:space="preserve">19、本基金发生巨额赎回并延期办理； </w:t>
      </w:r>
    </w:p>
    <w:p>
      <w:pPr>
        <w:pStyle w:val="7"/>
        <w:spacing w:before="0" w:beforeAutospacing="0" w:after="0" w:afterAutospacing="0" w:line="360" w:lineRule="auto"/>
        <w:ind w:firstLine="420"/>
        <w:rPr>
          <w:sz w:val="21"/>
          <w:szCs w:val="21"/>
        </w:rPr>
      </w:pPr>
      <w:r>
        <w:rPr>
          <w:rFonts w:hint="eastAsia"/>
          <w:sz w:val="21"/>
          <w:szCs w:val="21"/>
        </w:rPr>
        <w:t xml:space="preserve">20、本基金连续发生巨额赎回并暂停接受赎回申请或延缓支付赎回款项；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21、本基金暂停接受申购、赎回申请或重新接受申购、赎回申请； </w:t>
      </w:r>
    </w:p>
    <w:p>
      <w:pPr>
        <w:pStyle w:val="7"/>
        <w:spacing w:before="0" w:beforeAutospacing="0" w:after="0" w:afterAutospacing="0" w:line="360" w:lineRule="auto"/>
        <w:ind w:firstLine="420"/>
        <w:rPr>
          <w:sz w:val="21"/>
          <w:szCs w:val="21"/>
        </w:rPr>
      </w:pPr>
      <w:r>
        <w:rPr>
          <w:rFonts w:hint="eastAsia"/>
          <w:sz w:val="21"/>
          <w:szCs w:val="21"/>
        </w:rPr>
        <w:t xml:space="preserve">22、发生涉及本基金申购、赎回事项调整或潜在影响投资者赎回等重大事项时； </w:t>
      </w:r>
    </w:p>
    <w:p>
      <w:pPr>
        <w:pStyle w:val="7"/>
        <w:spacing w:before="0" w:beforeAutospacing="0" w:after="0" w:afterAutospacing="0" w:line="360" w:lineRule="auto"/>
        <w:ind w:firstLine="420"/>
        <w:rPr>
          <w:sz w:val="21"/>
          <w:szCs w:val="21"/>
        </w:rPr>
      </w:pPr>
      <w:r>
        <w:rPr>
          <w:rFonts w:hint="eastAsia"/>
          <w:sz w:val="21"/>
          <w:szCs w:val="21"/>
        </w:rPr>
        <w:t xml:space="preserve">23、基金信息披露义务人认为可能对基金份额持有人权益或者基金份额的价格产生重大影响的其他事项或中国证监会规定的其他事项。 </w:t>
      </w:r>
    </w:p>
    <w:p>
      <w:pPr>
        <w:pStyle w:val="7"/>
        <w:spacing w:before="0" w:beforeAutospacing="0" w:after="0" w:afterAutospacing="0" w:line="360" w:lineRule="auto"/>
        <w:ind w:firstLine="420"/>
        <w:rPr>
          <w:sz w:val="21"/>
          <w:szCs w:val="21"/>
        </w:rPr>
      </w:pPr>
      <w:r>
        <w:rPr>
          <w:rFonts w:hint="eastAsia"/>
          <w:sz w:val="21"/>
          <w:szCs w:val="21"/>
        </w:rPr>
        <w:t xml:space="preserve">（八）澄清公告 </w:t>
      </w:r>
    </w:p>
    <w:p>
      <w:pPr>
        <w:pStyle w:val="7"/>
        <w:spacing w:before="0" w:beforeAutospacing="0" w:after="0" w:afterAutospacing="0" w:line="360" w:lineRule="auto"/>
        <w:ind w:firstLine="420"/>
        <w:rPr>
          <w:sz w:val="21"/>
          <w:szCs w:val="21"/>
        </w:rPr>
      </w:pPr>
      <w:r>
        <w:rPr>
          <w:rFonts w:hint="eastAsia"/>
          <w:sz w:val="21"/>
          <w:szCs w:val="21"/>
        </w:rPr>
        <w:t xml:space="preserve">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pPr>
        <w:pStyle w:val="7"/>
        <w:spacing w:before="0" w:beforeAutospacing="0" w:after="0" w:afterAutospacing="0" w:line="360" w:lineRule="auto"/>
        <w:ind w:firstLine="420"/>
        <w:rPr>
          <w:sz w:val="21"/>
          <w:szCs w:val="21"/>
        </w:rPr>
      </w:pPr>
      <w:r>
        <w:rPr>
          <w:rFonts w:hint="eastAsia"/>
          <w:sz w:val="21"/>
          <w:szCs w:val="21"/>
        </w:rPr>
        <w:t xml:space="preserve">（九）基金份额持有人大会决议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基金份额持有人大会决定的事项，应当依法报中国证监会备案，并予以公告。 </w:t>
      </w:r>
    </w:p>
    <w:p>
      <w:pPr>
        <w:pStyle w:val="7"/>
        <w:spacing w:before="0" w:beforeAutospacing="0" w:after="0" w:afterAutospacing="0" w:line="360" w:lineRule="auto"/>
        <w:ind w:firstLine="420"/>
        <w:rPr>
          <w:sz w:val="21"/>
          <w:szCs w:val="21"/>
        </w:rPr>
      </w:pPr>
      <w:r>
        <w:rPr>
          <w:rFonts w:hint="eastAsia"/>
          <w:sz w:val="21"/>
          <w:szCs w:val="21"/>
        </w:rPr>
        <w:t xml:space="preserve">（十）清算报告 </w:t>
      </w:r>
    </w:p>
    <w:p>
      <w:pPr>
        <w:pStyle w:val="7"/>
        <w:spacing w:before="0" w:beforeAutospacing="0" w:after="0" w:afterAutospacing="0" w:line="360" w:lineRule="auto"/>
        <w:ind w:firstLine="420"/>
        <w:rPr>
          <w:sz w:val="21"/>
          <w:szCs w:val="21"/>
        </w:rPr>
      </w:pPr>
      <w:r>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（十一）投资股指期货的信息披露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pPr>
        <w:pStyle w:val="7"/>
        <w:spacing w:before="0" w:beforeAutospacing="0" w:after="0" w:afterAutospacing="0" w:line="360" w:lineRule="auto"/>
        <w:ind w:firstLine="420"/>
        <w:rPr>
          <w:sz w:val="21"/>
          <w:szCs w:val="21"/>
        </w:rPr>
      </w:pPr>
      <w:r>
        <w:rPr>
          <w:rFonts w:hint="eastAsia"/>
          <w:sz w:val="21"/>
          <w:szCs w:val="21"/>
        </w:rPr>
        <w:t xml:space="preserve">（十二）投资国债期货的信息披露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 </w:t>
      </w:r>
    </w:p>
    <w:p>
      <w:pPr>
        <w:pStyle w:val="7"/>
        <w:spacing w:before="0" w:beforeAutospacing="0" w:after="0" w:afterAutospacing="0" w:line="360" w:lineRule="auto"/>
        <w:ind w:firstLine="420"/>
        <w:rPr>
          <w:sz w:val="21"/>
          <w:szCs w:val="21"/>
        </w:rPr>
      </w:pPr>
      <w:r>
        <w:rPr>
          <w:rFonts w:hint="eastAsia"/>
          <w:sz w:val="21"/>
          <w:szCs w:val="21"/>
        </w:rPr>
        <w:t xml:space="preserve">（十三）投资中小企业私募债券的信息披露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 </w:t>
      </w:r>
    </w:p>
    <w:p>
      <w:pPr>
        <w:pStyle w:val="7"/>
        <w:spacing w:before="0" w:beforeAutospacing="0" w:after="0" w:afterAutospacing="0" w:line="360" w:lineRule="auto"/>
        <w:ind w:firstLine="420"/>
        <w:rPr>
          <w:sz w:val="21"/>
          <w:szCs w:val="21"/>
        </w:rPr>
      </w:pPr>
      <w:r>
        <w:rPr>
          <w:rFonts w:hint="eastAsia"/>
          <w:sz w:val="21"/>
          <w:szCs w:val="21"/>
        </w:rPr>
        <w:t xml:space="preserve">（十四）投资资产支持证券的信息披露 </w:t>
      </w:r>
    </w:p>
    <w:p>
      <w:pPr>
        <w:pStyle w:val="7"/>
        <w:spacing w:before="0" w:beforeAutospacing="0" w:after="0" w:afterAutospacing="0" w:line="360" w:lineRule="auto"/>
        <w:ind w:firstLine="420"/>
        <w:rPr>
          <w:sz w:val="21"/>
          <w:szCs w:val="21"/>
        </w:rPr>
      </w:pPr>
      <w:r>
        <w:rPr>
          <w:rFonts w:hint="eastAsia"/>
          <w:sz w:val="21"/>
          <w:szCs w:val="21"/>
        </w:rPr>
        <w:t xml:space="preserve">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pPr>
        <w:pStyle w:val="7"/>
        <w:spacing w:before="0" w:beforeAutospacing="0" w:after="0" w:afterAutospacing="0" w:line="360" w:lineRule="auto"/>
        <w:ind w:firstLine="420"/>
        <w:rPr>
          <w:sz w:val="21"/>
          <w:szCs w:val="21"/>
        </w:rPr>
      </w:pPr>
      <w:r>
        <w:rPr>
          <w:rFonts w:hint="eastAsia"/>
          <w:sz w:val="21"/>
          <w:szCs w:val="21"/>
        </w:rPr>
        <w:t xml:space="preserve">（十五）中国证监会规定的其他信息。 </w:t>
      </w:r>
    </w:p>
    <w:p>
      <w:pPr>
        <w:pStyle w:val="7"/>
        <w:spacing w:before="0" w:beforeAutospacing="0" w:after="0" w:afterAutospacing="0" w:line="360" w:lineRule="auto"/>
        <w:ind w:firstLine="420"/>
        <w:rPr>
          <w:sz w:val="21"/>
          <w:szCs w:val="21"/>
        </w:rPr>
      </w:pPr>
      <w:bookmarkStart w:id="182" w:name="chapter_level1_18_67_section_2_end"/>
      <w:bookmarkEnd w:id="182"/>
      <w:bookmarkStart w:id="183" w:name="chapter_level1_18_67_section_3"/>
      <w:bookmarkEnd w:id="183"/>
      <w:r>
        <w:rPr>
          <w:rStyle w:val="11"/>
          <w:rFonts w:hint="eastAsia"/>
          <w:sz w:val="21"/>
          <w:szCs w:val="21"/>
        </w:rPr>
        <w:t>六、信息披露事务管理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基金管理人、基金托管人应当建立健全信息披露管理制度，指定专门部门及高级管理人员负责管理信息披露事务。 </w:t>
      </w:r>
    </w:p>
    <w:p>
      <w:pPr>
        <w:pStyle w:val="7"/>
        <w:spacing w:before="0" w:beforeAutospacing="0" w:after="0" w:afterAutospacing="0" w:line="360" w:lineRule="auto"/>
        <w:ind w:firstLine="420"/>
        <w:rPr>
          <w:sz w:val="21"/>
          <w:szCs w:val="21"/>
        </w:rPr>
      </w:pPr>
      <w:r>
        <w:rPr>
          <w:rFonts w:hint="eastAsia"/>
          <w:sz w:val="21"/>
          <w:szCs w:val="21"/>
        </w:rPr>
        <w:t xml:space="preserve">基金信息披露义务人公开披露基金信息，应当符合中国证监会相关基金信息披露内容与格式准则等法律法规规定。 </w:t>
      </w:r>
    </w:p>
    <w:p>
      <w:pPr>
        <w:pStyle w:val="7"/>
        <w:spacing w:before="0" w:beforeAutospacing="0" w:after="0" w:afterAutospacing="0" w:line="360" w:lineRule="auto"/>
        <w:ind w:firstLine="420"/>
        <w:rPr>
          <w:sz w:val="21"/>
          <w:szCs w:val="21"/>
        </w:rPr>
      </w:pPr>
      <w:r>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基金管理人、基金托管人应当在指定报刊中选择一家报刊披露本基金信息。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基金管理人、基金托管人应当向中国证监会基金电子披露网站报送拟披露的基金信息，并保证相关报送信息的真实、准确、完整、及时。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pPr>
        <w:pStyle w:val="7"/>
        <w:spacing w:before="0" w:beforeAutospacing="0" w:after="0" w:afterAutospacing="0" w:line="360" w:lineRule="auto"/>
        <w:ind w:firstLine="420"/>
        <w:rPr>
          <w:sz w:val="21"/>
          <w:szCs w:val="21"/>
        </w:rPr>
      </w:pPr>
      <w:r>
        <w:rPr>
          <w:rFonts w:hint="eastAsia"/>
          <w:sz w:val="21"/>
          <w:szCs w:val="21"/>
        </w:rPr>
        <w:t xml:space="preserve">为基金信息披露义务人公开披露的基金信息出具审计报告、法律意见书的专业机构，应当制作工作底稿，并将相关档案至少保存到《基金合同》终止后10年。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pPr>
        <w:pStyle w:val="7"/>
        <w:spacing w:before="0" w:beforeAutospacing="0" w:after="0" w:afterAutospacing="0" w:line="360" w:lineRule="auto"/>
        <w:ind w:firstLine="420"/>
        <w:rPr>
          <w:sz w:val="21"/>
          <w:szCs w:val="21"/>
        </w:rPr>
      </w:pPr>
      <w:r>
        <w:rPr>
          <w:rStyle w:val="11"/>
          <w:rFonts w:hint="eastAsia"/>
          <w:sz w:val="21"/>
          <w:szCs w:val="21"/>
        </w:rPr>
        <w:t>七、信息披露文件的存放与查阅 </w:t>
      </w:r>
    </w:p>
    <w:p>
      <w:pPr>
        <w:pStyle w:val="7"/>
        <w:spacing w:before="0" w:beforeAutospacing="0" w:after="0" w:afterAutospacing="0" w:line="360" w:lineRule="auto"/>
        <w:ind w:firstLine="420"/>
        <w:rPr>
          <w:sz w:val="21"/>
          <w:szCs w:val="21"/>
        </w:rPr>
      </w:pPr>
      <w:r>
        <w:rPr>
          <w:rFonts w:hint="eastAsia"/>
          <w:sz w:val="21"/>
          <w:szCs w:val="21"/>
        </w:rPr>
        <w:t>依法必须披露的信息发布后，基金管理人、基金托管人应当按照相关法律法规规定将信</w:t>
      </w:r>
      <w:bookmarkStart w:id="184" w:name="chapter_level1_18_67_section_3_end"/>
      <w:bookmarkEnd w:id="184"/>
      <w:r>
        <w:rPr>
          <w:rFonts w:hint="eastAsia"/>
          <w:sz w:val="21"/>
          <w:szCs w:val="21"/>
        </w:rPr>
        <w:t xml:space="preserve">息置备于公司住所，供社会公众查阅、复制。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5" w:name="chapter_level1_19_68"/>
      <w:bookmarkStart w:id="186" w:name="_Toc113628547"/>
      <w:r>
        <w:rPr>
          <w:rFonts w:hint="eastAsia" w:ascii="宋体" w:hAnsi="宋体" w:eastAsia="宋体"/>
          <w:sz w:val="30"/>
        </w:rPr>
        <w:t>第十六部分  风险揭示</w:t>
      </w:r>
      <w:bookmarkEnd w:id="185"/>
      <w:bookmarkEnd w:id="186"/>
    </w:p>
    <w:p>
      <w:pPr>
        <w:pStyle w:val="7"/>
        <w:spacing w:before="0" w:beforeAutospacing="0" w:after="0" w:afterAutospacing="0" w:line="360" w:lineRule="auto"/>
        <w:ind w:firstLine="420"/>
        <w:rPr>
          <w:sz w:val="21"/>
          <w:szCs w:val="21"/>
        </w:rPr>
      </w:pPr>
      <w:bookmarkStart w:id="187" w:name="chapter_level1_19_68_section_1"/>
      <w:bookmarkEnd w:id="187"/>
      <w:r>
        <w:rPr>
          <w:rStyle w:val="11"/>
          <w:rFonts w:hint="eastAsia"/>
          <w:sz w:val="21"/>
          <w:szCs w:val="21"/>
        </w:rPr>
        <w:t>一、投资于本基金的主要风险</w:t>
      </w:r>
    </w:p>
    <w:p>
      <w:pPr>
        <w:pStyle w:val="7"/>
        <w:spacing w:before="0" w:beforeAutospacing="0" w:after="0" w:afterAutospacing="0" w:line="360" w:lineRule="auto"/>
        <w:ind w:firstLine="420"/>
        <w:rPr>
          <w:sz w:val="21"/>
          <w:szCs w:val="21"/>
        </w:rPr>
      </w:pPr>
      <w:r>
        <w:rPr>
          <w:rFonts w:hint="eastAsia"/>
          <w:sz w:val="21"/>
          <w:szCs w:val="21"/>
        </w:rPr>
        <w:t xml:space="preserve">1、市场风险 </w:t>
      </w:r>
    </w:p>
    <w:p>
      <w:pPr>
        <w:pStyle w:val="7"/>
        <w:spacing w:before="0" w:beforeAutospacing="0" w:after="0" w:afterAutospacing="0" w:line="360" w:lineRule="auto"/>
        <w:ind w:firstLine="420"/>
        <w:rPr>
          <w:sz w:val="21"/>
          <w:szCs w:val="21"/>
        </w:rPr>
      </w:pPr>
      <w:r>
        <w:rPr>
          <w:rFonts w:hint="eastAsia"/>
          <w:sz w:val="21"/>
          <w:szCs w:val="21"/>
        </w:rPr>
        <w:t xml:space="preserve">证券市场价格受到各种因素的影响，导致基金收益水平变化而产生风险，主要包括： </w:t>
      </w:r>
    </w:p>
    <w:p>
      <w:pPr>
        <w:pStyle w:val="7"/>
        <w:spacing w:before="0" w:beforeAutospacing="0" w:after="0" w:afterAutospacing="0" w:line="360" w:lineRule="auto"/>
        <w:ind w:firstLine="420"/>
        <w:rPr>
          <w:sz w:val="21"/>
          <w:szCs w:val="21"/>
        </w:rPr>
      </w:pPr>
      <w:r>
        <w:rPr>
          <w:rFonts w:hint="eastAsia"/>
          <w:sz w:val="21"/>
          <w:szCs w:val="21"/>
        </w:rPr>
        <w:t xml:space="preserve">（1）政策风险。因国家宏观政策（如货币政策、财政政策、行业政策、地区发展政策等）发生变化，导致市场价格波动而产生风险。 </w:t>
      </w:r>
    </w:p>
    <w:p>
      <w:pPr>
        <w:pStyle w:val="7"/>
        <w:spacing w:before="0" w:beforeAutospacing="0" w:after="0" w:afterAutospacing="0" w:line="360" w:lineRule="auto"/>
        <w:ind w:firstLine="420"/>
        <w:rPr>
          <w:sz w:val="21"/>
          <w:szCs w:val="21"/>
        </w:rPr>
      </w:pPr>
      <w:r>
        <w:rPr>
          <w:rFonts w:hint="eastAsia"/>
          <w:sz w:val="21"/>
          <w:szCs w:val="21"/>
        </w:rPr>
        <w:t xml:space="preserve">（2）经济周期风险。随着经济运行的周期性变化，证券市场的收益水平也呈周期性变化。本基金主要投资于债券，收益水平也会随之变化，从而产生风险。 </w:t>
      </w:r>
    </w:p>
    <w:p>
      <w:pPr>
        <w:pStyle w:val="7"/>
        <w:spacing w:before="0" w:beforeAutospacing="0" w:after="0" w:afterAutospacing="0" w:line="360" w:lineRule="auto"/>
        <w:ind w:firstLine="420"/>
        <w:rPr>
          <w:sz w:val="21"/>
          <w:szCs w:val="21"/>
        </w:rPr>
      </w:pPr>
      <w:r>
        <w:rPr>
          <w:rFonts w:hint="eastAsia"/>
          <w:sz w:val="21"/>
          <w:szCs w:val="21"/>
        </w:rPr>
        <w:t xml:space="preserve">（3）利率风险。金融市场利率的波动会导致证券市场价格和收益率的变动。 </w:t>
      </w:r>
    </w:p>
    <w:p>
      <w:pPr>
        <w:pStyle w:val="7"/>
        <w:spacing w:before="0" w:beforeAutospacing="0" w:after="0" w:afterAutospacing="0" w:line="360" w:lineRule="auto"/>
        <w:ind w:firstLine="420"/>
        <w:rPr>
          <w:sz w:val="21"/>
          <w:szCs w:val="21"/>
        </w:rPr>
      </w:pPr>
      <w:r>
        <w:rPr>
          <w:rFonts w:hint="eastAsia"/>
          <w:sz w:val="21"/>
          <w:szCs w:val="21"/>
        </w:rPr>
        <w:t xml:space="preserve">（4）通货膨胀风险。如果发生通货膨胀，基金投资于证券所获得的收益可能会被通货膨胀抵消，从而影响基金资产的保值增值。 </w:t>
      </w:r>
    </w:p>
    <w:p>
      <w:pPr>
        <w:pStyle w:val="7"/>
        <w:spacing w:before="0" w:beforeAutospacing="0" w:after="0" w:afterAutospacing="0" w:line="360" w:lineRule="auto"/>
        <w:ind w:firstLine="420"/>
        <w:rPr>
          <w:sz w:val="21"/>
          <w:szCs w:val="21"/>
        </w:rPr>
      </w:pPr>
      <w:r>
        <w:rPr>
          <w:rFonts w:hint="eastAsia"/>
          <w:sz w:val="21"/>
          <w:szCs w:val="21"/>
        </w:rPr>
        <w:t xml:space="preserve">（5）再投资风险。再投资风险反映了利率下降对固定收益证券利息收入再投资收益的影响，这与利率上升所带来的价格风险（即利率风险）互为消长。 </w:t>
      </w:r>
    </w:p>
    <w:p>
      <w:pPr>
        <w:pStyle w:val="7"/>
        <w:spacing w:before="0" w:beforeAutospacing="0" w:after="0" w:afterAutospacing="0" w:line="360" w:lineRule="auto"/>
        <w:ind w:firstLine="420"/>
        <w:rPr>
          <w:sz w:val="21"/>
          <w:szCs w:val="21"/>
        </w:rPr>
      </w:pPr>
      <w:r>
        <w:rPr>
          <w:rFonts w:hint="eastAsia"/>
          <w:sz w:val="21"/>
          <w:szCs w:val="21"/>
        </w:rPr>
        <w:t xml:space="preserve">（6）债券收益率曲线风险 </w:t>
      </w:r>
    </w:p>
    <w:p>
      <w:pPr>
        <w:pStyle w:val="7"/>
        <w:spacing w:before="0" w:beforeAutospacing="0" w:after="0" w:afterAutospacing="0" w:line="360" w:lineRule="auto"/>
        <w:ind w:firstLine="420"/>
        <w:rPr>
          <w:sz w:val="21"/>
          <w:szCs w:val="21"/>
        </w:rPr>
      </w:pPr>
      <w:r>
        <w:rPr>
          <w:rFonts w:hint="eastAsia"/>
          <w:sz w:val="21"/>
          <w:szCs w:val="21"/>
        </w:rPr>
        <w:t xml:space="preserve">债券市场不同期限、不同类属债券之间的利差变动会导致相应期限和类属债券价格变化的风险。 </w:t>
      </w:r>
    </w:p>
    <w:p>
      <w:pPr>
        <w:pStyle w:val="7"/>
        <w:spacing w:before="0" w:beforeAutospacing="0" w:after="0" w:afterAutospacing="0" w:line="360" w:lineRule="auto"/>
        <w:ind w:firstLine="420"/>
        <w:rPr>
          <w:sz w:val="21"/>
          <w:szCs w:val="21"/>
        </w:rPr>
      </w:pPr>
      <w:r>
        <w:rPr>
          <w:rFonts w:hint="eastAsia"/>
          <w:sz w:val="21"/>
          <w:szCs w:val="21"/>
        </w:rPr>
        <w:t xml:space="preserve">（7）购买力风险 </w:t>
      </w:r>
    </w:p>
    <w:p>
      <w:pPr>
        <w:pStyle w:val="7"/>
        <w:spacing w:before="0" w:beforeAutospacing="0" w:after="0" w:afterAutospacing="0" w:line="360" w:lineRule="auto"/>
        <w:ind w:firstLine="420"/>
        <w:rPr>
          <w:sz w:val="21"/>
          <w:szCs w:val="21"/>
        </w:rPr>
      </w:pPr>
      <w:r>
        <w:rPr>
          <w:rFonts w:hint="eastAsia"/>
          <w:sz w:val="21"/>
          <w:szCs w:val="21"/>
        </w:rPr>
        <w:t xml:space="preserve">委托财产的利润将主要通过现金形式来分配 ，而现金可能因为通货膨胀的影响而导致购买力下降，从而使委托财产的实际收益下降。 </w:t>
      </w:r>
    </w:p>
    <w:p>
      <w:pPr>
        <w:pStyle w:val="7"/>
        <w:spacing w:before="0" w:beforeAutospacing="0" w:after="0" w:afterAutospacing="0" w:line="360" w:lineRule="auto"/>
        <w:ind w:firstLine="420"/>
        <w:rPr>
          <w:sz w:val="21"/>
          <w:szCs w:val="21"/>
        </w:rPr>
      </w:pPr>
      <w:r>
        <w:rPr>
          <w:rFonts w:hint="eastAsia"/>
          <w:sz w:val="21"/>
          <w:szCs w:val="21"/>
        </w:rPr>
        <w:t xml:space="preserve">（8）波动风险 </w:t>
      </w:r>
    </w:p>
    <w:p>
      <w:pPr>
        <w:pStyle w:val="7"/>
        <w:spacing w:before="0" w:beforeAutospacing="0" w:after="0" w:afterAutospacing="0" w:line="360" w:lineRule="auto"/>
        <w:ind w:firstLine="420"/>
        <w:rPr>
          <w:sz w:val="21"/>
          <w:szCs w:val="21"/>
        </w:rPr>
      </w:pPr>
      <w:r>
        <w:rPr>
          <w:rFonts w:hint="eastAsia"/>
          <w:sz w:val="21"/>
          <w:szCs w:val="21"/>
        </w:rPr>
        <w:t xml:space="preserve">波动性风险主要存在于可转债的投资中，具体表现为可转债的价格受到其相对应股票价格波动的影响，同时可转债还有信用风险与转股风险。转股风险指相对应股票价格跌破转股价，不能获得转股收益，从而无法弥补当初付出的转股期权价值。 </w:t>
      </w:r>
    </w:p>
    <w:p>
      <w:pPr>
        <w:pStyle w:val="7"/>
        <w:spacing w:before="0" w:beforeAutospacing="0" w:after="0" w:afterAutospacing="0" w:line="360" w:lineRule="auto"/>
        <w:ind w:firstLine="420"/>
        <w:rPr>
          <w:sz w:val="21"/>
          <w:szCs w:val="21"/>
        </w:rPr>
      </w:pPr>
      <w:r>
        <w:rPr>
          <w:rFonts w:hint="eastAsia"/>
          <w:sz w:val="21"/>
          <w:szCs w:val="21"/>
        </w:rPr>
        <w:t xml:space="preserve">2、信用风险 </w:t>
      </w:r>
    </w:p>
    <w:p>
      <w:pPr>
        <w:pStyle w:val="7"/>
        <w:spacing w:before="0" w:beforeAutospacing="0" w:after="0" w:afterAutospacing="0" w:line="360" w:lineRule="auto"/>
        <w:ind w:firstLine="420"/>
        <w:rPr>
          <w:sz w:val="21"/>
          <w:szCs w:val="21"/>
        </w:rPr>
      </w:pPr>
      <w:r>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pPr>
        <w:pStyle w:val="7"/>
        <w:spacing w:before="0" w:beforeAutospacing="0" w:after="0" w:afterAutospacing="0" w:line="360" w:lineRule="auto"/>
        <w:ind w:firstLine="420"/>
        <w:rPr>
          <w:sz w:val="21"/>
          <w:szCs w:val="21"/>
        </w:rPr>
      </w:pPr>
      <w:r>
        <w:rPr>
          <w:rFonts w:hint="eastAsia"/>
          <w:sz w:val="21"/>
          <w:szCs w:val="21"/>
        </w:rPr>
        <w:t xml:space="preserve">3、流动性风险 </w:t>
      </w:r>
    </w:p>
    <w:p>
      <w:pPr>
        <w:pStyle w:val="7"/>
        <w:spacing w:before="0" w:beforeAutospacing="0" w:after="0" w:afterAutospacing="0" w:line="360" w:lineRule="auto"/>
        <w:ind w:firstLine="420"/>
        <w:rPr>
          <w:sz w:val="21"/>
          <w:szCs w:val="21"/>
        </w:rPr>
      </w:pPr>
      <w:r>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pPr>
        <w:pStyle w:val="7"/>
        <w:spacing w:before="0" w:beforeAutospacing="0" w:after="0" w:afterAutospacing="0" w:line="360" w:lineRule="auto"/>
        <w:ind w:firstLine="420"/>
        <w:rPr>
          <w:sz w:val="21"/>
          <w:szCs w:val="21"/>
        </w:rPr>
      </w:pPr>
      <w:r>
        <w:rPr>
          <w:rFonts w:hint="eastAsia"/>
          <w:sz w:val="21"/>
          <w:szCs w:val="21"/>
        </w:rPr>
        <w:t xml:space="preserve">（1）基金申购、赎回安排 </w:t>
      </w:r>
    </w:p>
    <w:p>
      <w:pPr>
        <w:pStyle w:val="7"/>
        <w:spacing w:before="0" w:beforeAutospacing="0" w:after="0" w:afterAutospacing="0" w:line="360" w:lineRule="auto"/>
        <w:ind w:firstLine="420"/>
        <w:rPr>
          <w:sz w:val="21"/>
          <w:szCs w:val="21"/>
        </w:rPr>
      </w:pPr>
      <w:r>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pPr>
        <w:pStyle w:val="7"/>
        <w:spacing w:before="0" w:beforeAutospacing="0" w:after="0" w:afterAutospacing="0" w:line="360" w:lineRule="auto"/>
        <w:ind w:firstLine="420"/>
        <w:rPr>
          <w:sz w:val="21"/>
          <w:szCs w:val="21"/>
        </w:rPr>
      </w:pPr>
      <w:r>
        <w:rPr>
          <w:rFonts w:hint="eastAsia"/>
          <w:sz w:val="21"/>
          <w:szCs w:val="21"/>
        </w:rPr>
        <w:t xml:space="preserve">（2）拟投资市场、行业及资产的流动性风险评估 </w:t>
      </w:r>
    </w:p>
    <w:p>
      <w:pPr>
        <w:pStyle w:val="7"/>
        <w:spacing w:before="0" w:beforeAutospacing="0" w:after="0" w:afterAutospacing="0" w:line="360" w:lineRule="auto"/>
        <w:ind w:firstLine="420"/>
        <w:rPr>
          <w:sz w:val="21"/>
          <w:szCs w:val="21"/>
        </w:rPr>
      </w:pPr>
      <w:r>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pPr>
        <w:pStyle w:val="7"/>
        <w:spacing w:before="0" w:beforeAutospacing="0" w:after="0" w:afterAutospacing="0" w:line="360" w:lineRule="auto"/>
        <w:ind w:firstLine="420"/>
        <w:rPr>
          <w:sz w:val="21"/>
          <w:szCs w:val="21"/>
        </w:rPr>
      </w:pPr>
      <w:r>
        <w:rPr>
          <w:rFonts w:hint="eastAsia"/>
          <w:sz w:val="21"/>
          <w:szCs w:val="21"/>
        </w:rPr>
        <w:t xml:space="preserve">（3）巨额赎回情形下的流动性风险管理措施 </w:t>
      </w:r>
    </w:p>
    <w:p>
      <w:pPr>
        <w:pStyle w:val="7"/>
        <w:spacing w:before="0" w:beforeAutospacing="0" w:after="0" w:afterAutospacing="0" w:line="360" w:lineRule="auto"/>
        <w:ind w:firstLine="420"/>
        <w:rPr>
          <w:sz w:val="21"/>
          <w:szCs w:val="21"/>
        </w:rPr>
      </w:pPr>
      <w:r>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pPr>
        <w:pStyle w:val="7"/>
        <w:spacing w:before="0" w:beforeAutospacing="0" w:after="0" w:afterAutospacing="0" w:line="360" w:lineRule="auto"/>
        <w:ind w:firstLine="420"/>
        <w:rPr>
          <w:sz w:val="21"/>
          <w:szCs w:val="21"/>
        </w:rPr>
      </w:pPr>
      <w:r>
        <w:rPr>
          <w:rFonts w:hint="eastAsia"/>
          <w:sz w:val="21"/>
          <w:szCs w:val="21"/>
        </w:rPr>
        <w:t xml:space="preserve">（4）实施备用的流动性风险管理工具的情形、程序及对投资者的潜在影响 </w:t>
      </w:r>
    </w:p>
    <w:p>
      <w:pPr>
        <w:pStyle w:val="7"/>
        <w:spacing w:before="0" w:beforeAutospacing="0" w:after="0" w:afterAutospacing="0" w:line="360" w:lineRule="auto"/>
        <w:ind w:firstLine="420"/>
        <w:rPr>
          <w:sz w:val="21"/>
          <w:szCs w:val="21"/>
        </w:rPr>
      </w:pPr>
      <w:r>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pPr>
        <w:pStyle w:val="7"/>
        <w:spacing w:before="0" w:beforeAutospacing="0" w:after="0" w:afterAutospacing="0" w:line="360" w:lineRule="auto"/>
        <w:ind w:firstLine="420"/>
        <w:rPr>
          <w:sz w:val="21"/>
          <w:szCs w:val="21"/>
        </w:rPr>
      </w:pPr>
      <w:r>
        <w:rPr>
          <w:rFonts w:hint="eastAsia"/>
          <w:sz w:val="21"/>
          <w:szCs w:val="21"/>
        </w:rPr>
        <w:t xml:space="preserve">4、操作风险 </w:t>
      </w:r>
    </w:p>
    <w:p>
      <w:pPr>
        <w:pStyle w:val="7"/>
        <w:spacing w:before="0" w:beforeAutospacing="0" w:after="0" w:afterAutospacing="0" w:line="360" w:lineRule="auto"/>
        <w:ind w:firstLine="420"/>
        <w:rPr>
          <w:sz w:val="21"/>
          <w:szCs w:val="21"/>
        </w:rPr>
      </w:pPr>
      <w:r>
        <w:rPr>
          <w:rFonts w:hint="eastAsia"/>
          <w:sz w:val="21"/>
          <w:szCs w:val="21"/>
        </w:rPr>
        <w:t xml:space="preserve">操作风险是指基金运作过程中，因内部控制存在缺陷或者人为因素造成操作失误或违反操作规程等引致的风险，例如，越权违规交易、会计部门欺诈、交易错误、IT系统故障等风险。 </w:t>
      </w:r>
    </w:p>
    <w:p>
      <w:pPr>
        <w:pStyle w:val="7"/>
        <w:spacing w:before="0" w:beforeAutospacing="0" w:after="0" w:afterAutospacing="0" w:line="360" w:lineRule="auto"/>
        <w:ind w:firstLine="420"/>
        <w:rPr>
          <w:sz w:val="21"/>
          <w:szCs w:val="21"/>
        </w:rPr>
      </w:pPr>
      <w:r>
        <w:rPr>
          <w:rFonts w:hint="eastAsia"/>
          <w:sz w:val="21"/>
          <w:szCs w:val="21"/>
        </w:rPr>
        <w:t xml:space="preserve">5、管理风险 </w:t>
      </w:r>
    </w:p>
    <w:p>
      <w:pPr>
        <w:pStyle w:val="7"/>
        <w:spacing w:before="0" w:beforeAutospacing="0" w:after="0" w:afterAutospacing="0" w:line="360" w:lineRule="auto"/>
        <w:ind w:firstLine="420"/>
        <w:rPr>
          <w:sz w:val="21"/>
          <w:szCs w:val="21"/>
        </w:rPr>
      </w:pPr>
      <w:r>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pPr>
        <w:pStyle w:val="7"/>
        <w:spacing w:before="0" w:beforeAutospacing="0" w:after="0" w:afterAutospacing="0" w:line="360" w:lineRule="auto"/>
        <w:ind w:firstLine="420"/>
        <w:rPr>
          <w:sz w:val="21"/>
          <w:szCs w:val="21"/>
        </w:rPr>
      </w:pPr>
      <w:r>
        <w:rPr>
          <w:rFonts w:hint="eastAsia"/>
          <w:sz w:val="21"/>
          <w:szCs w:val="21"/>
        </w:rPr>
        <w:t xml:space="preserve">6、合规风险 </w:t>
      </w:r>
    </w:p>
    <w:p>
      <w:pPr>
        <w:pStyle w:val="7"/>
        <w:spacing w:before="0" w:beforeAutospacing="0" w:after="0" w:afterAutospacing="0" w:line="360" w:lineRule="auto"/>
        <w:ind w:firstLine="420"/>
        <w:rPr>
          <w:sz w:val="21"/>
          <w:szCs w:val="21"/>
        </w:rPr>
      </w:pPr>
      <w:r>
        <w:rPr>
          <w:rFonts w:hint="eastAsia"/>
          <w:sz w:val="21"/>
          <w:szCs w:val="21"/>
        </w:rPr>
        <w:t xml:space="preserve">合规风险指基金管理或运作过程中，违反国家法律、法规的规定，或者违反《基金合同》有关规定的风险。 </w:t>
      </w:r>
    </w:p>
    <w:p>
      <w:pPr>
        <w:pStyle w:val="7"/>
        <w:spacing w:before="0" w:beforeAutospacing="0" w:after="0" w:afterAutospacing="0" w:line="360" w:lineRule="auto"/>
        <w:ind w:firstLine="420"/>
        <w:rPr>
          <w:sz w:val="21"/>
          <w:szCs w:val="21"/>
        </w:rPr>
      </w:pPr>
      <w:r>
        <w:rPr>
          <w:rStyle w:val="11"/>
          <w:rFonts w:hint="eastAsia"/>
          <w:sz w:val="21"/>
          <w:szCs w:val="21"/>
        </w:rPr>
        <w:t>二、投资于本基金的特有风险</w:t>
      </w:r>
    </w:p>
    <w:p>
      <w:pPr>
        <w:pStyle w:val="7"/>
        <w:spacing w:before="0" w:beforeAutospacing="0" w:after="0" w:afterAutospacing="0" w:line="360" w:lineRule="auto"/>
        <w:ind w:firstLine="420"/>
        <w:rPr>
          <w:sz w:val="21"/>
          <w:szCs w:val="21"/>
        </w:rPr>
      </w:pPr>
      <w:r>
        <w:rPr>
          <w:rFonts w:hint="eastAsia"/>
          <w:sz w:val="21"/>
          <w:szCs w:val="21"/>
        </w:rPr>
        <w:t xml:space="preserve">1、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尚未被主流市场认同但又具有成长潜力的上市公司股票，这种对股票的评估具有一定的主观性，将在个股投资决策中给基金带来一定的不确定性，因而存在个股选择风险。 </w:t>
      </w:r>
    </w:p>
    <w:p>
      <w:pPr>
        <w:pStyle w:val="7"/>
        <w:spacing w:before="0" w:beforeAutospacing="0" w:after="0" w:afterAutospacing="0" w:line="360" w:lineRule="auto"/>
        <w:ind w:firstLine="420"/>
        <w:rPr>
          <w:sz w:val="21"/>
          <w:szCs w:val="21"/>
        </w:rPr>
      </w:pPr>
      <w:r>
        <w:rPr>
          <w:rFonts w:hint="eastAsia"/>
          <w:sz w:val="21"/>
          <w:szCs w:val="21"/>
        </w:rPr>
        <w:t xml:space="preserve">2、股指期货、国债期货等金融衍生品投资风险 </w:t>
      </w:r>
    </w:p>
    <w:p>
      <w:pPr>
        <w:pStyle w:val="7"/>
        <w:spacing w:before="0" w:beforeAutospacing="0" w:after="0" w:afterAutospacing="0" w:line="360" w:lineRule="auto"/>
        <w:ind w:firstLine="420"/>
        <w:rPr>
          <w:sz w:val="21"/>
          <w:szCs w:val="21"/>
        </w:rPr>
      </w:pPr>
      <w:r>
        <w:rPr>
          <w:rFonts w:hint="eastAsia"/>
          <w:sz w:val="21"/>
          <w:szCs w:val="21"/>
        </w:rPr>
        <w:t xml:space="preserve">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 </w:t>
      </w:r>
    </w:p>
    <w:p>
      <w:pPr>
        <w:pStyle w:val="7"/>
        <w:spacing w:before="0" w:beforeAutospacing="0" w:after="0" w:afterAutospacing="0" w:line="360" w:lineRule="auto"/>
        <w:ind w:firstLine="420"/>
        <w:rPr>
          <w:sz w:val="21"/>
          <w:szCs w:val="21"/>
        </w:rPr>
      </w:pPr>
      <w:r>
        <w:rPr>
          <w:rFonts w:hint="eastAsia"/>
          <w:sz w:val="21"/>
          <w:szCs w:val="21"/>
        </w:rPr>
        <w:t xml:space="preserve">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 </w:t>
      </w:r>
    </w:p>
    <w:p>
      <w:pPr>
        <w:pStyle w:val="7"/>
        <w:spacing w:before="0" w:beforeAutospacing="0" w:after="0" w:afterAutospacing="0" w:line="360" w:lineRule="auto"/>
        <w:ind w:firstLine="420"/>
        <w:rPr>
          <w:sz w:val="21"/>
          <w:szCs w:val="21"/>
        </w:rPr>
      </w:pPr>
      <w:r>
        <w:rPr>
          <w:rFonts w:hint="eastAsia"/>
          <w:sz w:val="21"/>
          <w:szCs w:val="21"/>
        </w:rPr>
        <w:t xml:space="preserve">3、中小企业私募债券投资风险 </w:t>
      </w:r>
    </w:p>
    <w:p>
      <w:pPr>
        <w:pStyle w:val="7"/>
        <w:spacing w:before="0" w:beforeAutospacing="0" w:after="0" w:afterAutospacing="0" w:line="360" w:lineRule="auto"/>
        <w:ind w:firstLine="420"/>
        <w:rPr>
          <w:sz w:val="21"/>
          <w:szCs w:val="21"/>
        </w:rPr>
      </w:pPr>
      <w:r>
        <w:rPr>
          <w:rFonts w:hint="eastAsia"/>
          <w:sz w:val="21"/>
          <w:szCs w:val="21"/>
        </w:rPr>
        <w:t xml:space="preserve">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 </w:t>
      </w:r>
    </w:p>
    <w:p>
      <w:pPr>
        <w:pStyle w:val="7"/>
        <w:spacing w:before="0" w:beforeAutospacing="0" w:after="0" w:afterAutospacing="0" w:line="360" w:lineRule="auto"/>
        <w:ind w:firstLine="420"/>
        <w:rPr>
          <w:sz w:val="21"/>
          <w:szCs w:val="21"/>
        </w:rPr>
      </w:pPr>
      <w:r>
        <w:rPr>
          <w:rFonts w:hint="eastAsia"/>
          <w:sz w:val="21"/>
          <w:szCs w:val="21"/>
        </w:rPr>
        <w:t xml:space="preserve">4、资产支持证券（ABS）的风险 </w:t>
      </w:r>
    </w:p>
    <w:p>
      <w:pPr>
        <w:pStyle w:val="7"/>
        <w:spacing w:before="0" w:beforeAutospacing="0" w:after="0" w:afterAutospacing="0" w:line="360" w:lineRule="auto"/>
        <w:ind w:firstLine="420"/>
        <w:rPr>
          <w:sz w:val="21"/>
          <w:szCs w:val="21"/>
        </w:rPr>
      </w:pPr>
      <w:r>
        <w:rPr>
          <w:rFonts w:hint="eastAsia"/>
          <w:sz w:val="21"/>
          <w:szCs w:val="21"/>
        </w:rPr>
        <w:t xml:space="preserve">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pPr>
        <w:pStyle w:val="7"/>
        <w:spacing w:before="0" w:beforeAutospacing="0" w:after="0" w:afterAutospacing="0" w:line="360" w:lineRule="auto"/>
        <w:ind w:firstLine="420"/>
        <w:rPr>
          <w:sz w:val="21"/>
          <w:szCs w:val="21"/>
        </w:rPr>
      </w:pPr>
      <w:r>
        <w:rPr>
          <w:rFonts w:hint="eastAsia"/>
          <w:sz w:val="21"/>
          <w:szCs w:val="21"/>
        </w:rPr>
        <w:t xml:space="preserve">5、投资于存托凭证的风险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Style w:val="11"/>
          <w:rFonts w:hint="eastAsia"/>
          <w:sz w:val="21"/>
          <w:szCs w:val="21"/>
        </w:rPr>
        <w:t>三、其他风险</w:t>
      </w:r>
    </w:p>
    <w:p>
      <w:pPr>
        <w:pStyle w:val="7"/>
        <w:spacing w:before="0" w:beforeAutospacing="0" w:after="0" w:afterAutospacing="0" w:line="360" w:lineRule="auto"/>
        <w:ind w:firstLine="420"/>
        <w:rPr>
          <w:sz w:val="21"/>
          <w:szCs w:val="21"/>
        </w:rPr>
      </w:pPr>
      <w:r>
        <w:rPr>
          <w:rFonts w:hint="eastAsia"/>
          <w:sz w:val="21"/>
          <w:szCs w:val="21"/>
        </w:rPr>
        <w:t xml:space="preserve">1、技术风险 </w:t>
      </w:r>
    </w:p>
    <w:p>
      <w:pPr>
        <w:pStyle w:val="7"/>
        <w:spacing w:before="0" w:beforeAutospacing="0" w:after="0" w:afterAutospacing="0" w:line="360" w:lineRule="auto"/>
        <w:ind w:firstLine="420"/>
        <w:rPr>
          <w:sz w:val="21"/>
          <w:szCs w:val="21"/>
        </w:rPr>
      </w:pPr>
      <w:r>
        <w:rPr>
          <w:rFonts w:hint="eastAsia"/>
          <w:sz w:val="21"/>
          <w:szCs w:val="21"/>
        </w:rPr>
        <w:t xml:space="preserve">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 </w:t>
      </w:r>
    </w:p>
    <w:p>
      <w:pPr>
        <w:pStyle w:val="7"/>
        <w:spacing w:before="0" w:beforeAutospacing="0" w:after="0" w:afterAutospacing="0" w:line="360" w:lineRule="auto"/>
        <w:ind w:firstLine="420"/>
        <w:rPr>
          <w:sz w:val="21"/>
          <w:szCs w:val="21"/>
        </w:rPr>
      </w:pPr>
      <w:r>
        <w:rPr>
          <w:rFonts w:hint="eastAsia"/>
          <w:sz w:val="21"/>
          <w:szCs w:val="21"/>
        </w:rPr>
        <w:t xml:space="preserve">2、法律风险 </w:t>
      </w:r>
    </w:p>
    <w:p>
      <w:pPr>
        <w:pStyle w:val="7"/>
        <w:spacing w:before="0" w:beforeAutospacing="0" w:after="0" w:afterAutospacing="0" w:line="360" w:lineRule="auto"/>
        <w:ind w:firstLine="420"/>
        <w:rPr>
          <w:sz w:val="21"/>
          <w:szCs w:val="21"/>
        </w:rPr>
      </w:pPr>
      <w:r>
        <w:rPr>
          <w:rFonts w:hint="eastAsia"/>
          <w:sz w:val="21"/>
          <w:szCs w:val="21"/>
        </w:rPr>
        <w:t xml:space="preserve">由于法律法规方面的原因，某些市场行为受到限制或合同不能正常执行，导致基金资产的损失。 </w:t>
      </w:r>
    </w:p>
    <w:p>
      <w:pPr>
        <w:pStyle w:val="7"/>
        <w:spacing w:before="0" w:beforeAutospacing="0" w:after="0" w:afterAutospacing="0" w:line="360" w:lineRule="auto"/>
        <w:ind w:firstLine="420"/>
        <w:rPr>
          <w:sz w:val="21"/>
          <w:szCs w:val="21"/>
        </w:rPr>
      </w:pPr>
      <w:r>
        <w:rPr>
          <w:rFonts w:hint="eastAsia"/>
          <w:sz w:val="21"/>
          <w:szCs w:val="21"/>
        </w:rPr>
        <w:t xml:space="preserve">3、其他风险 </w:t>
      </w:r>
    </w:p>
    <w:p>
      <w:pPr>
        <w:pStyle w:val="7"/>
        <w:spacing w:before="0" w:beforeAutospacing="0" w:after="0" w:afterAutospacing="0" w:line="360" w:lineRule="auto"/>
        <w:ind w:firstLine="420"/>
        <w:rPr>
          <w:sz w:val="21"/>
          <w:szCs w:val="21"/>
        </w:rPr>
      </w:pPr>
      <w:r>
        <w:rPr>
          <w:rFonts w:hint="eastAsia"/>
          <w:sz w:val="21"/>
          <w:szCs w:val="21"/>
        </w:rPr>
        <w:t>战争、自然灾害等不可抗力因素的出现，将会严重影响证券市场的运行，可能导致基金资产的损失。金融市场危机、行业竞争、代理商违约、托管行违约等超出基金管理人自身直</w:t>
      </w:r>
      <w:bookmarkStart w:id="188" w:name="chapter_level1_19_68_section_1_end"/>
      <w:bookmarkEnd w:id="188"/>
      <w:r>
        <w:rPr>
          <w:rFonts w:hint="eastAsia"/>
          <w:sz w:val="21"/>
          <w:szCs w:val="21"/>
        </w:rPr>
        <w:t xml:space="preserve">接控制能力之外的风险，可能导致基金或者基金份额持有人利益受损。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9" w:name="_Toc113628548"/>
      <w:bookmarkStart w:id="190" w:name="chapter_level1_20_69"/>
      <w:r>
        <w:rPr>
          <w:rFonts w:hint="eastAsia" w:ascii="宋体" w:hAnsi="宋体" w:eastAsia="宋体"/>
          <w:sz w:val="30"/>
        </w:rPr>
        <w:t>第十七部分  基金合同的变更、终止与基金财产的清算</w:t>
      </w:r>
      <w:bookmarkEnd w:id="189"/>
      <w:bookmarkEnd w:id="190"/>
    </w:p>
    <w:p>
      <w:pPr>
        <w:pStyle w:val="7"/>
        <w:spacing w:before="0" w:beforeAutospacing="0" w:after="0" w:afterAutospacing="0" w:line="360" w:lineRule="auto"/>
        <w:ind w:firstLine="420"/>
        <w:rPr>
          <w:sz w:val="21"/>
          <w:szCs w:val="21"/>
        </w:rPr>
      </w:pPr>
      <w:bookmarkStart w:id="191" w:name="chapter_level1_20_69_section_1"/>
      <w:bookmarkEnd w:id="191"/>
      <w:r>
        <w:rPr>
          <w:rStyle w:val="11"/>
          <w:rFonts w:hint="eastAsia"/>
          <w:sz w:val="21"/>
          <w:szCs w:val="21"/>
        </w:rPr>
        <w:t>一、《基金合同》的变更</w:t>
      </w:r>
    </w:p>
    <w:p>
      <w:pPr>
        <w:pStyle w:val="7"/>
        <w:spacing w:before="0" w:beforeAutospacing="0" w:after="0" w:afterAutospacing="0" w:line="360" w:lineRule="auto"/>
        <w:ind w:firstLine="420"/>
        <w:rPr>
          <w:sz w:val="21"/>
          <w:szCs w:val="21"/>
        </w:rPr>
      </w:pPr>
      <w:r>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2、关于《基金合同》变更的基金份额持有人大会决议自生效后方可执行，并自决议生效后按规定在指定媒介公告。 </w:t>
      </w:r>
    </w:p>
    <w:p>
      <w:pPr>
        <w:pStyle w:val="7"/>
        <w:spacing w:before="0" w:beforeAutospacing="0" w:after="0" w:afterAutospacing="0" w:line="360" w:lineRule="auto"/>
        <w:ind w:firstLine="420"/>
        <w:rPr>
          <w:sz w:val="21"/>
          <w:szCs w:val="21"/>
        </w:rPr>
      </w:pPr>
      <w:r>
        <w:rPr>
          <w:rStyle w:val="11"/>
          <w:rFonts w:hint="eastAsia"/>
          <w:sz w:val="21"/>
          <w:szCs w:val="21"/>
        </w:rPr>
        <w:t>二、《基金合同》的终止事由</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7"/>
        <w:spacing w:before="0" w:beforeAutospacing="0" w:after="0" w:afterAutospacing="0" w:line="360" w:lineRule="auto"/>
        <w:ind w:firstLine="420"/>
        <w:rPr>
          <w:sz w:val="21"/>
          <w:szCs w:val="21"/>
        </w:rPr>
      </w:pPr>
      <w:r>
        <w:rPr>
          <w:rStyle w:val="11"/>
          <w:rFonts w:hint="eastAsia"/>
          <w:sz w:val="21"/>
          <w:szCs w:val="21"/>
        </w:rPr>
        <w:t>三、基金财产的清算</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4、基金财产清算程序：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5、基金财产清算的期限为6个月。 </w:t>
      </w:r>
    </w:p>
    <w:p>
      <w:pPr>
        <w:pStyle w:val="7"/>
        <w:spacing w:before="0" w:beforeAutospacing="0" w:after="0" w:afterAutospacing="0" w:line="360" w:lineRule="auto"/>
        <w:ind w:firstLine="420"/>
        <w:rPr>
          <w:sz w:val="21"/>
          <w:szCs w:val="21"/>
        </w:rPr>
      </w:pPr>
      <w:r>
        <w:rPr>
          <w:rStyle w:val="11"/>
          <w:rFonts w:hint="eastAsia"/>
          <w:sz w:val="21"/>
          <w:szCs w:val="21"/>
        </w:rPr>
        <w:t>四、清算费用</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清算费用是指基金财产清算小组在进行基金清算过程中发生的所有合理费用，清算费用由基金财产清算小组优先从基金财产中支付。 </w:t>
      </w:r>
    </w:p>
    <w:p>
      <w:pPr>
        <w:pStyle w:val="7"/>
        <w:spacing w:before="0" w:beforeAutospacing="0" w:after="0" w:afterAutospacing="0" w:line="360" w:lineRule="auto"/>
        <w:ind w:firstLine="420"/>
        <w:rPr>
          <w:sz w:val="21"/>
          <w:szCs w:val="21"/>
        </w:rPr>
      </w:pPr>
      <w:r>
        <w:rPr>
          <w:rStyle w:val="11"/>
          <w:rFonts w:hint="eastAsia"/>
          <w:sz w:val="21"/>
          <w:szCs w:val="21"/>
        </w:rPr>
        <w:t>五、基金财产清算剩余资产的分配</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7"/>
        <w:spacing w:before="0" w:beforeAutospacing="0" w:after="0" w:afterAutospacing="0" w:line="360" w:lineRule="auto"/>
        <w:ind w:firstLine="420"/>
        <w:rPr>
          <w:sz w:val="21"/>
          <w:szCs w:val="21"/>
        </w:rPr>
      </w:pPr>
      <w:r>
        <w:rPr>
          <w:rStyle w:val="11"/>
          <w:rFonts w:hint="eastAsia"/>
          <w:sz w:val="21"/>
          <w:szCs w:val="21"/>
        </w:rPr>
        <w:t>六、基金财产清算的公告</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 </w:t>
      </w:r>
    </w:p>
    <w:p>
      <w:pPr>
        <w:pStyle w:val="7"/>
        <w:spacing w:before="0" w:beforeAutospacing="0" w:after="0" w:afterAutospacing="0" w:line="360" w:lineRule="auto"/>
        <w:ind w:firstLine="420"/>
        <w:rPr>
          <w:sz w:val="21"/>
          <w:szCs w:val="21"/>
        </w:rPr>
      </w:pPr>
      <w:r>
        <w:rPr>
          <w:rStyle w:val="11"/>
          <w:rFonts w:hint="eastAsia"/>
          <w:sz w:val="21"/>
          <w:szCs w:val="21"/>
        </w:rPr>
        <w:t>七、基金财产清算账册及文件的保存</w:t>
      </w:r>
    </w:p>
    <w:p>
      <w:pPr>
        <w:pStyle w:val="7"/>
        <w:spacing w:before="0" w:beforeAutospacing="0" w:after="0" w:afterAutospacing="0" w:line="360" w:lineRule="auto"/>
        <w:ind w:firstLine="420"/>
        <w:rPr>
          <w:sz w:val="21"/>
          <w:szCs w:val="21"/>
        </w:rPr>
      </w:pPr>
      <w:bookmarkStart w:id="192" w:name="chapter_level1_20_69_section_1_end"/>
      <w:bookmarkEnd w:id="192"/>
      <w:r>
        <w:rPr>
          <w:rFonts w:hint="eastAsia"/>
          <w:sz w:val="21"/>
          <w:szCs w:val="21"/>
        </w:rPr>
        <w:t xml:space="preserve">基金财产清算账册及有关文件由基金托管人保存15年以上。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3" w:name="_Toc113628549"/>
      <w:bookmarkStart w:id="194" w:name="chapter_level1_21_71"/>
      <w:r>
        <w:rPr>
          <w:rFonts w:hint="eastAsia" w:ascii="宋体" w:hAnsi="宋体" w:eastAsia="宋体"/>
          <w:sz w:val="30"/>
        </w:rPr>
        <w:t>第十八部分  基金合同的内容摘要</w:t>
      </w:r>
      <w:bookmarkEnd w:id="193"/>
      <w:bookmarkEnd w:id="194"/>
    </w:p>
    <w:p>
      <w:pPr>
        <w:pStyle w:val="7"/>
        <w:spacing w:before="0" w:beforeAutospacing="0" w:after="0" w:afterAutospacing="0" w:line="360" w:lineRule="auto"/>
        <w:ind w:firstLine="420"/>
        <w:rPr>
          <w:sz w:val="21"/>
          <w:szCs w:val="21"/>
        </w:rPr>
      </w:pPr>
      <w:bookmarkStart w:id="195" w:name="chapter_level1_21_71_section_1"/>
      <w:bookmarkEnd w:id="195"/>
      <w:r>
        <w:rPr>
          <w:rStyle w:val="11"/>
          <w:rFonts w:hint="eastAsia"/>
          <w:sz w:val="21"/>
          <w:szCs w:val="21"/>
        </w:rPr>
        <w:t>一、基金合同当事人及权利义务</w:t>
      </w:r>
    </w:p>
    <w:p>
      <w:pPr>
        <w:pStyle w:val="7"/>
        <w:spacing w:before="0" w:beforeAutospacing="0" w:after="0" w:afterAutospacing="0" w:line="360" w:lineRule="auto"/>
        <w:ind w:firstLine="420"/>
        <w:rPr>
          <w:sz w:val="21"/>
          <w:szCs w:val="21"/>
        </w:rPr>
      </w:pPr>
      <w:r>
        <w:rPr>
          <w:rFonts w:hint="eastAsia"/>
          <w:sz w:val="21"/>
          <w:szCs w:val="21"/>
        </w:rPr>
        <w:t xml:space="preserve">（一）基金管理人 </w:t>
      </w:r>
    </w:p>
    <w:p>
      <w:pPr>
        <w:pStyle w:val="7"/>
        <w:spacing w:before="0" w:beforeAutospacing="0" w:after="0" w:afterAutospacing="0" w:line="360" w:lineRule="auto"/>
        <w:ind w:firstLine="420"/>
        <w:rPr>
          <w:sz w:val="21"/>
          <w:szCs w:val="21"/>
        </w:rPr>
      </w:pPr>
      <w:r>
        <w:rPr>
          <w:rFonts w:hint="eastAsia"/>
          <w:sz w:val="21"/>
          <w:szCs w:val="21"/>
        </w:rPr>
        <w:t xml:space="preserve">1、基金管理人简况 </w:t>
      </w:r>
    </w:p>
    <w:p>
      <w:pPr>
        <w:pStyle w:val="7"/>
        <w:spacing w:before="0" w:beforeAutospacing="0" w:after="0" w:afterAutospacing="0" w:line="360" w:lineRule="auto"/>
        <w:ind w:firstLine="420"/>
        <w:rPr>
          <w:sz w:val="21"/>
          <w:szCs w:val="21"/>
        </w:rPr>
      </w:pPr>
      <w:r>
        <w:rPr>
          <w:rFonts w:hint="eastAsia"/>
          <w:sz w:val="21"/>
          <w:szCs w:val="21"/>
        </w:rPr>
        <w:t>名称：</w:t>
      </w:r>
      <w:bookmarkStart w:id="196" w:name="field_0_managerorgfullname_7"/>
      <w:r>
        <w:rPr>
          <w:rFonts w:hint="eastAsia"/>
          <w:sz w:val="21"/>
          <w:szCs w:val="21"/>
        </w:rPr>
        <w:t>博时基金管理有限公司</w:t>
      </w:r>
      <w:bookmarkEnd w:id="196"/>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设立日期：1998年7月13日 </w:t>
      </w:r>
    </w:p>
    <w:p>
      <w:pPr>
        <w:pStyle w:val="7"/>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批准设立机关及批准设立文号：中国证监会证监基字【1998】26号 </w:t>
      </w:r>
    </w:p>
    <w:p>
      <w:pPr>
        <w:pStyle w:val="7"/>
        <w:spacing w:before="0" w:beforeAutospacing="0" w:after="0" w:afterAutospacing="0" w:line="360" w:lineRule="auto"/>
        <w:ind w:firstLine="420"/>
        <w:rPr>
          <w:sz w:val="21"/>
          <w:szCs w:val="21"/>
        </w:rPr>
      </w:pPr>
      <w:r>
        <w:rPr>
          <w:rFonts w:hint="eastAsia"/>
          <w:sz w:val="21"/>
          <w:szCs w:val="21"/>
        </w:rPr>
        <w:t xml:space="preserve">组织形式：有限责任公司 </w:t>
      </w:r>
    </w:p>
    <w:p>
      <w:pPr>
        <w:pStyle w:val="7"/>
        <w:spacing w:before="0" w:beforeAutospacing="0" w:after="0" w:afterAutospacing="0" w:line="360" w:lineRule="auto"/>
        <w:ind w:firstLine="420"/>
        <w:rPr>
          <w:sz w:val="21"/>
          <w:szCs w:val="21"/>
        </w:rPr>
      </w:pPr>
      <w:r>
        <w:rPr>
          <w:rFonts w:hint="eastAsia"/>
          <w:sz w:val="21"/>
          <w:szCs w:val="21"/>
        </w:rPr>
        <w:t xml:space="preserve">注册资本：2.5亿元人民币 </w:t>
      </w:r>
    </w:p>
    <w:p>
      <w:pPr>
        <w:pStyle w:val="7"/>
        <w:spacing w:before="0" w:beforeAutospacing="0" w:after="0" w:afterAutospacing="0" w:line="360" w:lineRule="auto"/>
        <w:ind w:firstLine="420"/>
        <w:rPr>
          <w:sz w:val="21"/>
          <w:szCs w:val="21"/>
        </w:rPr>
      </w:pPr>
      <w:r>
        <w:rPr>
          <w:rFonts w:hint="eastAsia"/>
          <w:sz w:val="21"/>
          <w:szCs w:val="21"/>
        </w:rPr>
        <w:t xml:space="preserve">存续期限： 持续经营 </w:t>
      </w:r>
    </w:p>
    <w:p>
      <w:pPr>
        <w:pStyle w:val="7"/>
        <w:spacing w:before="0" w:beforeAutospacing="0" w:after="0" w:afterAutospacing="0" w:line="360" w:lineRule="auto"/>
        <w:ind w:firstLine="420"/>
        <w:rPr>
          <w:sz w:val="21"/>
          <w:szCs w:val="21"/>
        </w:rPr>
      </w:pPr>
      <w:r>
        <w:rPr>
          <w:rFonts w:hint="eastAsia"/>
          <w:sz w:val="21"/>
          <w:szCs w:val="21"/>
        </w:rPr>
        <w:t xml:space="preserve">联系电话：0755-83169999 </w:t>
      </w:r>
    </w:p>
    <w:p>
      <w:pPr>
        <w:pStyle w:val="7"/>
        <w:spacing w:before="0" w:beforeAutospacing="0" w:after="0" w:afterAutospacing="0" w:line="360" w:lineRule="auto"/>
        <w:ind w:firstLine="420"/>
        <w:rPr>
          <w:sz w:val="21"/>
          <w:szCs w:val="21"/>
        </w:rPr>
      </w:pPr>
      <w:r>
        <w:rPr>
          <w:rFonts w:hint="eastAsia"/>
          <w:sz w:val="21"/>
          <w:szCs w:val="21"/>
        </w:rPr>
        <w:t xml:space="preserve">2、基金管理人的权利与义务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1）、根据《基金法》、《运作办法》及其他有关规定，基金管理人的权利包括但不限于：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（1）依法募集资金； </w:t>
      </w:r>
    </w:p>
    <w:p>
      <w:pPr>
        <w:pStyle w:val="7"/>
        <w:spacing w:before="0" w:beforeAutospacing="0" w:after="0" w:afterAutospacing="0" w:line="360" w:lineRule="auto"/>
        <w:ind w:firstLine="420"/>
        <w:rPr>
          <w:sz w:val="21"/>
          <w:szCs w:val="21"/>
        </w:rPr>
      </w:pPr>
      <w:r>
        <w:rPr>
          <w:rFonts w:hint="eastAsia"/>
          <w:sz w:val="21"/>
          <w:szCs w:val="21"/>
        </w:rPr>
        <w:t xml:space="preserve">（2）自《基金合同》生效之日起，根据法律法规和《基金合同》独立运用并管理基金财产； </w:t>
      </w:r>
    </w:p>
    <w:p>
      <w:pPr>
        <w:pStyle w:val="7"/>
        <w:spacing w:before="0" w:beforeAutospacing="0" w:after="0" w:afterAutospacing="0" w:line="360" w:lineRule="auto"/>
        <w:ind w:firstLine="420"/>
        <w:rPr>
          <w:sz w:val="21"/>
          <w:szCs w:val="21"/>
        </w:rPr>
      </w:pPr>
      <w:r>
        <w:rPr>
          <w:rFonts w:hint="eastAsia"/>
          <w:sz w:val="21"/>
          <w:szCs w:val="21"/>
        </w:rPr>
        <w:t xml:space="preserve">（3）依照《基金合同》收取基金管理费以及法律法规规定或中国证监会批准的其他费用； </w:t>
      </w:r>
    </w:p>
    <w:p>
      <w:pPr>
        <w:pStyle w:val="7"/>
        <w:spacing w:before="0" w:beforeAutospacing="0" w:after="0" w:afterAutospacing="0" w:line="360" w:lineRule="auto"/>
        <w:ind w:firstLine="420"/>
        <w:rPr>
          <w:sz w:val="21"/>
          <w:szCs w:val="21"/>
        </w:rPr>
      </w:pPr>
      <w:r>
        <w:rPr>
          <w:rFonts w:hint="eastAsia"/>
          <w:sz w:val="21"/>
          <w:szCs w:val="21"/>
        </w:rPr>
        <w:t xml:space="preserve">（4）销售基金份额； </w:t>
      </w:r>
    </w:p>
    <w:p>
      <w:pPr>
        <w:pStyle w:val="7"/>
        <w:spacing w:before="0" w:beforeAutospacing="0" w:after="0" w:afterAutospacing="0" w:line="360" w:lineRule="auto"/>
        <w:ind w:firstLine="420"/>
        <w:rPr>
          <w:sz w:val="21"/>
          <w:szCs w:val="21"/>
        </w:rPr>
      </w:pPr>
      <w:r>
        <w:rPr>
          <w:rFonts w:hint="eastAsia"/>
          <w:sz w:val="21"/>
          <w:szCs w:val="21"/>
        </w:rPr>
        <w:t xml:space="preserve">（5）按照规定召集基金份额持有人大会；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（7）在基金托管人更换时，提名新的基金托管人； </w:t>
      </w:r>
    </w:p>
    <w:p>
      <w:pPr>
        <w:pStyle w:val="7"/>
        <w:spacing w:before="0" w:beforeAutospacing="0" w:after="0" w:afterAutospacing="0" w:line="360" w:lineRule="auto"/>
        <w:ind w:firstLine="420"/>
        <w:rPr>
          <w:sz w:val="21"/>
          <w:szCs w:val="21"/>
        </w:rPr>
      </w:pPr>
      <w:r>
        <w:rPr>
          <w:rFonts w:hint="eastAsia"/>
          <w:sz w:val="21"/>
          <w:szCs w:val="21"/>
        </w:rPr>
        <w:t xml:space="preserve">（8）选择、更换基金销售机构，对基金销售机构的相关行为进行监督和处理； </w:t>
      </w:r>
    </w:p>
    <w:p>
      <w:pPr>
        <w:pStyle w:val="7"/>
        <w:spacing w:before="0" w:beforeAutospacing="0" w:after="0" w:afterAutospacing="0" w:line="360" w:lineRule="auto"/>
        <w:ind w:firstLine="420"/>
        <w:rPr>
          <w:sz w:val="21"/>
          <w:szCs w:val="21"/>
        </w:rPr>
      </w:pPr>
      <w:r>
        <w:rPr>
          <w:rFonts w:hint="eastAsia"/>
          <w:sz w:val="21"/>
          <w:szCs w:val="21"/>
        </w:rPr>
        <w:t xml:space="preserve">（9）担任或委托其他符合条件的机构担任基金登记机构办理基金登记业务并获得《基金合同》规定的费用； </w:t>
      </w:r>
    </w:p>
    <w:p>
      <w:pPr>
        <w:pStyle w:val="7"/>
        <w:spacing w:before="0" w:beforeAutospacing="0" w:after="0" w:afterAutospacing="0" w:line="360" w:lineRule="auto"/>
        <w:ind w:firstLine="420"/>
        <w:rPr>
          <w:sz w:val="21"/>
          <w:szCs w:val="21"/>
        </w:rPr>
      </w:pPr>
      <w:r>
        <w:rPr>
          <w:rFonts w:hint="eastAsia"/>
          <w:sz w:val="21"/>
          <w:szCs w:val="21"/>
        </w:rPr>
        <w:t xml:space="preserve">（10）依据《基金合同》及有关法律规定决定基金收益的分配方案；        </w:t>
      </w:r>
    </w:p>
    <w:p>
      <w:pPr>
        <w:pStyle w:val="7"/>
        <w:spacing w:before="0" w:beforeAutospacing="0" w:after="0" w:afterAutospacing="0" w:line="360" w:lineRule="auto"/>
        <w:ind w:firstLine="420"/>
        <w:rPr>
          <w:sz w:val="21"/>
          <w:szCs w:val="21"/>
        </w:rPr>
      </w:pPr>
      <w:r>
        <w:rPr>
          <w:rFonts w:hint="eastAsia"/>
          <w:sz w:val="21"/>
          <w:szCs w:val="21"/>
        </w:rPr>
        <w:t xml:space="preserve">（11）在《基金合同》约定的范围内，拒绝或暂停受理申购与赎回申请； </w:t>
      </w:r>
    </w:p>
    <w:p>
      <w:pPr>
        <w:pStyle w:val="7"/>
        <w:spacing w:before="0" w:beforeAutospacing="0" w:after="0" w:afterAutospacing="0" w:line="360" w:lineRule="auto"/>
        <w:ind w:firstLine="420"/>
        <w:rPr>
          <w:sz w:val="21"/>
          <w:szCs w:val="21"/>
        </w:rPr>
      </w:pPr>
      <w:r>
        <w:rPr>
          <w:rFonts w:hint="eastAsia"/>
          <w:sz w:val="21"/>
          <w:szCs w:val="21"/>
        </w:rPr>
        <w:t xml:space="preserve">（12）依照法律法规为基金的利益对被投资公司行使股东权利，为基金的利益行使因基金财产投资于证券所产生的权利；        </w:t>
      </w:r>
    </w:p>
    <w:p>
      <w:pPr>
        <w:pStyle w:val="7"/>
        <w:spacing w:before="0" w:beforeAutospacing="0" w:after="0" w:afterAutospacing="0" w:line="360" w:lineRule="auto"/>
        <w:ind w:firstLine="420"/>
        <w:rPr>
          <w:sz w:val="21"/>
          <w:szCs w:val="21"/>
        </w:rPr>
      </w:pPr>
      <w:r>
        <w:rPr>
          <w:rFonts w:hint="eastAsia"/>
          <w:sz w:val="21"/>
          <w:szCs w:val="21"/>
        </w:rPr>
        <w:t xml:space="preserve">（13）以基金管理人的名义，代表基金份额持有人的利益行使诉讼权利或者实施其他法律行为；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（14）选择、更换律师事务所、会计师事务所、证券经纪商、期货经纪商或其他为基金提供服务的外部机构；        </w:t>
      </w:r>
    </w:p>
    <w:p>
      <w:pPr>
        <w:pStyle w:val="7"/>
        <w:spacing w:before="0" w:beforeAutospacing="0" w:after="0" w:afterAutospacing="0" w:line="360" w:lineRule="auto"/>
        <w:ind w:firstLine="420"/>
        <w:rPr>
          <w:sz w:val="21"/>
          <w:szCs w:val="21"/>
        </w:rPr>
      </w:pPr>
      <w:r>
        <w:rPr>
          <w:rFonts w:hint="eastAsia"/>
          <w:sz w:val="21"/>
          <w:szCs w:val="21"/>
        </w:rPr>
        <w:t xml:space="preserve">（15）在符合有关法律、法规的前提下，制订和调整有关基金认购、申购、赎回、转换和非交易过户等业务规则； </w:t>
      </w:r>
    </w:p>
    <w:p>
      <w:pPr>
        <w:pStyle w:val="7"/>
        <w:spacing w:before="0" w:beforeAutospacing="0" w:after="0" w:afterAutospacing="0" w:line="360" w:lineRule="auto"/>
        <w:ind w:firstLine="420"/>
        <w:rPr>
          <w:sz w:val="21"/>
          <w:szCs w:val="21"/>
        </w:rPr>
      </w:pPr>
      <w:r>
        <w:rPr>
          <w:rFonts w:hint="eastAsia"/>
          <w:sz w:val="21"/>
          <w:szCs w:val="21"/>
        </w:rPr>
        <w:t xml:space="preserve">（16）法律法规及中国证监会规定的和《基金合同》约定的其他权利。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2）、根据《基金法》、《运作办法》及其他有关规定，基金管理人的义务包括但不限于：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pPr>
        <w:pStyle w:val="7"/>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（二）基金托管人 </w:t>
      </w:r>
    </w:p>
    <w:p>
      <w:pPr>
        <w:pStyle w:val="7"/>
        <w:spacing w:before="0" w:beforeAutospacing="0" w:after="0" w:afterAutospacing="0" w:line="360" w:lineRule="auto"/>
        <w:ind w:firstLine="420"/>
        <w:rPr>
          <w:sz w:val="21"/>
          <w:szCs w:val="21"/>
        </w:rPr>
      </w:pPr>
      <w:r>
        <w:rPr>
          <w:rFonts w:hint="eastAsia"/>
          <w:sz w:val="21"/>
          <w:szCs w:val="21"/>
        </w:rPr>
        <w:t xml:space="preserve">1、基金托管人简况 </w:t>
      </w:r>
    </w:p>
    <w:p>
      <w:pPr>
        <w:pStyle w:val="7"/>
        <w:spacing w:before="0" w:beforeAutospacing="0" w:after="0" w:afterAutospacing="0" w:line="360" w:lineRule="auto"/>
        <w:ind w:firstLine="420"/>
        <w:rPr>
          <w:sz w:val="21"/>
          <w:szCs w:val="21"/>
        </w:rPr>
      </w:pPr>
      <w:r>
        <w:rPr>
          <w:rFonts w:hint="eastAsia"/>
          <w:sz w:val="21"/>
          <w:szCs w:val="21"/>
        </w:rPr>
        <w:t>名称：</w:t>
      </w:r>
      <w:bookmarkStart w:id="197" w:name="field_0_trustorgfullname_2"/>
      <w:r>
        <w:rPr>
          <w:rFonts w:hint="eastAsia"/>
          <w:sz w:val="21"/>
          <w:szCs w:val="21"/>
        </w:rPr>
        <w:t>中国银行股份有限公司</w:t>
      </w:r>
      <w:bookmarkEnd w:id="197"/>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住所：北京市西城区复兴门内大街1号 </w:t>
      </w:r>
    </w:p>
    <w:p>
      <w:pPr>
        <w:pStyle w:val="7"/>
        <w:spacing w:before="0" w:beforeAutospacing="0" w:after="0" w:afterAutospacing="0" w:line="360" w:lineRule="auto"/>
        <w:ind w:firstLine="420"/>
        <w:rPr>
          <w:sz w:val="21"/>
          <w:szCs w:val="21"/>
        </w:rPr>
      </w:pPr>
      <w:r>
        <w:rPr>
          <w:rFonts w:hint="eastAsia"/>
          <w:sz w:val="21"/>
          <w:szCs w:val="21"/>
        </w:rPr>
        <w:t xml:space="preserve">法定代表人:葛海蛟 </w:t>
      </w:r>
    </w:p>
    <w:p>
      <w:pPr>
        <w:pStyle w:val="7"/>
        <w:spacing w:before="0" w:beforeAutospacing="0" w:after="0" w:afterAutospacing="0" w:line="360" w:lineRule="auto"/>
        <w:ind w:firstLine="420"/>
        <w:rPr>
          <w:sz w:val="21"/>
          <w:szCs w:val="21"/>
        </w:rPr>
      </w:pPr>
      <w:r>
        <w:rPr>
          <w:rFonts w:hint="eastAsia"/>
          <w:sz w:val="21"/>
          <w:szCs w:val="21"/>
        </w:rPr>
        <w:t xml:space="preserve">成立时间：1983年10月31日 </w:t>
      </w:r>
    </w:p>
    <w:p>
      <w:pPr>
        <w:pStyle w:val="7"/>
        <w:spacing w:before="0" w:beforeAutospacing="0" w:after="0" w:afterAutospacing="0" w:line="360" w:lineRule="auto"/>
        <w:ind w:firstLine="420"/>
        <w:rPr>
          <w:sz w:val="21"/>
          <w:szCs w:val="21"/>
        </w:rPr>
      </w:pPr>
      <w:r>
        <w:rPr>
          <w:rFonts w:hint="eastAsia"/>
          <w:sz w:val="21"/>
          <w:szCs w:val="21"/>
        </w:rPr>
        <w:t xml:space="preserve">基金托管业务批准文号：中国证监会证监基字【1998】24号 </w:t>
      </w:r>
    </w:p>
    <w:p>
      <w:pPr>
        <w:pStyle w:val="7"/>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注册资本：人民币29438779.124100万元整 </w:t>
      </w:r>
    </w:p>
    <w:p>
      <w:pPr>
        <w:pStyle w:val="7"/>
        <w:spacing w:before="0" w:beforeAutospacing="0" w:after="0" w:afterAutospacing="0" w:line="360" w:lineRule="auto"/>
        <w:ind w:firstLine="420"/>
        <w:rPr>
          <w:sz w:val="21"/>
          <w:szCs w:val="21"/>
        </w:rPr>
      </w:pPr>
      <w:r>
        <w:rPr>
          <w:rFonts w:hint="eastAsia"/>
          <w:sz w:val="21"/>
          <w:szCs w:val="21"/>
        </w:rPr>
        <w:t xml:space="preserve">2、基金托管人的权利与义务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1）、根据《基金法》、《运作办法》及其他有关规定，基金托管人的权利包括但不限于：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（1）自《基金合同》生效之日起，依法律法规和《基金合同》的规定安全保管基金财产；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（2）依《基金合同》约定获得基金托管费以及法律法规规定或监管部门批准的其他费用； </w:t>
      </w:r>
    </w:p>
    <w:p>
      <w:pPr>
        <w:pStyle w:val="7"/>
        <w:spacing w:before="0" w:beforeAutospacing="0" w:after="0" w:afterAutospacing="0" w:line="360" w:lineRule="auto"/>
        <w:ind w:firstLine="420"/>
        <w:rPr>
          <w:sz w:val="21"/>
          <w:szCs w:val="21"/>
        </w:rPr>
      </w:pPr>
      <w:r>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（4）根据相关市场规则，为基金开设资金账户、证券账户等投资所需账户，为基金办理证券交易资金清算； </w:t>
      </w:r>
    </w:p>
    <w:p>
      <w:pPr>
        <w:pStyle w:val="7"/>
        <w:spacing w:before="0" w:beforeAutospacing="0" w:after="0" w:afterAutospacing="0" w:line="360" w:lineRule="auto"/>
        <w:ind w:firstLine="420"/>
        <w:rPr>
          <w:sz w:val="21"/>
          <w:szCs w:val="21"/>
        </w:rPr>
      </w:pPr>
      <w:r>
        <w:rPr>
          <w:rFonts w:hint="eastAsia"/>
          <w:sz w:val="21"/>
          <w:szCs w:val="21"/>
        </w:rPr>
        <w:t xml:space="preserve">（5）提议召开或召集基金份额持有人大会；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（6）在基金管理人更换时，提名新的基金管理人； </w:t>
      </w:r>
    </w:p>
    <w:p>
      <w:pPr>
        <w:pStyle w:val="7"/>
        <w:spacing w:before="0" w:beforeAutospacing="0" w:after="0" w:afterAutospacing="0" w:line="360" w:lineRule="auto"/>
        <w:ind w:firstLine="420"/>
        <w:rPr>
          <w:sz w:val="21"/>
          <w:szCs w:val="21"/>
        </w:rPr>
      </w:pPr>
      <w:r>
        <w:rPr>
          <w:rFonts w:hint="eastAsia"/>
          <w:sz w:val="21"/>
          <w:szCs w:val="21"/>
        </w:rPr>
        <w:t xml:space="preserve">（7）法律法规及中国证监会规定的和《基金合同》约定的其他权利。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2）、根据《基金法》、《运作办法》及其他有关规定，基金托管人的义务包括但不限于：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（1）以诚实信用、勤勉尽责的原则持有并安全保管基金财产；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（2）设立专门的基金托管部门，具有符合要求的营业场所，配备足够的、合格的熟悉基金托管业务的专职人员，负责基金财产托管事宜； </w:t>
      </w:r>
    </w:p>
    <w:p>
      <w:pPr>
        <w:pStyle w:val="7"/>
        <w:spacing w:before="0" w:beforeAutospacing="0" w:after="0" w:afterAutospacing="0" w:line="360" w:lineRule="auto"/>
        <w:ind w:firstLine="420"/>
        <w:rPr>
          <w:sz w:val="21"/>
          <w:szCs w:val="21"/>
        </w:rPr>
      </w:pPr>
      <w:r>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pPr>
        <w:pStyle w:val="7"/>
        <w:spacing w:before="0" w:beforeAutospacing="0" w:after="0" w:afterAutospacing="0" w:line="360" w:lineRule="auto"/>
        <w:ind w:firstLine="420"/>
        <w:rPr>
          <w:sz w:val="21"/>
          <w:szCs w:val="21"/>
        </w:rPr>
      </w:pPr>
      <w:r>
        <w:rPr>
          <w:rFonts w:hint="eastAsia"/>
          <w:sz w:val="21"/>
          <w:szCs w:val="21"/>
        </w:rPr>
        <w:t xml:space="preserve">（4）除依据《基金法》、《基金合同》及其他有关规定外，不得利用基金财产为自己及任何第三人谋取利益，不得委托第三人托管基金财产；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pPr>
        <w:pStyle w:val="7"/>
        <w:spacing w:before="0" w:beforeAutospacing="0" w:after="0" w:afterAutospacing="0" w:line="360" w:lineRule="auto"/>
        <w:ind w:firstLine="420"/>
        <w:rPr>
          <w:sz w:val="21"/>
          <w:szCs w:val="21"/>
        </w:rPr>
      </w:pPr>
      <w:r>
        <w:rPr>
          <w:rFonts w:hint="eastAsia"/>
          <w:sz w:val="21"/>
          <w:szCs w:val="21"/>
        </w:rPr>
        <w:t xml:space="preserve">（6）按规定开设基金财产的资金账户、证券账户等投资所需账户，按照《基金合同》的约定，根据基金管理人的投资指令，及时办理清算、交割事宜； </w:t>
      </w:r>
    </w:p>
    <w:p>
      <w:pPr>
        <w:pStyle w:val="7"/>
        <w:spacing w:before="0" w:beforeAutospacing="0" w:after="0" w:afterAutospacing="0" w:line="360" w:lineRule="auto"/>
        <w:ind w:firstLine="420"/>
        <w:rPr>
          <w:sz w:val="21"/>
          <w:szCs w:val="21"/>
        </w:rPr>
      </w:pPr>
      <w:r>
        <w:rPr>
          <w:rFonts w:hint="eastAsia"/>
          <w:sz w:val="21"/>
          <w:szCs w:val="21"/>
        </w:rPr>
        <w:t xml:space="preserve">（7）保守基金商业秘密，除《基金法》、《基金合同》及其他有关规定另有规定外，在基金信息公开披露前予以保密，不得向他人泄露；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（8）复核、审查基金管理人计算的基金资产净值、基金份额净值、基金份额申购、赎回价格；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（9）办理与基金托管业务活动有关的信息披露事项； </w:t>
      </w:r>
    </w:p>
    <w:p>
      <w:pPr>
        <w:pStyle w:val="7"/>
        <w:spacing w:before="0" w:beforeAutospacing="0" w:after="0" w:afterAutospacing="0" w:line="360" w:lineRule="auto"/>
        <w:ind w:firstLine="420"/>
        <w:rPr>
          <w:sz w:val="21"/>
          <w:szCs w:val="21"/>
        </w:rPr>
      </w:pPr>
      <w:r>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pPr>
        <w:pStyle w:val="7"/>
        <w:spacing w:before="0" w:beforeAutospacing="0" w:after="0" w:afterAutospacing="0" w:line="360" w:lineRule="auto"/>
        <w:ind w:firstLine="420"/>
        <w:rPr>
          <w:sz w:val="21"/>
          <w:szCs w:val="21"/>
        </w:rPr>
      </w:pPr>
      <w:r>
        <w:rPr>
          <w:rFonts w:hint="eastAsia"/>
          <w:sz w:val="21"/>
          <w:szCs w:val="21"/>
        </w:rPr>
        <w:t xml:space="preserve">（11）保存基金托管业务活动的记录、账册、报表和其他相关资料15年以上；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（12）建立并保存基金份额持有人名册；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（13）按规定制作相关账册并与基金管理人核对； </w:t>
      </w:r>
    </w:p>
    <w:p>
      <w:pPr>
        <w:pStyle w:val="7"/>
        <w:spacing w:before="0" w:beforeAutospacing="0" w:after="0" w:afterAutospacing="0" w:line="360" w:lineRule="auto"/>
        <w:ind w:firstLine="420"/>
        <w:rPr>
          <w:sz w:val="21"/>
          <w:szCs w:val="21"/>
        </w:rPr>
      </w:pPr>
      <w:r>
        <w:rPr>
          <w:rFonts w:hint="eastAsia"/>
          <w:sz w:val="21"/>
          <w:szCs w:val="21"/>
        </w:rPr>
        <w:t xml:space="preserve">（14）依据基金管理人的指令或有关规定向基金份额持有人支付基金收益和赎回款项；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（15）依据《基金法》、《基金合同》及其他有关规定，召集基金份额持有人大会或配合基金管理人、基金份额持有人依法召集基金份额持有人大会；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（16）按照法律法规和《基金合同》的规定监督基金管理人的投资运作；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（17）参加基金财产清算小组，参与基金财产的保管、清理、估价、变现和分配；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（18）面临解散、依法被撤销或者被依法宣告破产时，及时报告中国证监会和银行监管机构，并通知基金管理人； </w:t>
      </w:r>
    </w:p>
    <w:p>
      <w:pPr>
        <w:pStyle w:val="7"/>
        <w:spacing w:before="0" w:beforeAutospacing="0" w:after="0" w:afterAutospacing="0" w:line="360" w:lineRule="auto"/>
        <w:ind w:firstLine="420"/>
        <w:rPr>
          <w:sz w:val="21"/>
          <w:szCs w:val="21"/>
        </w:rPr>
      </w:pPr>
      <w:r>
        <w:rPr>
          <w:rFonts w:hint="eastAsia"/>
          <w:sz w:val="21"/>
          <w:szCs w:val="21"/>
        </w:rPr>
        <w:t xml:space="preserve">（19）因违反《基金合同》导致基金财产损失时，应承担赔偿责任，其赔偿责任不因其退任而免除；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pPr>
        <w:pStyle w:val="7"/>
        <w:spacing w:before="0" w:beforeAutospacing="0" w:after="0" w:afterAutospacing="0" w:line="360" w:lineRule="auto"/>
        <w:ind w:firstLine="420"/>
        <w:rPr>
          <w:sz w:val="21"/>
          <w:szCs w:val="21"/>
        </w:rPr>
      </w:pPr>
      <w:r>
        <w:rPr>
          <w:rFonts w:hint="eastAsia"/>
          <w:sz w:val="21"/>
          <w:szCs w:val="21"/>
        </w:rPr>
        <w:t xml:space="preserve">（21）执行生效的基金份额持有人大会的决议；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（22）法律法规及中国证监会规定的和《基金合同》约定的其他义务。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（三）基金份额持有人 </w:t>
      </w:r>
    </w:p>
    <w:p>
      <w:pPr>
        <w:pStyle w:val="7"/>
        <w:spacing w:before="0" w:beforeAutospacing="0" w:after="0" w:afterAutospacing="0" w:line="360" w:lineRule="auto"/>
        <w:ind w:firstLine="420"/>
        <w:rPr>
          <w:sz w:val="21"/>
          <w:szCs w:val="21"/>
        </w:rPr>
      </w:pPr>
      <w:r>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pPr>
        <w:pStyle w:val="7"/>
        <w:spacing w:before="0" w:beforeAutospacing="0" w:after="0" w:afterAutospacing="0" w:line="360" w:lineRule="auto"/>
        <w:ind w:firstLine="420"/>
        <w:rPr>
          <w:sz w:val="21"/>
          <w:szCs w:val="21"/>
        </w:rPr>
      </w:pPr>
      <w:r>
        <w:rPr>
          <w:rFonts w:hint="eastAsia"/>
          <w:sz w:val="21"/>
          <w:szCs w:val="21"/>
        </w:rPr>
        <w:t xml:space="preserve">同一类别每份基金份额具有同等的合法权益。本基金A类基金份额与C类基金份额由于基金份额净值的不同，基金收益分配的金额以及参与清算后的剩余基金财产分配的数量将可能有所不同。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1）、根据《基金法》、《运作办法》及其他有关规定，基金份额持有人的权利包括但不限于：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（1）分享基金财产收益； </w:t>
      </w:r>
    </w:p>
    <w:p>
      <w:pPr>
        <w:pStyle w:val="7"/>
        <w:spacing w:before="0" w:beforeAutospacing="0" w:after="0" w:afterAutospacing="0" w:line="360" w:lineRule="auto"/>
        <w:ind w:firstLine="420"/>
        <w:rPr>
          <w:sz w:val="21"/>
          <w:szCs w:val="21"/>
        </w:rPr>
      </w:pPr>
      <w:r>
        <w:rPr>
          <w:rFonts w:hint="eastAsia"/>
          <w:sz w:val="21"/>
          <w:szCs w:val="21"/>
        </w:rPr>
        <w:t xml:space="preserve">（2）参与分配清算后的剩余基金财产； </w:t>
      </w:r>
    </w:p>
    <w:p>
      <w:pPr>
        <w:pStyle w:val="7"/>
        <w:spacing w:before="0" w:beforeAutospacing="0" w:after="0" w:afterAutospacing="0" w:line="360" w:lineRule="auto"/>
        <w:ind w:firstLine="420"/>
        <w:rPr>
          <w:sz w:val="21"/>
          <w:szCs w:val="21"/>
        </w:rPr>
      </w:pPr>
      <w:r>
        <w:rPr>
          <w:rFonts w:hint="eastAsia"/>
          <w:sz w:val="21"/>
          <w:szCs w:val="21"/>
        </w:rPr>
        <w:t xml:space="preserve">（3）依法申请赎回其持有的基金份额； </w:t>
      </w:r>
    </w:p>
    <w:p>
      <w:pPr>
        <w:pStyle w:val="7"/>
        <w:spacing w:before="0" w:beforeAutospacing="0" w:after="0" w:afterAutospacing="0" w:line="360" w:lineRule="auto"/>
        <w:ind w:firstLine="420"/>
        <w:rPr>
          <w:sz w:val="21"/>
          <w:szCs w:val="21"/>
        </w:rPr>
      </w:pPr>
      <w:r>
        <w:rPr>
          <w:rFonts w:hint="eastAsia"/>
          <w:sz w:val="21"/>
          <w:szCs w:val="21"/>
        </w:rPr>
        <w:t xml:space="preserve">（4）按照规定要求召开基金份额持有人大会或者召集基金份额持有人大会；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（5）出席或者委派代表出席基金份额持有人大会，对基金份额持有人大会审议事项行使表决权； </w:t>
      </w:r>
    </w:p>
    <w:p>
      <w:pPr>
        <w:pStyle w:val="7"/>
        <w:spacing w:before="0" w:beforeAutospacing="0" w:after="0" w:afterAutospacing="0" w:line="360" w:lineRule="auto"/>
        <w:ind w:firstLine="420"/>
        <w:rPr>
          <w:sz w:val="21"/>
          <w:szCs w:val="21"/>
        </w:rPr>
      </w:pPr>
      <w:r>
        <w:rPr>
          <w:rFonts w:hint="eastAsia"/>
          <w:sz w:val="21"/>
          <w:szCs w:val="21"/>
        </w:rPr>
        <w:t xml:space="preserve">（6）查阅或者复制公开披露的基金信息资料； </w:t>
      </w:r>
    </w:p>
    <w:p>
      <w:pPr>
        <w:pStyle w:val="7"/>
        <w:spacing w:before="0" w:beforeAutospacing="0" w:after="0" w:afterAutospacing="0" w:line="360" w:lineRule="auto"/>
        <w:ind w:firstLine="420"/>
        <w:rPr>
          <w:sz w:val="21"/>
          <w:szCs w:val="21"/>
        </w:rPr>
      </w:pPr>
      <w:r>
        <w:rPr>
          <w:rFonts w:hint="eastAsia"/>
          <w:sz w:val="21"/>
          <w:szCs w:val="21"/>
        </w:rPr>
        <w:t xml:space="preserve">（7）监督基金管理人的投资运作；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（8）对基金管理人、基金托管人、基金服务机构损害其合法权益的行为依法提起诉讼或仲裁； </w:t>
      </w:r>
    </w:p>
    <w:p>
      <w:pPr>
        <w:pStyle w:val="7"/>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2）、根据《基金法》、《运作办法》及其他有关规定，基金份额持有人的义务包括但不限于：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（1）认真阅读并遵守《基金合同》、招募说明书等信息披露文件； </w:t>
      </w:r>
    </w:p>
    <w:p>
      <w:pPr>
        <w:pStyle w:val="7"/>
        <w:spacing w:before="0" w:beforeAutospacing="0" w:after="0" w:afterAutospacing="0" w:line="360" w:lineRule="auto"/>
        <w:ind w:firstLine="420"/>
        <w:rPr>
          <w:sz w:val="21"/>
          <w:szCs w:val="21"/>
        </w:rPr>
      </w:pPr>
      <w:r>
        <w:rPr>
          <w:rFonts w:hint="eastAsia"/>
          <w:sz w:val="21"/>
          <w:szCs w:val="21"/>
        </w:rPr>
        <w:t xml:space="preserve">（2）了解所投资基金产品，了解自身风险承受能力，自主判断基金的投资价值，自主做出投资决策，自行承担投资风险； </w:t>
      </w:r>
    </w:p>
    <w:p>
      <w:pPr>
        <w:pStyle w:val="7"/>
        <w:spacing w:before="0" w:beforeAutospacing="0" w:after="0" w:afterAutospacing="0" w:line="360" w:lineRule="auto"/>
        <w:ind w:firstLine="420"/>
        <w:rPr>
          <w:sz w:val="21"/>
          <w:szCs w:val="21"/>
        </w:rPr>
      </w:pPr>
      <w:r>
        <w:rPr>
          <w:rFonts w:hint="eastAsia"/>
          <w:sz w:val="21"/>
          <w:szCs w:val="21"/>
        </w:rPr>
        <w:t xml:space="preserve">（3）关注基金信息披露，及时行使权利和履行义务； </w:t>
      </w:r>
    </w:p>
    <w:p>
      <w:pPr>
        <w:pStyle w:val="7"/>
        <w:spacing w:before="0" w:beforeAutospacing="0" w:after="0" w:afterAutospacing="0" w:line="360" w:lineRule="auto"/>
        <w:ind w:firstLine="420"/>
        <w:rPr>
          <w:sz w:val="21"/>
          <w:szCs w:val="21"/>
        </w:rPr>
      </w:pPr>
      <w:r>
        <w:rPr>
          <w:rFonts w:hint="eastAsia"/>
          <w:sz w:val="21"/>
          <w:szCs w:val="21"/>
        </w:rPr>
        <w:t xml:space="preserve">（4）缴纳基金认购、申购款项及法律法规和《基金合同》所规定的费用； </w:t>
      </w:r>
    </w:p>
    <w:p>
      <w:pPr>
        <w:pStyle w:val="7"/>
        <w:spacing w:before="0" w:beforeAutospacing="0" w:after="0" w:afterAutospacing="0" w:line="360" w:lineRule="auto"/>
        <w:ind w:firstLine="420"/>
        <w:rPr>
          <w:sz w:val="21"/>
          <w:szCs w:val="21"/>
        </w:rPr>
      </w:pPr>
      <w:r>
        <w:rPr>
          <w:rFonts w:hint="eastAsia"/>
          <w:sz w:val="21"/>
          <w:szCs w:val="21"/>
        </w:rPr>
        <w:t xml:space="preserve">（5）在其持有的基金份额范围内，承担基金亏损或者《基金合同》终止的有限责任； </w:t>
      </w:r>
    </w:p>
    <w:p>
      <w:pPr>
        <w:pStyle w:val="7"/>
        <w:spacing w:before="0" w:beforeAutospacing="0" w:after="0" w:afterAutospacing="0" w:line="360" w:lineRule="auto"/>
        <w:ind w:firstLine="420"/>
        <w:rPr>
          <w:sz w:val="21"/>
          <w:szCs w:val="21"/>
        </w:rPr>
      </w:pPr>
      <w:r>
        <w:rPr>
          <w:rFonts w:hint="eastAsia"/>
          <w:sz w:val="21"/>
          <w:szCs w:val="21"/>
        </w:rPr>
        <w:t xml:space="preserve">（6）不从事任何有损基金及其他《基金合同》当事人合法权益的活动； </w:t>
      </w:r>
    </w:p>
    <w:p>
      <w:pPr>
        <w:pStyle w:val="7"/>
        <w:spacing w:before="0" w:beforeAutospacing="0" w:after="0" w:afterAutospacing="0" w:line="360" w:lineRule="auto"/>
        <w:ind w:firstLine="420"/>
        <w:rPr>
          <w:sz w:val="21"/>
          <w:szCs w:val="21"/>
        </w:rPr>
      </w:pPr>
      <w:r>
        <w:rPr>
          <w:rFonts w:hint="eastAsia"/>
          <w:sz w:val="21"/>
          <w:szCs w:val="21"/>
        </w:rPr>
        <w:t xml:space="preserve">（7）执行生效的基金份额持有人大会的决议；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（8）返还在基金交易过程中因任何原因获得的不当得利； </w:t>
      </w:r>
    </w:p>
    <w:p>
      <w:pPr>
        <w:pStyle w:val="7"/>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二、基金份额持有人大会召集、议事及表决的程序和规则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pPr>
        <w:pStyle w:val="7"/>
        <w:spacing w:before="0" w:beforeAutospacing="0" w:after="0" w:afterAutospacing="0" w:line="360" w:lineRule="auto"/>
        <w:ind w:firstLine="420"/>
        <w:rPr>
          <w:sz w:val="21"/>
          <w:szCs w:val="21"/>
        </w:rPr>
      </w:pPr>
      <w:r>
        <w:rPr>
          <w:rFonts w:hint="eastAsia"/>
          <w:sz w:val="21"/>
          <w:szCs w:val="21"/>
        </w:rPr>
        <w:t xml:space="preserve">本基金份额持有人大会不设日常机构。 </w:t>
      </w:r>
    </w:p>
    <w:p>
      <w:pPr>
        <w:pStyle w:val="7"/>
        <w:spacing w:before="0" w:beforeAutospacing="0" w:after="0" w:afterAutospacing="0" w:line="360" w:lineRule="auto"/>
        <w:ind w:firstLine="420"/>
        <w:rPr>
          <w:sz w:val="21"/>
          <w:szCs w:val="21"/>
        </w:rPr>
      </w:pPr>
      <w:r>
        <w:rPr>
          <w:rFonts w:hint="eastAsia"/>
          <w:sz w:val="21"/>
          <w:szCs w:val="21"/>
        </w:rPr>
        <w:t xml:space="preserve">（一）召开事由 </w:t>
      </w:r>
    </w:p>
    <w:p>
      <w:pPr>
        <w:pStyle w:val="7"/>
        <w:spacing w:before="0" w:beforeAutospacing="0" w:after="0" w:afterAutospacing="0" w:line="360" w:lineRule="auto"/>
        <w:ind w:firstLine="420"/>
        <w:rPr>
          <w:sz w:val="21"/>
          <w:szCs w:val="21"/>
        </w:rPr>
      </w:pPr>
      <w:r>
        <w:rPr>
          <w:rFonts w:hint="eastAsia"/>
          <w:sz w:val="21"/>
          <w:szCs w:val="21"/>
        </w:rPr>
        <w:t xml:space="preserve">1、当出现或需要决定下列事由之一的，应当召开基金份额持有人大会：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（1）终止《基金合同》； </w:t>
      </w:r>
    </w:p>
    <w:p>
      <w:pPr>
        <w:pStyle w:val="7"/>
        <w:spacing w:before="0" w:beforeAutospacing="0" w:after="0" w:afterAutospacing="0" w:line="360" w:lineRule="auto"/>
        <w:ind w:firstLine="420"/>
        <w:rPr>
          <w:sz w:val="21"/>
          <w:szCs w:val="21"/>
        </w:rPr>
      </w:pPr>
      <w:r>
        <w:rPr>
          <w:rFonts w:hint="eastAsia"/>
          <w:sz w:val="21"/>
          <w:szCs w:val="21"/>
        </w:rPr>
        <w:t xml:space="preserve">（2）更换基金管理人； </w:t>
      </w:r>
    </w:p>
    <w:p>
      <w:pPr>
        <w:pStyle w:val="7"/>
        <w:spacing w:before="0" w:beforeAutospacing="0" w:after="0" w:afterAutospacing="0" w:line="360" w:lineRule="auto"/>
        <w:ind w:firstLine="420"/>
        <w:rPr>
          <w:sz w:val="21"/>
          <w:szCs w:val="21"/>
        </w:rPr>
      </w:pPr>
      <w:r>
        <w:rPr>
          <w:rFonts w:hint="eastAsia"/>
          <w:sz w:val="21"/>
          <w:szCs w:val="21"/>
        </w:rPr>
        <w:t xml:space="preserve">（3）更换基金托管人； </w:t>
      </w:r>
    </w:p>
    <w:p>
      <w:pPr>
        <w:pStyle w:val="7"/>
        <w:spacing w:before="0" w:beforeAutospacing="0" w:after="0" w:afterAutospacing="0" w:line="360" w:lineRule="auto"/>
        <w:ind w:firstLine="420"/>
        <w:rPr>
          <w:sz w:val="21"/>
          <w:szCs w:val="21"/>
        </w:rPr>
      </w:pPr>
      <w:r>
        <w:rPr>
          <w:rFonts w:hint="eastAsia"/>
          <w:sz w:val="21"/>
          <w:szCs w:val="21"/>
        </w:rPr>
        <w:t xml:space="preserve">（4）转换基金运作方式；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（5）调整基金管理人、基金托管人的报酬标准或调高销售服务费，但根据法律法规的要求调整该等报酬标准的除外； </w:t>
      </w:r>
    </w:p>
    <w:p>
      <w:pPr>
        <w:pStyle w:val="7"/>
        <w:spacing w:before="0" w:beforeAutospacing="0" w:after="0" w:afterAutospacing="0" w:line="360" w:lineRule="auto"/>
        <w:ind w:firstLine="420"/>
        <w:rPr>
          <w:sz w:val="21"/>
          <w:szCs w:val="21"/>
        </w:rPr>
      </w:pPr>
      <w:r>
        <w:rPr>
          <w:rFonts w:hint="eastAsia"/>
          <w:sz w:val="21"/>
          <w:szCs w:val="21"/>
        </w:rPr>
        <w:t xml:space="preserve">（6）变更基金类别； </w:t>
      </w:r>
    </w:p>
    <w:p>
      <w:pPr>
        <w:pStyle w:val="7"/>
        <w:spacing w:before="0" w:beforeAutospacing="0" w:after="0" w:afterAutospacing="0" w:line="360" w:lineRule="auto"/>
        <w:ind w:firstLine="420"/>
        <w:rPr>
          <w:sz w:val="21"/>
          <w:szCs w:val="21"/>
        </w:rPr>
      </w:pPr>
      <w:r>
        <w:rPr>
          <w:rFonts w:hint="eastAsia"/>
          <w:sz w:val="21"/>
          <w:szCs w:val="21"/>
        </w:rPr>
        <w:t xml:space="preserve">（7）本基金与其他基金的合并； </w:t>
      </w:r>
    </w:p>
    <w:p>
      <w:pPr>
        <w:pStyle w:val="7"/>
        <w:spacing w:before="0" w:beforeAutospacing="0" w:after="0" w:afterAutospacing="0" w:line="360" w:lineRule="auto"/>
        <w:ind w:firstLine="420"/>
        <w:rPr>
          <w:sz w:val="21"/>
          <w:szCs w:val="21"/>
        </w:rPr>
      </w:pPr>
      <w:r>
        <w:rPr>
          <w:rFonts w:hint="eastAsia"/>
          <w:sz w:val="21"/>
          <w:szCs w:val="21"/>
        </w:rPr>
        <w:t xml:space="preserve">（8）变更基金投资目标、范围或策略； </w:t>
      </w:r>
    </w:p>
    <w:p>
      <w:pPr>
        <w:pStyle w:val="7"/>
        <w:spacing w:before="0" w:beforeAutospacing="0" w:after="0" w:afterAutospacing="0" w:line="360" w:lineRule="auto"/>
        <w:ind w:firstLine="420"/>
        <w:rPr>
          <w:sz w:val="21"/>
          <w:szCs w:val="21"/>
        </w:rPr>
      </w:pPr>
      <w:r>
        <w:rPr>
          <w:rFonts w:hint="eastAsia"/>
          <w:sz w:val="21"/>
          <w:szCs w:val="21"/>
        </w:rPr>
        <w:t xml:space="preserve">（9）变更基金份额持有人大会程序； </w:t>
      </w:r>
    </w:p>
    <w:p>
      <w:pPr>
        <w:pStyle w:val="7"/>
        <w:spacing w:before="0" w:beforeAutospacing="0" w:after="0" w:afterAutospacing="0" w:line="360" w:lineRule="auto"/>
        <w:ind w:firstLine="420"/>
        <w:rPr>
          <w:sz w:val="21"/>
          <w:szCs w:val="21"/>
        </w:rPr>
      </w:pPr>
      <w:r>
        <w:rPr>
          <w:rFonts w:hint="eastAsia"/>
          <w:sz w:val="21"/>
          <w:szCs w:val="21"/>
        </w:rPr>
        <w:t xml:space="preserve">（10）基金管理人或基金托管人要求召开基金份额持有人大会；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（12）对基金合同当事人权利和义务产生重大影响的其他事项； </w:t>
      </w:r>
    </w:p>
    <w:p>
      <w:pPr>
        <w:pStyle w:val="7"/>
        <w:spacing w:before="0" w:beforeAutospacing="0" w:after="0" w:afterAutospacing="0" w:line="360" w:lineRule="auto"/>
        <w:ind w:firstLine="420"/>
        <w:rPr>
          <w:sz w:val="21"/>
          <w:szCs w:val="21"/>
        </w:rPr>
      </w:pPr>
      <w:r>
        <w:rPr>
          <w:rFonts w:hint="eastAsia"/>
          <w:sz w:val="21"/>
          <w:szCs w:val="21"/>
        </w:rPr>
        <w:t xml:space="preserve">（13）法律法规、《基金合同》或中国证监会规定的其他应当召开基金份额持有人大会的事项。 </w:t>
      </w:r>
    </w:p>
    <w:p>
      <w:pPr>
        <w:pStyle w:val="7"/>
        <w:spacing w:before="0" w:beforeAutospacing="0" w:after="0" w:afterAutospacing="0" w:line="360" w:lineRule="auto"/>
        <w:ind w:firstLine="420"/>
        <w:rPr>
          <w:sz w:val="21"/>
          <w:szCs w:val="21"/>
        </w:rPr>
      </w:pPr>
      <w:r>
        <w:rPr>
          <w:rFonts w:hint="eastAsia"/>
          <w:sz w:val="21"/>
          <w:szCs w:val="21"/>
        </w:rPr>
        <w:t xml:space="preserve">2、在不违反法律法规、基金合同的约定以及对基金份额持有人利益无实质性不利影响的情况下，以下情况可由基金管理人和基金托管人协商后修改，不需召开基金份额持有人大会：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（1）调低销售服务费； </w:t>
      </w:r>
    </w:p>
    <w:p>
      <w:pPr>
        <w:pStyle w:val="7"/>
        <w:spacing w:before="0" w:beforeAutospacing="0" w:after="0" w:afterAutospacing="0" w:line="360" w:lineRule="auto"/>
        <w:ind w:firstLine="420"/>
        <w:rPr>
          <w:sz w:val="21"/>
          <w:szCs w:val="21"/>
        </w:rPr>
      </w:pPr>
      <w:r>
        <w:rPr>
          <w:rFonts w:hint="eastAsia"/>
          <w:sz w:val="21"/>
          <w:szCs w:val="21"/>
        </w:rPr>
        <w:t xml:space="preserve">（2）法律法规要求增加的基金费用的收取； </w:t>
      </w:r>
    </w:p>
    <w:p>
      <w:pPr>
        <w:pStyle w:val="7"/>
        <w:spacing w:before="0" w:beforeAutospacing="0" w:after="0" w:afterAutospacing="0" w:line="360" w:lineRule="auto"/>
        <w:ind w:firstLine="420"/>
        <w:rPr>
          <w:sz w:val="21"/>
          <w:szCs w:val="21"/>
        </w:rPr>
      </w:pPr>
      <w:r>
        <w:rPr>
          <w:rFonts w:hint="eastAsia"/>
          <w:sz w:val="21"/>
          <w:szCs w:val="21"/>
        </w:rPr>
        <w:t xml:space="preserve">（3）在法律法规和《基金合同》规定的范围内且对现有基金份额持有人利益无实质性不利影响的前提下调整本基金的申购费率、调低赎回费率或变更收费方式、增加、减少或调整基金份额类别设置、对基金份额分类办法及规则进行调整； </w:t>
      </w:r>
    </w:p>
    <w:p>
      <w:pPr>
        <w:pStyle w:val="7"/>
        <w:spacing w:before="0" w:beforeAutospacing="0" w:after="0" w:afterAutospacing="0" w:line="360" w:lineRule="auto"/>
        <w:ind w:firstLine="420"/>
        <w:rPr>
          <w:sz w:val="21"/>
          <w:szCs w:val="21"/>
        </w:rPr>
      </w:pPr>
      <w:r>
        <w:rPr>
          <w:rFonts w:hint="eastAsia"/>
          <w:sz w:val="21"/>
          <w:szCs w:val="21"/>
        </w:rPr>
        <w:t xml:space="preserve">（4）因相应的法律法规发生变动而应当对《基金合同》进行修改；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（5）对《基金合同》的修改对基金份额持有人利益无实质性不利影响或修改不涉及《基金合同》当事人权利义务关系发生重大变化； </w:t>
      </w:r>
    </w:p>
    <w:p>
      <w:pPr>
        <w:pStyle w:val="7"/>
        <w:spacing w:before="0" w:beforeAutospacing="0" w:after="0" w:afterAutospacing="0" w:line="360" w:lineRule="auto"/>
        <w:ind w:firstLine="420"/>
        <w:rPr>
          <w:sz w:val="21"/>
          <w:szCs w:val="21"/>
        </w:rPr>
      </w:pPr>
      <w:r>
        <w:rPr>
          <w:rFonts w:hint="eastAsia"/>
          <w:sz w:val="21"/>
          <w:szCs w:val="21"/>
        </w:rPr>
        <w:t xml:space="preserve">（6）按照法律法规和《基金合同》规定不需召开基金份额持有人大会的以外的其他情形。 </w:t>
      </w:r>
    </w:p>
    <w:p>
      <w:pPr>
        <w:pStyle w:val="7"/>
        <w:spacing w:before="0" w:beforeAutospacing="0" w:after="0" w:afterAutospacing="0" w:line="360" w:lineRule="auto"/>
        <w:ind w:firstLine="420"/>
        <w:rPr>
          <w:sz w:val="21"/>
          <w:szCs w:val="21"/>
        </w:rPr>
      </w:pPr>
      <w:r>
        <w:rPr>
          <w:rFonts w:hint="eastAsia"/>
          <w:sz w:val="21"/>
          <w:szCs w:val="21"/>
        </w:rPr>
        <w:t xml:space="preserve">（二）会议召集人及召集方式 </w:t>
      </w:r>
    </w:p>
    <w:p>
      <w:pPr>
        <w:pStyle w:val="7"/>
        <w:spacing w:before="0" w:beforeAutospacing="0" w:after="0" w:afterAutospacing="0" w:line="360" w:lineRule="auto"/>
        <w:ind w:firstLine="420"/>
        <w:rPr>
          <w:sz w:val="21"/>
          <w:szCs w:val="21"/>
        </w:rPr>
      </w:pPr>
      <w:r>
        <w:rPr>
          <w:rFonts w:hint="eastAsia"/>
          <w:sz w:val="21"/>
          <w:szCs w:val="21"/>
        </w:rPr>
        <w:t xml:space="preserve">1、除法律法规规定或《基金合同》另有约定外，基金份额持有人大会由基金管理人召集； </w:t>
      </w:r>
    </w:p>
    <w:p>
      <w:pPr>
        <w:pStyle w:val="7"/>
        <w:spacing w:before="0" w:beforeAutospacing="0" w:after="0" w:afterAutospacing="0" w:line="360" w:lineRule="auto"/>
        <w:ind w:firstLine="420"/>
        <w:rPr>
          <w:sz w:val="21"/>
          <w:szCs w:val="21"/>
        </w:rPr>
      </w:pPr>
      <w:r>
        <w:rPr>
          <w:rFonts w:hint="eastAsia"/>
          <w:sz w:val="21"/>
          <w:szCs w:val="21"/>
        </w:rPr>
        <w:t xml:space="preserve">2、基金管理人未按规定召集或不能召集时，由基金托管人召集； </w:t>
      </w:r>
    </w:p>
    <w:p>
      <w:pPr>
        <w:pStyle w:val="7"/>
        <w:spacing w:before="0" w:beforeAutospacing="0" w:after="0" w:afterAutospacing="0" w:line="360" w:lineRule="auto"/>
        <w:ind w:firstLine="420"/>
        <w:rPr>
          <w:sz w:val="21"/>
          <w:szCs w:val="21"/>
        </w:rPr>
      </w:pPr>
      <w:r>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日60日内召开；基金管理人决定不召集，基金托管人仍认为有必要召开的，应当由基金托管人自行召集，并自出具书面决定之日起60日内召开并告知基金管理人，基金管理人应当配合； </w:t>
      </w:r>
    </w:p>
    <w:p>
      <w:pPr>
        <w:pStyle w:val="7"/>
        <w:spacing w:before="0" w:beforeAutospacing="0" w:after="0" w:afterAutospacing="0" w:line="360" w:lineRule="auto"/>
        <w:ind w:firstLine="420"/>
        <w:rPr>
          <w:sz w:val="21"/>
          <w:szCs w:val="21"/>
        </w:rPr>
      </w:pPr>
      <w:r>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pPr>
        <w:pStyle w:val="7"/>
        <w:spacing w:before="0" w:beforeAutospacing="0" w:after="0" w:afterAutospacing="0" w:line="360" w:lineRule="auto"/>
        <w:ind w:firstLine="420"/>
        <w:rPr>
          <w:sz w:val="21"/>
          <w:szCs w:val="21"/>
        </w:rPr>
      </w:pPr>
      <w:r>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pPr>
        <w:pStyle w:val="7"/>
        <w:spacing w:before="0" w:beforeAutospacing="0" w:after="0" w:afterAutospacing="0" w:line="360" w:lineRule="auto"/>
        <w:ind w:firstLine="420"/>
        <w:rPr>
          <w:sz w:val="21"/>
          <w:szCs w:val="21"/>
        </w:rPr>
      </w:pPr>
      <w:r>
        <w:rPr>
          <w:rFonts w:hint="eastAsia"/>
          <w:sz w:val="21"/>
          <w:szCs w:val="21"/>
        </w:rPr>
        <w:t xml:space="preserve">6、基金份额持有人会议的召集人负责选择确定开会时间、地点、方式和权益登记日。 </w:t>
      </w:r>
    </w:p>
    <w:p>
      <w:pPr>
        <w:pStyle w:val="7"/>
        <w:spacing w:before="0" w:beforeAutospacing="0" w:after="0" w:afterAutospacing="0" w:line="360" w:lineRule="auto"/>
        <w:ind w:firstLine="420"/>
        <w:rPr>
          <w:sz w:val="21"/>
          <w:szCs w:val="21"/>
        </w:rPr>
      </w:pPr>
      <w:r>
        <w:rPr>
          <w:rFonts w:hint="eastAsia"/>
          <w:sz w:val="21"/>
          <w:szCs w:val="21"/>
        </w:rPr>
        <w:t xml:space="preserve">（三）召开基金份额持有人大会的通知时间、通知内容、通知方式 </w:t>
      </w:r>
    </w:p>
    <w:p>
      <w:pPr>
        <w:pStyle w:val="7"/>
        <w:spacing w:before="0" w:beforeAutospacing="0" w:after="0" w:afterAutospacing="0" w:line="360" w:lineRule="auto"/>
        <w:ind w:firstLine="420"/>
        <w:rPr>
          <w:sz w:val="21"/>
          <w:szCs w:val="21"/>
        </w:rPr>
      </w:pPr>
      <w:r>
        <w:rPr>
          <w:rFonts w:hint="eastAsia"/>
          <w:sz w:val="21"/>
          <w:szCs w:val="21"/>
        </w:rPr>
        <w:t xml:space="preserve">1、召开基金份额持有人大会，召集人应于会议召开前30日，在指定媒介公告。基金份额持有人大会通知应至少载明以下内容： </w:t>
      </w:r>
    </w:p>
    <w:p>
      <w:pPr>
        <w:pStyle w:val="7"/>
        <w:spacing w:before="0" w:beforeAutospacing="0" w:after="0" w:afterAutospacing="0" w:line="360" w:lineRule="auto"/>
        <w:ind w:firstLine="420"/>
        <w:rPr>
          <w:sz w:val="21"/>
          <w:szCs w:val="21"/>
        </w:rPr>
      </w:pPr>
      <w:r>
        <w:rPr>
          <w:rFonts w:hint="eastAsia"/>
          <w:sz w:val="21"/>
          <w:szCs w:val="21"/>
        </w:rPr>
        <w:t xml:space="preserve">（1）会议召开的时间、地点和会议形式； </w:t>
      </w:r>
    </w:p>
    <w:p>
      <w:pPr>
        <w:pStyle w:val="7"/>
        <w:spacing w:before="0" w:beforeAutospacing="0" w:after="0" w:afterAutospacing="0" w:line="360" w:lineRule="auto"/>
        <w:ind w:firstLine="420"/>
        <w:rPr>
          <w:sz w:val="21"/>
          <w:szCs w:val="21"/>
        </w:rPr>
      </w:pPr>
      <w:r>
        <w:rPr>
          <w:rFonts w:hint="eastAsia"/>
          <w:sz w:val="21"/>
          <w:szCs w:val="21"/>
        </w:rPr>
        <w:t xml:space="preserve">（2）会议拟审议的事项、议事程序和表决方式； </w:t>
      </w:r>
    </w:p>
    <w:p>
      <w:pPr>
        <w:pStyle w:val="7"/>
        <w:spacing w:before="0" w:beforeAutospacing="0" w:after="0" w:afterAutospacing="0" w:line="360" w:lineRule="auto"/>
        <w:ind w:firstLine="420"/>
        <w:rPr>
          <w:sz w:val="21"/>
          <w:szCs w:val="21"/>
        </w:rPr>
      </w:pPr>
      <w:r>
        <w:rPr>
          <w:rFonts w:hint="eastAsia"/>
          <w:sz w:val="21"/>
          <w:szCs w:val="21"/>
        </w:rPr>
        <w:t xml:space="preserve">（3）有权出席基金份额持有人大会的基金份额持有人的权益登记日； </w:t>
      </w:r>
    </w:p>
    <w:p>
      <w:pPr>
        <w:pStyle w:val="7"/>
        <w:spacing w:before="0" w:beforeAutospacing="0" w:after="0" w:afterAutospacing="0" w:line="360" w:lineRule="auto"/>
        <w:ind w:firstLine="420"/>
        <w:rPr>
          <w:sz w:val="21"/>
          <w:szCs w:val="21"/>
        </w:rPr>
      </w:pPr>
      <w:r>
        <w:rPr>
          <w:rFonts w:hint="eastAsia"/>
          <w:sz w:val="21"/>
          <w:szCs w:val="21"/>
        </w:rPr>
        <w:t xml:space="preserve">（4）授权委托证明的内容要求（包括但不限于代理人身份，代理权限和代理有效期限等）、送达时间和地点； </w:t>
      </w:r>
    </w:p>
    <w:p>
      <w:pPr>
        <w:pStyle w:val="7"/>
        <w:spacing w:before="0" w:beforeAutospacing="0" w:after="0" w:afterAutospacing="0" w:line="360" w:lineRule="auto"/>
        <w:ind w:firstLine="420"/>
        <w:rPr>
          <w:sz w:val="21"/>
          <w:szCs w:val="21"/>
        </w:rPr>
      </w:pPr>
      <w:r>
        <w:rPr>
          <w:rFonts w:hint="eastAsia"/>
          <w:sz w:val="21"/>
          <w:szCs w:val="21"/>
        </w:rPr>
        <w:t xml:space="preserve">（5）会务常设联系人姓名及联系电话； </w:t>
      </w:r>
    </w:p>
    <w:p>
      <w:pPr>
        <w:pStyle w:val="7"/>
        <w:spacing w:before="0" w:beforeAutospacing="0" w:after="0" w:afterAutospacing="0" w:line="360" w:lineRule="auto"/>
        <w:ind w:firstLine="420"/>
        <w:rPr>
          <w:sz w:val="21"/>
          <w:szCs w:val="21"/>
        </w:rPr>
      </w:pPr>
      <w:r>
        <w:rPr>
          <w:rFonts w:hint="eastAsia"/>
          <w:sz w:val="21"/>
          <w:szCs w:val="21"/>
        </w:rPr>
        <w:t xml:space="preserve">（6）出席会议者必须准备的文件和必须履行的手续； </w:t>
      </w:r>
    </w:p>
    <w:p>
      <w:pPr>
        <w:pStyle w:val="7"/>
        <w:spacing w:before="0" w:beforeAutospacing="0" w:after="0" w:afterAutospacing="0" w:line="360" w:lineRule="auto"/>
        <w:ind w:firstLine="420"/>
        <w:rPr>
          <w:sz w:val="21"/>
          <w:szCs w:val="21"/>
        </w:rPr>
      </w:pPr>
      <w:r>
        <w:rPr>
          <w:rFonts w:hint="eastAsia"/>
          <w:sz w:val="21"/>
          <w:szCs w:val="21"/>
        </w:rPr>
        <w:t xml:space="preserve">（7）召集人需要通知的其他事项。 </w:t>
      </w:r>
    </w:p>
    <w:p>
      <w:pPr>
        <w:pStyle w:val="7"/>
        <w:spacing w:before="0" w:beforeAutospacing="0" w:after="0" w:afterAutospacing="0" w:line="360" w:lineRule="auto"/>
        <w:ind w:firstLine="420"/>
        <w:rPr>
          <w:sz w:val="21"/>
          <w:szCs w:val="21"/>
        </w:rPr>
      </w:pPr>
      <w:r>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pPr>
        <w:pStyle w:val="7"/>
        <w:spacing w:before="0" w:beforeAutospacing="0" w:after="0" w:afterAutospacing="0" w:line="360" w:lineRule="auto"/>
        <w:ind w:firstLine="420"/>
        <w:rPr>
          <w:sz w:val="21"/>
          <w:szCs w:val="21"/>
        </w:rPr>
      </w:pPr>
      <w:r>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pPr>
        <w:pStyle w:val="7"/>
        <w:spacing w:before="0" w:beforeAutospacing="0" w:after="0" w:afterAutospacing="0" w:line="360" w:lineRule="auto"/>
        <w:ind w:firstLine="420"/>
        <w:rPr>
          <w:sz w:val="21"/>
          <w:szCs w:val="21"/>
        </w:rPr>
      </w:pPr>
      <w:r>
        <w:rPr>
          <w:rFonts w:hint="eastAsia"/>
          <w:sz w:val="21"/>
          <w:szCs w:val="21"/>
        </w:rPr>
        <w:t xml:space="preserve">（四）基金份额持有人出席会议的方式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基金份额持有人大会可通过现场开会方式、通讯开会方式或法律法规、监管机构允许的其他方式召开，会议的召开方式由会议召集人确定。 </w:t>
      </w:r>
    </w:p>
    <w:p>
      <w:pPr>
        <w:pStyle w:val="7"/>
        <w:spacing w:before="0" w:beforeAutospacing="0" w:after="0" w:afterAutospacing="0" w:line="360" w:lineRule="auto"/>
        <w:ind w:firstLine="420"/>
        <w:rPr>
          <w:sz w:val="21"/>
          <w:szCs w:val="21"/>
        </w:rPr>
      </w:pPr>
      <w:r>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pPr>
        <w:pStyle w:val="7"/>
        <w:spacing w:before="0" w:beforeAutospacing="0" w:after="0" w:afterAutospacing="0" w:line="360" w:lineRule="auto"/>
        <w:ind w:firstLine="420"/>
        <w:rPr>
          <w:sz w:val="21"/>
          <w:szCs w:val="21"/>
        </w:rPr>
      </w:pPr>
      <w:r>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pPr>
        <w:pStyle w:val="7"/>
        <w:spacing w:before="0" w:beforeAutospacing="0" w:after="0" w:afterAutospacing="0" w:line="360" w:lineRule="auto"/>
        <w:ind w:firstLine="420"/>
        <w:rPr>
          <w:sz w:val="21"/>
          <w:szCs w:val="21"/>
        </w:rPr>
      </w:pPr>
      <w:r>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pPr>
        <w:pStyle w:val="7"/>
        <w:spacing w:before="0" w:beforeAutospacing="0" w:after="0" w:afterAutospacing="0" w:line="360" w:lineRule="auto"/>
        <w:ind w:firstLine="420"/>
        <w:rPr>
          <w:sz w:val="21"/>
          <w:szCs w:val="21"/>
        </w:rPr>
      </w:pPr>
      <w:r>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pPr>
        <w:pStyle w:val="7"/>
        <w:spacing w:before="0" w:beforeAutospacing="0" w:after="0" w:afterAutospacing="0" w:line="360" w:lineRule="auto"/>
        <w:ind w:firstLine="420"/>
        <w:rPr>
          <w:sz w:val="21"/>
          <w:szCs w:val="21"/>
        </w:rPr>
      </w:pPr>
      <w:r>
        <w:rPr>
          <w:rFonts w:hint="eastAsia"/>
          <w:sz w:val="21"/>
          <w:szCs w:val="21"/>
        </w:rPr>
        <w:t xml:space="preserve">在同时符合以下条件时，通讯开会的方式视为有效： </w:t>
      </w:r>
    </w:p>
    <w:p>
      <w:pPr>
        <w:pStyle w:val="7"/>
        <w:spacing w:before="0" w:beforeAutospacing="0" w:after="0" w:afterAutospacing="0" w:line="360" w:lineRule="auto"/>
        <w:ind w:firstLine="420"/>
        <w:rPr>
          <w:sz w:val="21"/>
          <w:szCs w:val="21"/>
        </w:rPr>
      </w:pPr>
      <w:r>
        <w:rPr>
          <w:rFonts w:hint="eastAsia"/>
          <w:sz w:val="21"/>
          <w:szCs w:val="21"/>
        </w:rPr>
        <w:t xml:space="preserve">（1）会议召集人按《基金合同》约定公布会议通知后，在2个工作日内连续公布相关提示性公告； </w:t>
      </w:r>
    </w:p>
    <w:p>
      <w:pPr>
        <w:pStyle w:val="7"/>
        <w:spacing w:before="0" w:beforeAutospacing="0" w:after="0" w:afterAutospacing="0" w:line="360" w:lineRule="auto"/>
        <w:ind w:firstLine="420"/>
        <w:rPr>
          <w:sz w:val="21"/>
          <w:szCs w:val="21"/>
        </w:rPr>
      </w:pPr>
      <w:r>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pPr>
        <w:pStyle w:val="7"/>
        <w:spacing w:before="0" w:beforeAutospacing="0" w:after="0" w:afterAutospacing="0" w:line="360" w:lineRule="auto"/>
        <w:ind w:firstLine="420"/>
        <w:rPr>
          <w:sz w:val="21"/>
          <w:szCs w:val="21"/>
        </w:rPr>
      </w:pPr>
      <w:r>
        <w:rPr>
          <w:rFonts w:hint="eastAsia"/>
          <w:sz w:val="21"/>
          <w:szCs w:val="21"/>
        </w:rPr>
        <w:t xml:space="preserve">（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书面意见或授权他人代表出具书面意见； </w:t>
      </w:r>
    </w:p>
    <w:p>
      <w:pPr>
        <w:pStyle w:val="7"/>
        <w:spacing w:before="0" w:beforeAutospacing="0" w:after="0" w:afterAutospacing="0" w:line="360" w:lineRule="auto"/>
        <w:ind w:firstLine="420"/>
        <w:rPr>
          <w:sz w:val="21"/>
          <w:szCs w:val="21"/>
        </w:rPr>
      </w:pPr>
      <w:r>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pPr>
        <w:pStyle w:val="7"/>
        <w:spacing w:before="0" w:beforeAutospacing="0" w:after="0" w:afterAutospacing="0" w:line="360" w:lineRule="auto"/>
        <w:ind w:firstLine="420"/>
        <w:rPr>
          <w:sz w:val="21"/>
          <w:szCs w:val="21"/>
        </w:rPr>
      </w:pPr>
      <w:r>
        <w:rPr>
          <w:rFonts w:hint="eastAsia"/>
          <w:sz w:val="21"/>
          <w:szCs w:val="21"/>
        </w:rPr>
        <w:t xml:space="preserve">3、在法律法规和监管机关允许的情况下，本基金的基金份额持有人亦可采用其他非书面方式授权其代理人出席基金份额持有人大会，具体方式由会议召集人确定并在会议通知中列明。 </w:t>
      </w:r>
    </w:p>
    <w:p>
      <w:pPr>
        <w:pStyle w:val="7"/>
        <w:spacing w:before="0" w:beforeAutospacing="0" w:after="0" w:afterAutospacing="0" w:line="360" w:lineRule="auto"/>
        <w:ind w:firstLine="420"/>
        <w:rPr>
          <w:sz w:val="21"/>
          <w:szCs w:val="21"/>
        </w:rPr>
      </w:pPr>
      <w:r>
        <w:rPr>
          <w:rFonts w:hint="eastAsia"/>
          <w:sz w:val="21"/>
          <w:szCs w:val="21"/>
        </w:rPr>
        <w:t xml:space="preserve">4、在会议召开方式上，本基金亦可采用其他非现场方式或者以现场方式与非现场方式相结合的方式召开基金份额持有人大会，会议程序比照现场开会和通讯方式开会的程序进行。 </w:t>
      </w:r>
    </w:p>
    <w:p>
      <w:pPr>
        <w:pStyle w:val="7"/>
        <w:spacing w:before="0" w:beforeAutospacing="0" w:after="0" w:afterAutospacing="0" w:line="360" w:lineRule="auto"/>
        <w:ind w:firstLine="420"/>
        <w:rPr>
          <w:sz w:val="21"/>
          <w:szCs w:val="21"/>
        </w:rPr>
      </w:pPr>
      <w:r>
        <w:rPr>
          <w:rFonts w:hint="eastAsia"/>
          <w:sz w:val="21"/>
          <w:szCs w:val="21"/>
        </w:rPr>
        <w:t xml:space="preserve">（五）议事内容与程序 </w:t>
      </w:r>
    </w:p>
    <w:p>
      <w:pPr>
        <w:pStyle w:val="7"/>
        <w:spacing w:before="0" w:beforeAutospacing="0" w:after="0" w:afterAutospacing="0" w:line="360" w:lineRule="auto"/>
        <w:ind w:firstLine="420"/>
        <w:rPr>
          <w:sz w:val="21"/>
          <w:szCs w:val="21"/>
        </w:rPr>
      </w:pPr>
      <w:r>
        <w:rPr>
          <w:rFonts w:hint="eastAsia"/>
          <w:sz w:val="21"/>
          <w:szCs w:val="21"/>
        </w:rPr>
        <w:t xml:space="preserve">1、议事内容及提案权 </w:t>
      </w:r>
    </w:p>
    <w:p>
      <w:pPr>
        <w:pStyle w:val="7"/>
        <w:spacing w:before="0" w:beforeAutospacing="0" w:after="0" w:afterAutospacing="0" w:line="360" w:lineRule="auto"/>
        <w:ind w:firstLine="420"/>
        <w:rPr>
          <w:sz w:val="21"/>
          <w:szCs w:val="21"/>
        </w:rPr>
      </w:pPr>
      <w:r>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基金份额持有人大会的召集人发出召集会议的通知后，对原有提案的修改应当在基金份额持有人大会召开前及时公告。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基金份额持有人大会不得对未事先公告的议事内容进行表决。 </w:t>
      </w:r>
    </w:p>
    <w:p>
      <w:pPr>
        <w:pStyle w:val="7"/>
        <w:spacing w:before="0" w:beforeAutospacing="0" w:after="0" w:afterAutospacing="0" w:line="360" w:lineRule="auto"/>
        <w:ind w:firstLine="420"/>
        <w:rPr>
          <w:sz w:val="21"/>
          <w:szCs w:val="21"/>
        </w:rPr>
      </w:pPr>
      <w:r>
        <w:rPr>
          <w:rFonts w:hint="eastAsia"/>
          <w:sz w:val="21"/>
          <w:szCs w:val="21"/>
        </w:rPr>
        <w:t xml:space="preserve">2、议事程序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pPr>
        <w:pStyle w:val="7"/>
        <w:spacing w:before="0" w:beforeAutospacing="0" w:after="0" w:afterAutospacing="0" w:line="360" w:lineRule="auto"/>
        <w:ind w:firstLine="420"/>
        <w:rPr>
          <w:sz w:val="21"/>
          <w:szCs w:val="21"/>
        </w:rPr>
      </w:pPr>
      <w:r>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pPr>
        <w:pStyle w:val="7"/>
        <w:spacing w:before="0" w:beforeAutospacing="0" w:after="0" w:afterAutospacing="0" w:line="360" w:lineRule="auto"/>
        <w:ind w:firstLine="420"/>
        <w:rPr>
          <w:sz w:val="21"/>
          <w:szCs w:val="21"/>
        </w:rPr>
      </w:pPr>
      <w:r>
        <w:rPr>
          <w:rFonts w:hint="eastAsia"/>
          <w:sz w:val="21"/>
          <w:szCs w:val="21"/>
        </w:rPr>
        <w:t xml:space="preserve">（六）表决 </w:t>
      </w:r>
    </w:p>
    <w:p>
      <w:pPr>
        <w:pStyle w:val="7"/>
        <w:spacing w:before="0" w:beforeAutospacing="0" w:after="0" w:afterAutospacing="0" w:line="360" w:lineRule="auto"/>
        <w:ind w:firstLine="420"/>
        <w:rPr>
          <w:sz w:val="21"/>
          <w:szCs w:val="21"/>
        </w:rPr>
      </w:pPr>
      <w:r>
        <w:rPr>
          <w:rFonts w:hint="eastAsia"/>
          <w:sz w:val="21"/>
          <w:szCs w:val="21"/>
        </w:rPr>
        <w:t xml:space="preserve">基金份额持有人所持每份基金份额有一票表决权。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基金份额持有人大会决议分为一般决议和特别决议： </w:t>
      </w:r>
    </w:p>
    <w:p>
      <w:pPr>
        <w:pStyle w:val="7"/>
        <w:spacing w:before="0" w:beforeAutospacing="0" w:after="0" w:afterAutospacing="0" w:line="360" w:lineRule="auto"/>
        <w:ind w:firstLine="420"/>
        <w:rPr>
          <w:sz w:val="21"/>
          <w:szCs w:val="21"/>
        </w:rPr>
      </w:pPr>
      <w:r>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pPr>
        <w:pStyle w:val="7"/>
        <w:spacing w:before="0" w:beforeAutospacing="0" w:after="0" w:afterAutospacing="0" w:line="360" w:lineRule="auto"/>
        <w:ind w:firstLine="420"/>
        <w:rPr>
          <w:sz w:val="21"/>
          <w:szCs w:val="21"/>
        </w:rPr>
      </w:pPr>
      <w:r>
        <w:rPr>
          <w:rFonts w:hint="eastAsia"/>
          <w:sz w:val="21"/>
          <w:szCs w:val="21"/>
        </w:rPr>
        <w:t xml:space="preserve">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基金份额持有人大会采取记名方式进行投票表决。 </w:t>
      </w:r>
    </w:p>
    <w:p>
      <w:pPr>
        <w:pStyle w:val="7"/>
        <w:spacing w:before="0" w:beforeAutospacing="0" w:after="0" w:afterAutospacing="0" w:line="360" w:lineRule="auto"/>
        <w:ind w:firstLine="420"/>
        <w:rPr>
          <w:sz w:val="21"/>
          <w:szCs w:val="21"/>
        </w:rPr>
      </w:pPr>
      <w:r>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基金份额持有人大会的各项提案或同一项提案内并列的各项议题应当分开审议、逐项表决。 </w:t>
      </w:r>
    </w:p>
    <w:p>
      <w:pPr>
        <w:pStyle w:val="7"/>
        <w:spacing w:before="0" w:beforeAutospacing="0" w:after="0" w:afterAutospacing="0" w:line="360" w:lineRule="auto"/>
        <w:ind w:firstLine="420"/>
        <w:rPr>
          <w:sz w:val="21"/>
          <w:szCs w:val="21"/>
        </w:rPr>
      </w:pPr>
      <w:r>
        <w:rPr>
          <w:rFonts w:hint="eastAsia"/>
          <w:sz w:val="21"/>
          <w:szCs w:val="21"/>
        </w:rPr>
        <w:t xml:space="preserve">（七）计票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（2）监票人应当在基金份额持有人表决后立即进行清点并由大会主持人当场公布计票结果。 </w:t>
      </w:r>
    </w:p>
    <w:p>
      <w:pPr>
        <w:pStyle w:val="7"/>
        <w:spacing w:before="0" w:beforeAutospacing="0" w:after="0" w:afterAutospacing="0" w:line="360" w:lineRule="auto"/>
        <w:ind w:firstLine="420"/>
        <w:rPr>
          <w:sz w:val="21"/>
          <w:szCs w:val="21"/>
        </w:rPr>
      </w:pPr>
      <w:r>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pPr>
        <w:pStyle w:val="7"/>
        <w:spacing w:before="0" w:beforeAutospacing="0" w:after="0" w:afterAutospacing="0" w:line="360" w:lineRule="auto"/>
        <w:ind w:firstLine="420"/>
        <w:rPr>
          <w:sz w:val="21"/>
          <w:szCs w:val="21"/>
        </w:rPr>
      </w:pPr>
      <w:r>
        <w:rPr>
          <w:rFonts w:hint="eastAsia"/>
          <w:sz w:val="21"/>
          <w:szCs w:val="21"/>
        </w:rPr>
        <w:t xml:space="preserve">（4）计票过程应由公证机关予以公证，基金管理人或基金托管人拒不出席大会的，不影响计票的效力。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pPr>
        <w:pStyle w:val="7"/>
        <w:spacing w:before="0" w:beforeAutospacing="0" w:after="0" w:afterAutospacing="0" w:line="360" w:lineRule="auto"/>
        <w:ind w:firstLine="420"/>
        <w:rPr>
          <w:sz w:val="21"/>
          <w:szCs w:val="21"/>
        </w:rPr>
      </w:pPr>
      <w:r>
        <w:rPr>
          <w:rFonts w:hint="eastAsia"/>
          <w:sz w:val="21"/>
          <w:szCs w:val="21"/>
        </w:rPr>
        <w:t xml:space="preserve">（八）生效与公告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基金份额持有人大会的决议，召集人应当自通过之日起5日内报中国证监会备案。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基金份额持有人大会的决议自表决通过之日起生效。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pPr>
        <w:pStyle w:val="7"/>
        <w:spacing w:before="0" w:beforeAutospacing="0" w:after="0" w:afterAutospacing="0" w:line="360" w:lineRule="auto"/>
        <w:ind w:firstLine="420"/>
        <w:rPr>
          <w:sz w:val="21"/>
          <w:szCs w:val="21"/>
        </w:rPr>
      </w:pPr>
      <w:r>
        <w:rPr>
          <w:rFonts w:hint="eastAsia"/>
          <w:sz w:val="21"/>
          <w:szCs w:val="21"/>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pPr>
        <w:pStyle w:val="7"/>
        <w:spacing w:before="0" w:beforeAutospacing="0" w:after="0" w:afterAutospacing="0" w:line="360" w:lineRule="auto"/>
        <w:ind w:firstLine="420"/>
        <w:rPr>
          <w:sz w:val="21"/>
          <w:szCs w:val="21"/>
        </w:rPr>
      </w:pPr>
      <w:r>
        <w:rPr>
          <w:rStyle w:val="11"/>
          <w:rFonts w:hint="eastAsia"/>
          <w:sz w:val="21"/>
          <w:szCs w:val="21"/>
        </w:rPr>
        <w:t>三、与基金财产管理、运用有关费用的提取、支付方式与比例 </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 xml:space="preserve">本基金的管理费按前一日基金资产净值的1.20%年费率计提。管理费的计算方法如下： </w:t>
      </w:r>
    </w:p>
    <w:p>
      <w:pPr>
        <w:pStyle w:val="7"/>
        <w:spacing w:before="0" w:beforeAutospacing="0" w:after="0" w:afterAutospacing="0" w:line="360" w:lineRule="auto"/>
        <w:ind w:firstLine="420"/>
        <w:rPr>
          <w:sz w:val="21"/>
          <w:szCs w:val="21"/>
        </w:rPr>
      </w:pPr>
      <w:r>
        <w:rPr>
          <w:rFonts w:hint="eastAsia"/>
          <w:sz w:val="21"/>
          <w:szCs w:val="21"/>
        </w:rPr>
        <w:t xml:space="preserve">H＝E×1.20%÷当年天数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H为每日应计提的基金管理费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管理费每日计算，逐日累计至每月月末，按月支付，由基金托管人根据与基金管理人核对一致的财务数据，自动在月初三个工作日内、按照指定的账户路径进行资金支付，基金管理人无需再出具资金划拨指令。若遇法定节假日、公休假等，支付日期顺延。费用自动扣划后，基金管理人应进行核对，如发现数据不符，及时联系基金托管人协商解决。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 xml:space="preserve">本基金的托管费按前一日基金资产净值的0.20%的年费率计提。托管费的计算方法如下： </w:t>
      </w:r>
    </w:p>
    <w:p>
      <w:pPr>
        <w:pStyle w:val="7"/>
        <w:spacing w:before="0" w:beforeAutospacing="0" w:after="0" w:afterAutospacing="0" w:line="360" w:lineRule="auto"/>
        <w:ind w:firstLine="420"/>
        <w:rPr>
          <w:sz w:val="21"/>
          <w:szCs w:val="21"/>
        </w:rPr>
      </w:pPr>
      <w:r>
        <w:rPr>
          <w:rFonts w:hint="eastAsia"/>
          <w:sz w:val="21"/>
          <w:szCs w:val="21"/>
        </w:rPr>
        <w:t xml:space="preserve">H＝E×0.20%÷当年天数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H为每日应计提的基金托管费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托管费每日计算，逐日累计至每月月末，按月支付，由基金托管人根据与基金管理人核对一致的财务数据，自动在月初三个工作日内、按照指定的账户路径进行资金支付，基金管理人无需再出具资金划拨指令。若遇法定节假日、公休日等，支付日期顺延。费用自动扣划后，基金管理人应进行核对，如发现数据不符，及时联系基金托管人协商解决。 </w:t>
      </w:r>
    </w:p>
    <w:p>
      <w:pPr>
        <w:pStyle w:val="7"/>
        <w:spacing w:before="0" w:beforeAutospacing="0" w:after="0" w:afterAutospacing="0" w:line="360" w:lineRule="auto"/>
        <w:ind w:firstLine="420"/>
        <w:rPr>
          <w:sz w:val="21"/>
          <w:szCs w:val="21"/>
        </w:rPr>
      </w:pPr>
      <w:r>
        <w:rPr>
          <w:rFonts w:hint="eastAsia"/>
          <w:sz w:val="21"/>
          <w:szCs w:val="21"/>
        </w:rPr>
        <w:t xml:space="preserve">3、销售服务费 </w:t>
      </w:r>
    </w:p>
    <w:p>
      <w:pPr>
        <w:pStyle w:val="7"/>
        <w:spacing w:before="0" w:beforeAutospacing="0" w:after="0" w:afterAutospacing="0" w:line="360" w:lineRule="auto"/>
        <w:ind w:firstLine="420"/>
        <w:rPr>
          <w:sz w:val="21"/>
          <w:szCs w:val="21"/>
        </w:rPr>
      </w:pPr>
      <w:r>
        <w:rPr>
          <w:rFonts w:hint="eastAsia"/>
          <w:sz w:val="21"/>
          <w:szCs w:val="21"/>
        </w:rPr>
        <w:t xml:space="preserve">本基金A类基金份额不收取销售服务费，C类基金份额的销售服务费年费率为0.50%。 </w:t>
      </w:r>
    </w:p>
    <w:p>
      <w:pPr>
        <w:pStyle w:val="7"/>
        <w:spacing w:before="0" w:beforeAutospacing="0" w:after="0" w:afterAutospacing="0" w:line="360" w:lineRule="auto"/>
        <w:ind w:firstLine="420"/>
        <w:rPr>
          <w:sz w:val="21"/>
          <w:szCs w:val="21"/>
        </w:rPr>
      </w:pPr>
      <w:r>
        <w:rPr>
          <w:rFonts w:hint="eastAsia"/>
          <w:sz w:val="21"/>
          <w:szCs w:val="21"/>
        </w:rPr>
        <w:t xml:space="preserve">本基金销售服务费按前一日C类基金份额的基金资产净值的0.50%年费率计提。 计算方法如下： </w:t>
      </w:r>
    </w:p>
    <w:p>
      <w:pPr>
        <w:pStyle w:val="7"/>
        <w:spacing w:before="0" w:beforeAutospacing="0" w:after="0" w:afterAutospacing="0" w:line="360" w:lineRule="auto"/>
        <w:ind w:firstLine="420"/>
        <w:rPr>
          <w:sz w:val="21"/>
          <w:szCs w:val="21"/>
        </w:rPr>
      </w:pPr>
      <w:r>
        <w:rPr>
          <w:rFonts w:hint="eastAsia"/>
          <w:sz w:val="21"/>
          <w:szCs w:val="21"/>
        </w:rPr>
        <w:t xml:space="preserve">H=E×0.50%÷当年天数 </w:t>
      </w:r>
    </w:p>
    <w:p>
      <w:pPr>
        <w:pStyle w:val="7"/>
        <w:spacing w:before="0" w:beforeAutospacing="0" w:after="0" w:afterAutospacing="0" w:line="360" w:lineRule="auto"/>
        <w:ind w:firstLine="420"/>
        <w:rPr>
          <w:sz w:val="21"/>
          <w:szCs w:val="21"/>
        </w:rPr>
      </w:pPr>
      <w:r>
        <w:rPr>
          <w:rFonts w:hint="eastAsia"/>
          <w:sz w:val="21"/>
          <w:szCs w:val="21"/>
        </w:rPr>
        <w:t xml:space="preserve">H为C类基金份额每日应计提的销售服务费 </w:t>
      </w:r>
    </w:p>
    <w:p>
      <w:pPr>
        <w:pStyle w:val="7"/>
        <w:spacing w:before="0" w:beforeAutospacing="0" w:after="0" w:afterAutospacing="0" w:line="360" w:lineRule="auto"/>
        <w:ind w:firstLine="420"/>
        <w:rPr>
          <w:sz w:val="21"/>
          <w:szCs w:val="21"/>
        </w:rPr>
      </w:pPr>
      <w:r>
        <w:rPr>
          <w:rFonts w:hint="eastAsia"/>
          <w:sz w:val="21"/>
          <w:szCs w:val="21"/>
        </w:rPr>
        <w:t xml:space="preserve">E为C类基金份额前一日基金资产净值 </w:t>
      </w:r>
    </w:p>
    <w:p>
      <w:pPr>
        <w:pStyle w:val="7"/>
        <w:spacing w:before="0" w:beforeAutospacing="0" w:after="0" w:afterAutospacing="0" w:line="360" w:lineRule="auto"/>
        <w:ind w:firstLine="420"/>
        <w:rPr>
          <w:sz w:val="21"/>
          <w:szCs w:val="21"/>
        </w:rPr>
      </w:pPr>
      <w:r>
        <w:rPr>
          <w:rFonts w:hint="eastAsia"/>
          <w:sz w:val="21"/>
          <w:szCs w:val="21"/>
        </w:rPr>
        <w:t xml:space="preserve">销售服务费每日计算，逐日累计至每月月末，按月支付。经基金管理人与基金托管人核对一致后，由基金托管人自动于次月首日起三个工作日内从基金财产中一次性支付至登记机构，由登记机构代付给销售机构。若遇法定节假日、公休日等，支付日期顺延。 </w:t>
      </w:r>
    </w:p>
    <w:p>
      <w:pPr>
        <w:pStyle w:val="7"/>
        <w:spacing w:before="0" w:beforeAutospacing="0" w:after="0" w:afterAutospacing="0" w:line="360" w:lineRule="auto"/>
        <w:ind w:firstLine="420"/>
        <w:rPr>
          <w:sz w:val="21"/>
          <w:szCs w:val="21"/>
        </w:rPr>
      </w:pPr>
      <w:r>
        <w:rPr>
          <w:rFonts w:hint="eastAsia"/>
          <w:sz w:val="21"/>
          <w:szCs w:val="21"/>
        </w:rPr>
        <w:t xml:space="preserve">销售服务费主要用于本基金持续销售以及基金份额持有人服务等各项费用。 </w:t>
      </w:r>
    </w:p>
    <w:p>
      <w:pPr>
        <w:pStyle w:val="7"/>
        <w:spacing w:before="0" w:beforeAutospacing="0" w:after="0" w:afterAutospacing="0" w:line="360" w:lineRule="auto"/>
        <w:ind w:firstLine="420"/>
        <w:rPr>
          <w:sz w:val="21"/>
          <w:szCs w:val="21"/>
        </w:rPr>
      </w:pPr>
      <w:r>
        <w:rPr>
          <w:rFonts w:hint="eastAsia"/>
          <w:sz w:val="21"/>
          <w:szCs w:val="21"/>
        </w:rPr>
        <w:t xml:space="preserve">上述“一、基金费用的种类中第4－10项费用”，根据有关法规及相应协议规定，按费用实际支出金额列入当期费用，由基金托管人从基金财产中支付。 </w:t>
      </w:r>
    </w:p>
    <w:p>
      <w:pPr>
        <w:pStyle w:val="7"/>
        <w:spacing w:before="0" w:beforeAutospacing="0" w:after="0" w:afterAutospacing="0" w:line="360" w:lineRule="auto"/>
        <w:ind w:firstLine="420"/>
        <w:rPr>
          <w:sz w:val="21"/>
          <w:szCs w:val="21"/>
        </w:rPr>
      </w:pPr>
      <w:r>
        <w:rPr>
          <w:rStyle w:val="11"/>
          <w:rFonts w:hint="eastAsia"/>
          <w:sz w:val="21"/>
          <w:szCs w:val="21"/>
        </w:rPr>
        <w:t>四、基金收益分配原则 </w:t>
      </w:r>
    </w:p>
    <w:p>
      <w:pPr>
        <w:pStyle w:val="7"/>
        <w:spacing w:before="0" w:beforeAutospacing="0" w:after="0" w:afterAutospacing="0" w:line="360" w:lineRule="auto"/>
        <w:ind w:firstLine="420"/>
        <w:rPr>
          <w:sz w:val="21"/>
          <w:szCs w:val="21"/>
        </w:rPr>
      </w:pPr>
      <w:r>
        <w:rPr>
          <w:rFonts w:hint="eastAsia"/>
          <w:sz w:val="21"/>
          <w:szCs w:val="21"/>
        </w:rPr>
        <w:t xml:space="preserve">1、由于本基金A类基金份额不收取销售服务费，而C类基金份额收取销售服务费，各基金份额类别对应的可供分配利润将有所不同，本基金同一类别的每一基金份额享有同等分配权； </w:t>
      </w:r>
    </w:p>
    <w:p>
      <w:pPr>
        <w:pStyle w:val="7"/>
        <w:spacing w:before="0" w:beforeAutospacing="0" w:after="0" w:afterAutospacing="0" w:line="360" w:lineRule="auto"/>
        <w:ind w:firstLine="420"/>
        <w:rPr>
          <w:sz w:val="21"/>
          <w:szCs w:val="21"/>
        </w:rPr>
      </w:pPr>
      <w:r>
        <w:rPr>
          <w:rFonts w:hint="eastAsia"/>
          <w:sz w:val="21"/>
          <w:szCs w:val="21"/>
        </w:rPr>
        <w:t xml:space="preserve">2、本基金收益分配方式分两种：现金分红与红利再投资，投资者可选择现金红利或将现金红利自动转为相应类别基金份额进行再投资；若投资者不选择，本基金默认的收益分配方式是现金分红； </w:t>
      </w:r>
    </w:p>
    <w:p>
      <w:pPr>
        <w:pStyle w:val="7"/>
        <w:spacing w:before="0" w:beforeAutospacing="0" w:after="0" w:afterAutospacing="0" w:line="360" w:lineRule="auto"/>
        <w:ind w:firstLine="420"/>
        <w:rPr>
          <w:sz w:val="21"/>
          <w:szCs w:val="21"/>
        </w:rPr>
      </w:pPr>
      <w:r>
        <w:rPr>
          <w:rFonts w:hint="eastAsia"/>
          <w:sz w:val="21"/>
          <w:szCs w:val="21"/>
        </w:rPr>
        <w:t xml:space="preserve">3、基金收益分配后两类基金份额净值不能低于面值，即基金收益分配基准日的两类基金份额净值减去每单位基金份额收益分配金额后不能低于面值； </w:t>
      </w:r>
    </w:p>
    <w:p>
      <w:pPr>
        <w:pStyle w:val="7"/>
        <w:spacing w:before="0" w:beforeAutospacing="0" w:after="0" w:afterAutospacing="0" w:line="360" w:lineRule="auto"/>
        <w:ind w:firstLine="420"/>
        <w:rPr>
          <w:sz w:val="21"/>
          <w:szCs w:val="21"/>
        </w:rPr>
      </w:pPr>
      <w:r>
        <w:rPr>
          <w:rFonts w:hint="eastAsia"/>
          <w:sz w:val="21"/>
          <w:szCs w:val="21"/>
        </w:rPr>
        <w:t xml:space="preserve">4、法律法规或监管机关另有规定的，从其规定。 </w:t>
      </w:r>
    </w:p>
    <w:p>
      <w:pPr>
        <w:pStyle w:val="7"/>
        <w:spacing w:before="0" w:beforeAutospacing="0" w:after="0" w:afterAutospacing="0" w:line="360" w:lineRule="auto"/>
        <w:ind w:firstLine="420"/>
        <w:rPr>
          <w:sz w:val="21"/>
          <w:szCs w:val="21"/>
        </w:rPr>
      </w:pPr>
      <w:r>
        <w:rPr>
          <w:rStyle w:val="11"/>
          <w:rFonts w:hint="eastAsia"/>
          <w:sz w:val="21"/>
          <w:szCs w:val="21"/>
        </w:rPr>
        <w:t>五、基金财产的投资方向和投资限制 </w:t>
      </w:r>
    </w:p>
    <w:p>
      <w:pPr>
        <w:pStyle w:val="7"/>
        <w:spacing w:before="0" w:beforeAutospacing="0" w:after="0" w:afterAutospacing="0" w:line="360" w:lineRule="auto"/>
        <w:ind w:firstLine="420"/>
        <w:rPr>
          <w:sz w:val="21"/>
          <w:szCs w:val="21"/>
        </w:rPr>
      </w:pPr>
      <w:r>
        <w:rPr>
          <w:rFonts w:hint="eastAsia"/>
          <w:sz w:val="21"/>
          <w:szCs w:val="21"/>
        </w:rPr>
        <w:t xml:space="preserve">（一）投资范围 </w:t>
      </w:r>
    </w:p>
    <w:p>
      <w:pPr>
        <w:pStyle w:val="7"/>
        <w:spacing w:before="0" w:beforeAutospacing="0" w:after="0" w:afterAutospacing="0" w:line="360" w:lineRule="auto"/>
        <w:ind w:firstLine="420"/>
        <w:rPr>
          <w:sz w:val="21"/>
          <w:szCs w:val="21"/>
        </w:rPr>
      </w:pPr>
      <w:r>
        <w:rPr>
          <w:rFonts w:hint="eastAsia"/>
          <w:sz w:val="21"/>
          <w:szCs w:val="21"/>
        </w:rPr>
        <w:t xml:space="preserve">本基金的投资对象是具有良好流动性的金融工具，包括 </w:t>
      </w:r>
    </w:p>
    <w:p>
      <w:pPr>
        <w:pStyle w:val="7"/>
        <w:spacing w:before="0" w:beforeAutospacing="0" w:after="0" w:afterAutospacing="0" w:line="360" w:lineRule="auto"/>
        <w:ind w:firstLine="420"/>
        <w:rPr>
          <w:sz w:val="21"/>
          <w:szCs w:val="21"/>
        </w:rPr>
      </w:pPr>
      <w:r>
        <w:rPr>
          <w:rFonts w:hint="eastAsia"/>
          <w:sz w:val="21"/>
          <w:szCs w:val="21"/>
        </w:rPr>
        <w:t xml:space="preserve">国内依法发行上市的股票（包括中小板、创业板及其他经中国证监会核准上市的股票、存托凭证）、债券（包括国债、金融债、央行票据、地方政府债、企业债、公司债、可交换公司债券、可转换公司债券（含可分离交易可转债）、中小企业私募债券、中期票据、短期融资券、超级短期融资券、次级债）、资产支持证券、债券回购、银行存款、同业存单、货币市场工具、权证、股指期货、国债期货以及法律法规或中国证监会允许基金投资的其他金融工具（但须符合中国证监会的相关规定）。 </w:t>
      </w:r>
    </w:p>
    <w:p>
      <w:pPr>
        <w:pStyle w:val="7"/>
        <w:spacing w:before="0" w:beforeAutospacing="0" w:after="0" w:afterAutospacing="0" w:line="360" w:lineRule="auto"/>
        <w:ind w:firstLine="420"/>
        <w:rPr>
          <w:sz w:val="21"/>
          <w:szCs w:val="21"/>
        </w:rPr>
      </w:pPr>
      <w:r>
        <w:rPr>
          <w:rFonts w:hint="eastAsia"/>
          <w:sz w:val="21"/>
          <w:szCs w:val="21"/>
        </w:rPr>
        <w:t xml:space="preserve">如法律法规或监管机构以后允许基金投资其他品种，基金管理人在履行适当程序后，可以将其纳入投资范围。 </w:t>
      </w:r>
    </w:p>
    <w:p>
      <w:pPr>
        <w:pStyle w:val="7"/>
        <w:spacing w:before="0" w:beforeAutospacing="0" w:after="0" w:afterAutospacing="0" w:line="360" w:lineRule="auto"/>
        <w:ind w:firstLine="420"/>
        <w:rPr>
          <w:sz w:val="21"/>
          <w:szCs w:val="21"/>
        </w:rPr>
      </w:pPr>
      <w:r>
        <w:rPr>
          <w:rFonts w:hint="eastAsia"/>
          <w:sz w:val="21"/>
          <w:szCs w:val="21"/>
        </w:rPr>
        <w:t xml:space="preserve">基金的投资组合比例为：股票资产（含存托凭证）占基金资产的60%-95%，投资于逆向投资主题股票的资产占非现金基金资产的比例不低于80%；本基金持有全部权证的市值不得超过基金资产净值的3%。每个交易日日终在扣除股指期货合约、国债期货合约需缴纳的交易保证金以后，现金或者到期日在一年以内的政府债券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本基金管理人将以下六类股票定义为本基金所关注的逆向投资主题的股票（未被主流市场认同的股票），具体包括：公司质地本身优秀但市场关注度较低的股票，治理结构有望改善但市场预期有限的股票，涉及重大突发事件且为市场过度反应的股票，行业景气度广阔而市场认知分歧较大的股票，景气存在复苏可能但尚未被市场充分发掘的股票，可能或正处于并购重组或转型期但市场存在分歧的股票。 </w:t>
      </w:r>
    </w:p>
    <w:p>
      <w:pPr>
        <w:pStyle w:val="7"/>
        <w:spacing w:before="0" w:beforeAutospacing="0" w:after="0" w:afterAutospacing="0" w:line="360" w:lineRule="auto"/>
        <w:ind w:firstLine="420"/>
        <w:rPr>
          <w:sz w:val="21"/>
          <w:szCs w:val="21"/>
        </w:rPr>
      </w:pPr>
      <w:r>
        <w:rPr>
          <w:rFonts w:hint="eastAsia"/>
          <w:sz w:val="21"/>
          <w:szCs w:val="21"/>
        </w:rPr>
        <w:t xml:space="preserve">（二）投资限制 </w:t>
      </w:r>
    </w:p>
    <w:p>
      <w:pPr>
        <w:pStyle w:val="7"/>
        <w:spacing w:before="0" w:beforeAutospacing="0" w:after="0" w:afterAutospacing="0" w:line="360" w:lineRule="auto"/>
        <w:ind w:firstLine="420"/>
        <w:rPr>
          <w:sz w:val="21"/>
          <w:szCs w:val="21"/>
        </w:rPr>
      </w:pPr>
      <w:r>
        <w:rPr>
          <w:rFonts w:hint="eastAsia"/>
          <w:sz w:val="21"/>
          <w:szCs w:val="21"/>
        </w:rPr>
        <w:t xml:space="preserve">1、组合限制 </w:t>
      </w:r>
    </w:p>
    <w:p>
      <w:pPr>
        <w:pStyle w:val="7"/>
        <w:spacing w:before="0" w:beforeAutospacing="0" w:after="0" w:afterAutospacing="0" w:line="360" w:lineRule="auto"/>
        <w:ind w:firstLine="420"/>
        <w:rPr>
          <w:sz w:val="21"/>
          <w:szCs w:val="21"/>
        </w:rPr>
      </w:pPr>
      <w:r>
        <w:rPr>
          <w:rFonts w:hint="eastAsia"/>
          <w:sz w:val="21"/>
          <w:szCs w:val="21"/>
        </w:rPr>
        <w:t xml:space="preserve">基金的投资组合应遵循以下限制： </w:t>
      </w:r>
    </w:p>
    <w:p>
      <w:pPr>
        <w:pStyle w:val="7"/>
        <w:spacing w:before="0" w:beforeAutospacing="0" w:after="0" w:afterAutospacing="0" w:line="360" w:lineRule="auto"/>
        <w:ind w:firstLine="420"/>
        <w:rPr>
          <w:sz w:val="21"/>
          <w:szCs w:val="21"/>
        </w:rPr>
      </w:pPr>
      <w:r>
        <w:rPr>
          <w:rFonts w:hint="eastAsia"/>
          <w:sz w:val="21"/>
          <w:szCs w:val="21"/>
        </w:rPr>
        <w:t xml:space="preserve">（1）本基金股票（含存托凭证）投资比例为基金资产的60%-95%；投资于逆向投资主题股票的资产占非现金基金资产的比例不低于80%； </w:t>
      </w:r>
    </w:p>
    <w:p>
      <w:pPr>
        <w:pStyle w:val="7"/>
        <w:spacing w:before="0" w:beforeAutospacing="0" w:after="0" w:afterAutospacing="0" w:line="360" w:lineRule="auto"/>
        <w:ind w:firstLine="420"/>
        <w:rPr>
          <w:sz w:val="21"/>
          <w:szCs w:val="21"/>
        </w:rPr>
      </w:pPr>
      <w:r>
        <w:rPr>
          <w:rFonts w:hint="eastAsia"/>
          <w:sz w:val="21"/>
          <w:szCs w:val="21"/>
        </w:rPr>
        <w:t xml:space="preserve">（2）每个交易日日终在扣除股指期货合约、国债期货合约需缴纳的交易保证金后，保持不低于基金资产净值5％的现金或者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（3）本基金持有一家公司发行的证券（含存托凭证），其市值不超过基金资产净值的10％；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（4）本基金管理人管理的全部基金持有一家公司发行的证券（含存托凭证），不超过该证券的10％； </w:t>
      </w:r>
    </w:p>
    <w:p>
      <w:pPr>
        <w:pStyle w:val="7"/>
        <w:spacing w:before="0" w:beforeAutospacing="0" w:after="0" w:afterAutospacing="0" w:line="360" w:lineRule="auto"/>
        <w:ind w:firstLine="420"/>
        <w:rPr>
          <w:sz w:val="21"/>
          <w:szCs w:val="21"/>
        </w:rPr>
      </w:pPr>
      <w:r>
        <w:rPr>
          <w:rFonts w:hint="eastAsia"/>
          <w:sz w:val="21"/>
          <w:szCs w:val="21"/>
        </w:rPr>
        <w:t xml:space="preserve">（5）基金资产总值不得超过基金资产净值的140%； </w:t>
      </w:r>
    </w:p>
    <w:p>
      <w:pPr>
        <w:pStyle w:val="7"/>
        <w:spacing w:before="0" w:beforeAutospacing="0" w:after="0" w:afterAutospacing="0" w:line="360" w:lineRule="auto"/>
        <w:ind w:firstLine="420"/>
        <w:rPr>
          <w:sz w:val="21"/>
          <w:szCs w:val="21"/>
        </w:rPr>
      </w:pPr>
      <w:r>
        <w:rPr>
          <w:rFonts w:hint="eastAsia"/>
          <w:sz w:val="21"/>
          <w:szCs w:val="21"/>
        </w:rPr>
        <w:t xml:space="preserve">（6）本基金持有的全部权证，其市值不得超过基金资产净值的3％；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（7）本基金管理人管理的全部基金持有的同一权证，不得超过该权证的10％；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（8）本基金在任何交易日买入权证的总金额，不得超过上一交易日基金资产净值的0.5％；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（9）本基金投资于同一原始权益人的各类资产支持证券的比例，不得超过基金资产净值的10％；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（10）本基金持有的全部资产支持证券，其市值不得超过基金资产净值的20％；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（11）本基金持有的同一（指同一信用级别）资产支持证券的比例，不得超过该资产支持证券规模的10％；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（12）本基金管理人管理的全部基金投资于同一原始权益人的各类资产支持证券，不得超过其各类资产支持证券合计规模的10％；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（14）基金财产参与股票发行申购，本基金所申报的金额不超过本基金的总资产，本基金所申报的股票数量不超过拟发行股票公司本次发行股票的总量；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（15）本基金参与股指期货、国债期货交易后，需遵守下列规定： </w:t>
      </w:r>
    </w:p>
    <w:p>
      <w:pPr>
        <w:pStyle w:val="7"/>
        <w:spacing w:before="0" w:beforeAutospacing="0" w:after="0" w:afterAutospacing="0" w:line="360" w:lineRule="auto"/>
        <w:ind w:firstLine="420"/>
        <w:rPr>
          <w:sz w:val="21"/>
          <w:szCs w:val="21"/>
        </w:rPr>
      </w:pPr>
      <w:r>
        <w:rPr>
          <w:rFonts w:hint="eastAsia"/>
          <w:sz w:val="21"/>
          <w:szCs w:val="21"/>
        </w:rPr>
        <w:t xml:space="preserve">本基金在任何交易日日终，持有的买入股指期货合约价值，不得超过基金资产净值的10%；本基金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本基金在任何交易日日终，持有的卖出股指期货合约价值不得超过基金持有的股票总市值的20%；本基金在任何交易日内交易（不包括平仓）的股指期货合约的成交金额不得超过上一交易日基金资产净值的20%；本基金所持有的股票市值和买入、卖出股指期货合约价值，合计（轧差计算）应当符合基金合同关于股票投资比例的有关规定； </w:t>
      </w:r>
    </w:p>
    <w:p>
      <w:pPr>
        <w:pStyle w:val="7"/>
        <w:spacing w:before="0" w:beforeAutospacing="0" w:after="0" w:afterAutospacing="0" w:line="360" w:lineRule="auto"/>
        <w:ind w:firstLine="420"/>
        <w:rPr>
          <w:sz w:val="21"/>
          <w:szCs w:val="21"/>
        </w:rPr>
      </w:pPr>
      <w:r>
        <w:rPr>
          <w:rFonts w:hint="eastAsia"/>
          <w:sz w:val="21"/>
          <w:szCs w:val="21"/>
        </w:rPr>
        <w:t xml:space="preserve">本基金在任何交易日日终，持有的买入国债期货合约价值，不得超过基金资产净值的15%；在任何交易日日终，持有的卖出国债期货合约价值不得超过基金持有的债券总市值的30%；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 </w:t>
      </w:r>
    </w:p>
    <w:p>
      <w:pPr>
        <w:pStyle w:val="7"/>
        <w:spacing w:before="0" w:beforeAutospacing="0" w:after="0" w:afterAutospacing="0" w:line="360" w:lineRule="auto"/>
        <w:ind w:firstLine="420"/>
        <w:rPr>
          <w:sz w:val="21"/>
          <w:szCs w:val="21"/>
        </w:rPr>
      </w:pPr>
      <w:r>
        <w:rPr>
          <w:rFonts w:hint="eastAsia"/>
          <w:sz w:val="21"/>
          <w:szCs w:val="21"/>
        </w:rPr>
        <w:t xml:space="preserve">（16）本基金进入全国银行间同业市场进行债券回购的资金余额不得超过基金资产净值的40%；债券回购最长期限为1年，债券回购到期后不得展期； </w:t>
      </w:r>
    </w:p>
    <w:p>
      <w:pPr>
        <w:pStyle w:val="7"/>
        <w:spacing w:before="0" w:beforeAutospacing="0" w:after="0" w:afterAutospacing="0" w:line="360" w:lineRule="auto"/>
        <w:ind w:firstLine="420"/>
        <w:rPr>
          <w:sz w:val="21"/>
          <w:szCs w:val="21"/>
        </w:rPr>
      </w:pPr>
      <w:r>
        <w:rPr>
          <w:rFonts w:hint="eastAsia"/>
          <w:sz w:val="21"/>
          <w:szCs w:val="21"/>
        </w:rPr>
        <w:t xml:space="preserve">（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pPr>
        <w:pStyle w:val="7"/>
        <w:spacing w:before="0" w:beforeAutospacing="0" w:after="0" w:afterAutospacing="0" w:line="360" w:lineRule="auto"/>
        <w:ind w:firstLine="420"/>
        <w:rPr>
          <w:sz w:val="21"/>
          <w:szCs w:val="21"/>
        </w:rPr>
      </w:pPr>
      <w:r>
        <w:rPr>
          <w:rFonts w:hint="eastAsia"/>
          <w:sz w:val="21"/>
          <w:szCs w:val="21"/>
        </w:rPr>
        <w:t xml:space="preserve">（18）本基金主动投资于流动性受限资产的市值合计不得超过本基金资产净值的15%；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（19）本基金与私募类证券资管产品及中国证监会认定的其他主体为交易对手开展逆回购交易的，可接受质押品的资质要求应当与基金合同约定的投资范围保持一致；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（20）法律法规及中国证监会规定的和《基金合同》约定的其他投资比例限制。 </w:t>
      </w:r>
    </w:p>
    <w:p>
      <w:pPr>
        <w:pStyle w:val="7"/>
        <w:spacing w:before="0" w:beforeAutospacing="0" w:after="0" w:afterAutospacing="0" w:line="360" w:lineRule="auto"/>
        <w:ind w:firstLine="420"/>
        <w:rPr>
          <w:sz w:val="21"/>
          <w:szCs w:val="21"/>
        </w:rPr>
      </w:pPr>
      <w:r>
        <w:rPr>
          <w:rFonts w:hint="eastAsia"/>
          <w:sz w:val="21"/>
          <w:szCs w:val="21"/>
        </w:rPr>
        <w:t xml:space="preserve">除上述第（2）、（13）、（18）、（19）条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法律法规或监管部门取消或调整上述限制，如适用于本基金，基金管理人在履行适当程序后，则本基金投资不再受相关限制或按调整后的规定执行。 </w:t>
      </w:r>
    </w:p>
    <w:p>
      <w:pPr>
        <w:pStyle w:val="7"/>
        <w:spacing w:before="0" w:beforeAutospacing="0" w:after="0" w:afterAutospacing="0" w:line="360" w:lineRule="auto"/>
        <w:ind w:firstLine="420"/>
        <w:rPr>
          <w:sz w:val="21"/>
          <w:szCs w:val="21"/>
        </w:rPr>
      </w:pPr>
      <w:r>
        <w:rPr>
          <w:rFonts w:hint="eastAsia"/>
          <w:sz w:val="21"/>
          <w:szCs w:val="21"/>
        </w:rPr>
        <w:t xml:space="preserve">2、禁止行为 </w:t>
      </w:r>
    </w:p>
    <w:p>
      <w:pPr>
        <w:pStyle w:val="7"/>
        <w:spacing w:before="0" w:beforeAutospacing="0" w:after="0" w:afterAutospacing="0" w:line="360" w:lineRule="auto"/>
        <w:ind w:firstLine="420"/>
        <w:rPr>
          <w:sz w:val="21"/>
          <w:szCs w:val="21"/>
        </w:rPr>
      </w:pPr>
      <w:r>
        <w:rPr>
          <w:rFonts w:hint="eastAsia"/>
          <w:sz w:val="21"/>
          <w:szCs w:val="21"/>
        </w:rPr>
        <w:t xml:space="preserve">为维护基金份额持有人的合法权益，基金财产不得用于下列投资或者活动： </w:t>
      </w:r>
    </w:p>
    <w:p>
      <w:pPr>
        <w:pStyle w:val="7"/>
        <w:spacing w:before="0" w:beforeAutospacing="0" w:after="0" w:afterAutospacing="0" w:line="360" w:lineRule="auto"/>
        <w:ind w:firstLine="420"/>
        <w:rPr>
          <w:sz w:val="21"/>
          <w:szCs w:val="21"/>
        </w:rPr>
      </w:pPr>
      <w:r>
        <w:rPr>
          <w:rFonts w:hint="eastAsia"/>
          <w:sz w:val="21"/>
          <w:szCs w:val="21"/>
        </w:rPr>
        <w:t xml:space="preserve">（1）承销证券； </w:t>
      </w:r>
    </w:p>
    <w:p>
      <w:pPr>
        <w:pStyle w:val="7"/>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pPr>
        <w:pStyle w:val="7"/>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（4）买卖其他基金份额，但是中国证监会另有规定的除外；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pPr>
        <w:pStyle w:val="7"/>
        <w:spacing w:before="0" w:beforeAutospacing="0" w:after="0" w:afterAutospacing="0" w:line="360" w:lineRule="auto"/>
        <w:ind w:firstLine="420"/>
        <w:rPr>
          <w:sz w:val="21"/>
          <w:szCs w:val="21"/>
        </w:rPr>
      </w:pPr>
      <w:r>
        <w:rPr>
          <w:rFonts w:hint="eastAsia"/>
          <w:sz w:val="21"/>
          <w:szCs w:val="21"/>
        </w:rPr>
        <w:t xml:space="preserve">（6）从事内幕交易、操纵证券交易价格及其他不正当的证券交易活动； </w:t>
      </w:r>
    </w:p>
    <w:p>
      <w:pPr>
        <w:pStyle w:val="7"/>
        <w:spacing w:before="0" w:beforeAutospacing="0" w:after="0" w:afterAutospacing="0" w:line="360" w:lineRule="auto"/>
        <w:ind w:firstLine="420"/>
        <w:rPr>
          <w:sz w:val="21"/>
          <w:szCs w:val="21"/>
        </w:rPr>
      </w:pPr>
      <w:r>
        <w:rPr>
          <w:rFonts w:hint="eastAsia"/>
          <w:sz w:val="21"/>
          <w:szCs w:val="21"/>
        </w:rPr>
        <w:t xml:space="preserve">（7）法律、行政法规和中国证监会规定禁止的其他活动。 </w:t>
      </w:r>
    </w:p>
    <w:p>
      <w:pPr>
        <w:pStyle w:val="7"/>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pPr>
        <w:pStyle w:val="7"/>
        <w:spacing w:before="0" w:beforeAutospacing="0" w:after="0" w:afterAutospacing="0" w:line="360" w:lineRule="auto"/>
        <w:ind w:firstLine="420"/>
        <w:rPr>
          <w:sz w:val="21"/>
          <w:szCs w:val="21"/>
        </w:rPr>
      </w:pPr>
      <w:r>
        <w:rPr>
          <w:rFonts w:hint="eastAsia"/>
          <w:sz w:val="21"/>
          <w:szCs w:val="21"/>
        </w:rPr>
        <w:t xml:space="preserve">法律、行政法规或监管部门取消上述禁止性规定，如适用于本基金，基金管理人在履行适当程序后，则本基金投资不再受相关限制。 </w:t>
      </w:r>
    </w:p>
    <w:p>
      <w:pPr>
        <w:pStyle w:val="7"/>
        <w:spacing w:before="0" w:beforeAutospacing="0" w:after="0" w:afterAutospacing="0" w:line="360" w:lineRule="auto"/>
        <w:ind w:firstLine="420"/>
        <w:rPr>
          <w:sz w:val="21"/>
          <w:szCs w:val="21"/>
        </w:rPr>
      </w:pPr>
      <w:r>
        <w:rPr>
          <w:rStyle w:val="11"/>
          <w:rFonts w:hint="eastAsia"/>
          <w:sz w:val="21"/>
          <w:szCs w:val="21"/>
        </w:rPr>
        <w:t>六、基金合同的变更、终止与基金财产的清算 </w:t>
      </w:r>
    </w:p>
    <w:p>
      <w:pPr>
        <w:pStyle w:val="7"/>
        <w:spacing w:before="0" w:beforeAutospacing="0" w:after="0" w:afterAutospacing="0" w:line="360" w:lineRule="auto"/>
        <w:ind w:firstLine="420"/>
        <w:rPr>
          <w:sz w:val="21"/>
          <w:szCs w:val="21"/>
        </w:rPr>
      </w:pPr>
      <w:r>
        <w:rPr>
          <w:rFonts w:hint="eastAsia"/>
          <w:sz w:val="21"/>
          <w:szCs w:val="21"/>
        </w:rPr>
        <w:t xml:space="preserve">（一）《基金合同》的变更 </w:t>
      </w:r>
    </w:p>
    <w:p>
      <w:pPr>
        <w:pStyle w:val="7"/>
        <w:spacing w:before="0" w:beforeAutospacing="0" w:after="0" w:afterAutospacing="0" w:line="360" w:lineRule="auto"/>
        <w:ind w:firstLine="420"/>
        <w:rPr>
          <w:sz w:val="21"/>
          <w:szCs w:val="21"/>
        </w:rPr>
      </w:pPr>
      <w:r>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2、关于《基金合同》变更的基金份额持有人大会决议自生效后方可执行，并自决议生效后按规定在指定媒介公告。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（二）《基金合同》的终止事由 </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7"/>
        <w:spacing w:before="0" w:beforeAutospacing="0" w:after="0" w:afterAutospacing="0" w:line="360" w:lineRule="auto"/>
        <w:ind w:firstLine="420"/>
        <w:rPr>
          <w:sz w:val="21"/>
          <w:szCs w:val="21"/>
        </w:rPr>
      </w:pPr>
      <w:r>
        <w:rPr>
          <w:rFonts w:hint="eastAsia"/>
          <w:sz w:val="21"/>
          <w:szCs w:val="21"/>
        </w:rPr>
        <w:t xml:space="preserve">（三）基金财产的清算 </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4、基金财产清算程序：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5、基金财产清算的期限为6个月。 </w:t>
      </w:r>
    </w:p>
    <w:p>
      <w:pPr>
        <w:pStyle w:val="7"/>
        <w:spacing w:before="0" w:beforeAutospacing="0" w:after="0" w:afterAutospacing="0" w:line="360" w:lineRule="auto"/>
        <w:ind w:firstLine="420"/>
        <w:rPr>
          <w:sz w:val="21"/>
          <w:szCs w:val="21"/>
        </w:rPr>
      </w:pPr>
      <w:r>
        <w:rPr>
          <w:rFonts w:hint="eastAsia"/>
          <w:sz w:val="21"/>
          <w:szCs w:val="21"/>
        </w:rPr>
        <w:t xml:space="preserve">（四）清算费用 </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清算费用是指基金财产清算小组在进行基金清算过程中发生的所有合理费用，清算费用由基金财产清算小组优先从基金财产中支付。 </w:t>
      </w:r>
    </w:p>
    <w:p>
      <w:pPr>
        <w:pStyle w:val="7"/>
        <w:spacing w:before="0" w:beforeAutospacing="0" w:after="0" w:afterAutospacing="0" w:line="360" w:lineRule="auto"/>
        <w:ind w:firstLine="420"/>
        <w:rPr>
          <w:sz w:val="21"/>
          <w:szCs w:val="21"/>
        </w:rPr>
      </w:pPr>
      <w:r>
        <w:rPr>
          <w:rFonts w:hint="eastAsia"/>
          <w:sz w:val="21"/>
          <w:szCs w:val="21"/>
        </w:rPr>
        <w:t xml:space="preserve">（五）基金财产清算剩余资产的分配 </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7"/>
        <w:spacing w:before="0" w:beforeAutospacing="0" w:after="0" w:afterAutospacing="0" w:line="360" w:lineRule="auto"/>
        <w:ind w:firstLine="420"/>
        <w:rPr>
          <w:sz w:val="21"/>
          <w:szCs w:val="21"/>
        </w:rPr>
      </w:pPr>
      <w:r>
        <w:rPr>
          <w:rFonts w:hint="eastAsia"/>
          <w:sz w:val="21"/>
          <w:szCs w:val="21"/>
        </w:rPr>
        <w:t xml:space="preserve">（六）基金财产清算的公告 </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（七）基金财产清算账册及文件的保存 </w:t>
      </w:r>
    </w:p>
    <w:p>
      <w:pPr>
        <w:pStyle w:val="7"/>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pPr>
        <w:pStyle w:val="7"/>
        <w:spacing w:before="0" w:beforeAutospacing="0" w:after="0" w:afterAutospacing="0" w:line="360" w:lineRule="auto"/>
        <w:ind w:firstLine="420"/>
        <w:rPr>
          <w:sz w:val="21"/>
          <w:szCs w:val="21"/>
        </w:rPr>
      </w:pPr>
      <w:r>
        <w:rPr>
          <w:rStyle w:val="11"/>
          <w:rFonts w:hint="eastAsia"/>
          <w:sz w:val="21"/>
          <w:szCs w:val="21"/>
        </w:rPr>
        <w:t>七、争议的处理和适用的法律 </w:t>
      </w:r>
    </w:p>
    <w:p>
      <w:pPr>
        <w:pStyle w:val="7"/>
        <w:spacing w:before="0" w:beforeAutospacing="0" w:after="0" w:afterAutospacing="0" w:line="360" w:lineRule="auto"/>
        <w:ind w:firstLine="420"/>
        <w:rPr>
          <w:sz w:val="21"/>
          <w:szCs w:val="21"/>
        </w:rPr>
      </w:pPr>
      <w:r>
        <w:rPr>
          <w:rFonts w:hint="eastAsia"/>
          <w:sz w:val="21"/>
          <w:szCs w:val="21"/>
        </w:rPr>
        <w:t xml:space="preserve">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除非仲裁裁决另有规定，仲裁费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争议处理期间，基金合同当事人应恪守各自的职责，继续忠实、勤勉、尽责地履行基金合同规定的义务，维护基金份额持有人的合法权益。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《基金合同》受中国法律（为本协议之目的，不包括香港特别行政区、澳门特别行政区和台湾地区法律）管辖并从其解释。 </w:t>
      </w:r>
    </w:p>
    <w:p>
      <w:pPr>
        <w:pStyle w:val="7"/>
        <w:spacing w:before="0" w:beforeAutospacing="0" w:after="0" w:afterAutospacing="0" w:line="360" w:lineRule="auto"/>
        <w:ind w:firstLine="420"/>
        <w:rPr>
          <w:sz w:val="21"/>
          <w:szCs w:val="21"/>
        </w:rPr>
      </w:pPr>
      <w:r>
        <w:rPr>
          <w:rStyle w:val="11"/>
          <w:rFonts w:hint="eastAsia"/>
          <w:sz w:val="21"/>
          <w:szCs w:val="21"/>
        </w:rPr>
        <w:t>八、基金合同的存放地和投资者取得基金合同的方式 </w:t>
      </w:r>
    </w:p>
    <w:p>
      <w:pPr>
        <w:pStyle w:val="7"/>
        <w:spacing w:before="0" w:beforeAutospacing="0" w:after="0" w:afterAutospacing="0" w:line="360" w:lineRule="auto"/>
        <w:ind w:firstLine="420"/>
        <w:rPr>
          <w:sz w:val="21"/>
          <w:szCs w:val="21"/>
        </w:rPr>
      </w:pPr>
      <w:r>
        <w:rPr>
          <w:rFonts w:hint="eastAsia"/>
          <w:sz w:val="21"/>
          <w:szCs w:val="21"/>
        </w:rPr>
        <w:t>《基金合同》可印制成册，供投资者在基金管理人、基金托管人、销售机构的办公场所</w:t>
      </w:r>
      <w:bookmarkStart w:id="198" w:name="chapter_level1_21_71_section_1_end"/>
      <w:bookmarkEnd w:id="198"/>
      <w:r>
        <w:rPr>
          <w:rFonts w:hint="eastAsia"/>
          <w:sz w:val="21"/>
          <w:szCs w:val="21"/>
        </w:rPr>
        <w:t xml:space="preserve">和营业场所查阅。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9" w:name="chapter_level1_22_72"/>
      <w:bookmarkStart w:id="200" w:name="_Toc113628550"/>
      <w:r>
        <w:rPr>
          <w:rFonts w:hint="eastAsia" w:ascii="宋体" w:hAnsi="宋体" w:eastAsia="宋体"/>
          <w:sz w:val="30"/>
        </w:rPr>
        <w:t>第十九部分  基金托管协议的内容摘要</w:t>
      </w:r>
      <w:bookmarkEnd w:id="199"/>
      <w:bookmarkEnd w:id="200"/>
    </w:p>
    <w:p>
      <w:pPr>
        <w:pStyle w:val="7"/>
        <w:spacing w:before="0" w:beforeAutospacing="0" w:after="0" w:afterAutospacing="0" w:line="360" w:lineRule="auto"/>
        <w:ind w:firstLine="420"/>
        <w:rPr>
          <w:sz w:val="21"/>
          <w:szCs w:val="21"/>
        </w:rPr>
      </w:pPr>
      <w:bookmarkStart w:id="201" w:name="chapter_level1_22_72_section_1"/>
      <w:bookmarkEnd w:id="201"/>
      <w:r>
        <w:rPr>
          <w:rStyle w:val="11"/>
          <w:rFonts w:hint="eastAsia"/>
          <w:sz w:val="21"/>
          <w:szCs w:val="21"/>
        </w:rPr>
        <w:t>一、托管协议当事人</w:t>
      </w:r>
    </w:p>
    <w:p>
      <w:pPr>
        <w:pStyle w:val="7"/>
        <w:spacing w:before="0" w:beforeAutospacing="0" w:after="0" w:afterAutospacing="0" w:line="360" w:lineRule="auto"/>
        <w:ind w:firstLine="420"/>
        <w:rPr>
          <w:sz w:val="21"/>
          <w:szCs w:val="21"/>
        </w:rPr>
      </w:pPr>
      <w:r>
        <w:rPr>
          <w:rFonts w:hint="eastAsia"/>
          <w:sz w:val="21"/>
          <w:szCs w:val="21"/>
        </w:rPr>
        <w:t xml:space="preserve">（一）基金管理人（或简称“管理人”） </w:t>
      </w:r>
    </w:p>
    <w:p>
      <w:pPr>
        <w:pStyle w:val="7"/>
        <w:spacing w:before="0" w:beforeAutospacing="0" w:after="0" w:afterAutospacing="0" w:line="360" w:lineRule="auto"/>
        <w:ind w:firstLine="420"/>
        <w:rPr>
          <w:sz w:val="21"/>
          <w:szCs w:val="21"/>
        </w:rPr>
      </w:pPr>
      <w:r>
        <w:rPr>
          <w:rFonts w:hint="eastAsia"/>
          <w:sz w:val="21"/>
          <w:szCs w:val="21"/>
        </w:rPr>
        <w:t>名称：</w:t>
      </w:r>
      <w:bookmarkStart w:id="202" w:name="field_0_managerorgfullname_8"/>
      <w:r>
        <w:rPr>
          <w:rFonts w:hint="eastAsia"/>
          <w:sz w:val="21"/>
          <w:szCs w:val="21"/>
        </w:rPr>
        <w:t>博时基金管理有限公司</w:t>
      </w:r>
      <w:bookmarkEnd w:id="202"/>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法定代表人: 江向阳 </w:t>
      </w:r>
    </w:p>
    <w:p>
      <w:pPr>
        <w:pStyle w:val="7"/>
        <w:spacing w:before="0" w:beforeAutospacing="0" w:after="0" w:afterAutospacing="0" w:line="360" w:lineRule="auto"/>
        <w:ind w:firstLine="420"/>
        <w:rPr>
          <w:sz w:val="21"/>
          <w:szCs w:val="21"/>
        </w:rPr>
      </w:pPr>
      <w:r>
        <w:rPr>
          <w:rFonts w:hint="eastAsia"/>
          <w:sz w:val="21"/>
          <w:szCs w:val="21"/>
        </w:rPr>
        <w:t xml:space="preserve">成立时间：1998年7月13日 </w:t>
      </w:r>
    </w:p>
    <w:p>
      <w:pPr>
        <w:pStyle w:val="7"/>
        <w:spacing w:before="0" w:beforeAutospacing="0" w:after="0" w:afterAutospacing="0" w:line="360" w:lineRule="auto"/>
        <w:ind w:firstLine="420"/>
        <w:rPr>
          <w:sz w:val="21"/>
          <w:szCs w:val="21"/>
        </w:rPr>
      </w:pPr>
      <w:r>
        <w:rPr>
          <w:rFonts w:hint="eastAsia"/>
          <w:sz w:val="21"/>
          <w:szCs w:val="21"/>
        </w:rPr>
        <w:t xml:space="preserve">批准设立机关：中国证监会 </w:t>
      </w:r>
    </w:p>
    <w:p>
      <w:pPr>
        <w:pStyle w:val="7"/>
        <w:spacing w:before="0" w:beforeAutospacing="0" w:after="0" w:afterAutospacing="0" w:line="360" w:lineRule="auto"/>
        <w:ind w:firstLine="420"/>
        <w:rPr>
          <w:sz w:val="21"/>
          <w:szCs w:val="21"/>
        </w:rPr>
      </w:pPr>
      <w:r>
        <w:rPr>
          <w:rFonts w:hint="eastAsia"/>
          <w:sz w:val="21"/>
          <w:szCs w:val="21"/>
        </w:rPr>
        <w:t xml:space="preserve">批准设立文号：证监基字【1998】26号 </w:t>
      </w:r>
    </w:p>
    <w:p>
      <w:pPr>
        <w:pStyle w:val="7"/>
        <w:spacing w:before="0" w:beforeAutospacing="0" w:after="0" w:afterAutospacing="0" w:line="360" w:lineRule="auto"/>
        <w:ind w:firstLine="420"/>
        <w:rPr>
          <w:sz w:val="21"/>
          <w:szCs w:val="21"/>
        </w:rPr>
      </w:pPr>
      <w:r>
        <w:rPr>
          <w:rFonts w:hint="eastAsia"/>
          <w:sz w:val="21"/>
          <w:szCs w:val="21"/>
        </w:rPr>
        <w:t xml:space="preserve">组织形式：有限责任公司 </w:t>
      </w:r>
    </w:p>
    <w:p>
      <w:pPr>
        <w:pStyle w:val="7"/>
        <w:spacing w:before="0" w:beforeAutospacing="0" w:after="0" w:afterAutospacing="0" w:line="360" w:lineRule="auto"/>
        <w:ind w:firstLine="420"/>
        <w:rPr>
          <w:sz w:val="21"/>
          <w:szCs w:val="21"/>
        </w:rPr>
      </w:pPr>
      <w:r>
        <w:rPr>
          <w:rFonts w:hint="eastAsia"/>
          <w:sz w:val="21"/>
          <w:szCs w:val="21"/>
        </w:rPr>
        <w:t xml:space="preserve">注册资本：2.5亿元人民币 </w:t>
      </w:r>
    </w:p>
    <w:p>
      <w:pPr>
        <w:pStyle w:val="7"/>
        <w:spacing w:before="0" w:beforeAutospacing="0" w:after="0" w:afterAutospacing="0" w:line="360" w:lineRule="auto"/>
        <w:ind w:firstLine="420"/>
        <w:rPr>
          <w:sz w:val="21"/>
          <w:szCs w:val="21"/>
        </w:rPr>
      </w:pPr>
      <w:r>
        <w:rPr>
          <w:rFonts w:hint="eastAsia"/>
          <w:sz w:val="21"/>
          <w:szCs w:val="21"/>
        </w:rPr>
        <w:t xml:space="preserve">经营范围：发起设立基金、基金管理及中国证监会批准的其他业务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（二）基金托管人（或简称“托管人”） </w:t>
      </w:r>
    </w:p>
    <w:p>
      <w:pPr>
        <w:pStyle w:val="7"/>
        <w:spacing w:before="0" w:beforeAutospacing="0" w:after="0" w:afterAutospacing="0" w:line="360" w:lineRule="auto"/>
        <w:ind w:firstLine="420"/>
        <w:rPr>
          <w:sz w:val="21"/>
          <w:szCs w:val="21"/>
        </w:rPr>
      </w:pPr>
      <w:r>
        <w:rPr>
          <w:rFonts w:hint="eastAsia"/>
          <w:sz w:val="21"/>
          <w:szCs w:val="21"/>
        </w:rPr>
        <w:t>名称：</w:t>
      </w:r>
      <w:bookmarkStart w:id="203" w:name="field_0_trustorgfullname_3"/>
      <w:r>
        <w:rPr>
          <w:rFonts w:hint="eastAsia"/>
          <w:sz w:val="21"/>
          <w:szCs w:val="21"/>
        </w:rPr>
        <w:t>中国银行股份有限公司</w:t>
      </w:r>
      <w:bookmarkEnd w:id="203"/>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住所：北京市西城区复兴门内大街1号 </w:t>
      </w:r>
    </w:p>
    <w:p>
      <w:pPr>
        <w:pStyle w:val="7"/>
        <w:spacing w:before="0" w:beforeAutospacing="0" w:after="0" w:afterAutospacing="0" w:line="360" w:lineRule="auto"/>
        <w:ind w:firstLine="420"/>
        <w:rPr>
          <w:sz w:val="21"/>
          <w:szCs w:val="21"/>
        </w:rPr>
      </w:pPr>
      <w:r>
        <w:rPr>
          <w:rFonts w:hint="eastAsia"/>
          <w:sz w:val="21"/>
          <w:szCs w:val="21"/>
        </w:rPr>
        <w:t xml:space="preserve">法定代表人:葛海蛟 </w:t>
      </w:r>
    </w:p>
    <w:p>
      <w:pPr>
        <w:pStyle w:val="7"/>
        <w:spacing w:before="0" w:beforeAutospacing="0" w:after="0" w:afterAutospacing="0" w:line="360" w:lineRule="auto"/>
        <w:ind w:firstLine="420"/>
        <w:rPr>
          <w:sz w:val="21"/>
          <w:szCs w:val="21"/>
        </w:rPr>
      </w:pPr>
      <w:r>
        <w:rPr>
          <w:rFonts w:hint="eastAsia"/>
          <w:sz w:val="21"/>
          <w:szCs w:val="21"/>
        </w:rPr>
        <w:t xml:space="preserve">成立时间： 1983年10月31日 </w:t>
      </w:r>
    </w:p>
    <w:p>
      <w:pPr>
        <w:pStyle w:val="7"/>
        <w:spacing w:before="0" w:beforeAutospacing="0" w:after="0" w:afterAutospacing="0" w:line="360" w:lineRule="auto"/>
        <w:ind w:firstLine="420"/>
        <w:rPr>
          <w:sz w:val="21"/>
          <w:szCs w:val="21"/>
        </w:rPr>
      </w:pPr>
      <w:r>
        <w:rPr>
          <w:rFonts w:hint="eastAsia"/>
          <w:sz w:val="21"/>
          <w:szCs w:val="21"/>
        </w:rPr>
        <w:t xml:space="preserve">基金托管业务批准文号：中国证监会证监基字【1998】24号 </w:t>
      </w:r>
    </w:p>
    <w:p>
      <w:pPr>
        <w:pStyle w:val="7"/>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注册资本：人民币29438779.124100万元整 </w:t>
      </w:r>
    </w:p>
    <w:p>
      <w:pPr>
        <w:pStyle w:val="7"/>
        <w:spacing w:before="0" w:beforeAutospacing="0" w:after="0" w:afterAutospacing="0" w:line="360" w:lineRule="auto"/>
        <w:ind w:firstLine="420"/>
        <w:rPr>
          <w:sz w:val="21"/>
          <w:szCs w:val="21"/>
        </w:rPr>
      </w:pPr>
      <w:r>
        <w:rPr>
          <w:rFonts w:hint="eastAsia"/>
          <w:sz w:val="21"/>
          <w:szCs w:val="21"/>
        </w:rPr>
        <w:t xml:space="preserve">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 </w:t>
      </w:r>
    </w:p>
    <w:p>
      <w:pPr>
        <w:pStyle w:val="7"/>
        <w:spacing w:before="0" w:beforeAutospacing="0" w:after="0" w:afterAutospacing="0" w:line="360" w:lineRule="auto"/>
        <w:ind w:firstLine="420"/>
        <w:rPr>
          <w:sz w:val="21"/>
          <w:szCs w:val="21"/>
        </w:rPr>
      </w:pPr>
      <w:r>
        <w:rPr>
          <w:rFonts w:hint="eastAsia"/>
          <w:sz w:val="21"/>
          <w:szCs w:val="21"/>
        </w:rPr>
        <w:t xml:space="preserve">存续期间：    持续经营 </w:t>
      </w:r>
    </w:p>
    <w:p>
      <w:pPr>
        <w:pStyle w:val="7"/>
        <w:spacing w:before="0" w:beforeAutospacing="0" w:after="0" w:afterAutospacing="0" w:line="360" w:lineRule="auto"/>
        <w:ind w:firstLine="420"/>
        <w:rPr>
          <w:sz w:val="21"/>
          <w:szCs w:val="21"/>
        </w:rPr>
      </w:pPr>
      <w:r>
        <w:rPr>
          <w:rStyle w:val="11"/>
          <w:rFonts w:hint="eastAsia"/>
          <w:sz w:val="21"/>
          <w:szCs w:val="21"/>
        </w:rPr>
        <w:t>二、基金托管人对基金管理人的业务监督和核查</w:t>
      </w:r>
    </w:p>
    <w:p>
      <w:pPr>
        <w:pStyle w:val="7"/>
        <w:spacing w:before="0" w:beforeAutospacing="0" w:after="0" w:afterAutospacing="0" w:line="360" w:lineRule="auto"/>
        <w:ind w:firstLine="420"/>
        <w:rPr>
          <w:sz w:val="21"/>
          <w:szCs w:val="21"/>
        </w:rPr>
      </w:pPr>
      <w:r>
        <w:rPr>
          <w:rFonts w:hint="eastAsia"/>
          <w:sz w:val="21"/>
          <w:szCs w:val="21"/>
        </w:rPr>
        <w:t xml:space="preserve">基金托管人根据有关法律法规的规定对基金管理人的下列投资运作进行监督： </w:t>
      </w:r>
    </w:p>
    <w:p>
      <w:pPr>
        <w:pStyle w:val="7"/>
        <w:spacing w:before="0" w:beforeAutospacing="0" w:after="0" w:afterAutospacing="0" w:line="360" w:lineRule="auto"/>
        <w:ind w:firstLine="420"/>
        <w:rPr>
          <w:sz w:val="21"/>
          <w:szCs w:val="21"/>
        </w:rPr>
      </w:pPr>
      <w:r>
        <w:rPr>
          <w:rFonts w:hint="eastAsia"/>
          <w:sz w:val="21"/>
          <w:szCs w:val="21"/>
        </w:rPr>
        <w:t xml:space="preserve">1、对基金的投资范围、投资对象进行监督。基金管理人应将拟投资的股票库、债券库等各投资品种的具体范围及时提供给基金托管人。基金管理人可以根据实际情况的变化，对各投资品种的具体范围予以更新和调整，并及时通知基金托管人。基金托管人根据上述投资范围对基金的投资进行监督； </w:t>
      </w:r>
    </w:p>
    <w:p>
      <w:pPr>
        <w:pStyle w:val="7"/>
        <w:spacing w:before="0" w:beforeAutospacing="0" w:after="0" w:afterAutospacing="0" w:line="360" w:lineRule="auto"/>
        <w:ind w:firstLine="420"/>
        <w:rPr>
          <w:sz w:val="21"/>
          <w:szCs w:val="21"/>
        </w:rPr>
      </w:pPr>
      <w:r>
        <w:rPr>
          <w:rFonts w:hint="eastAsia"/>
          <w:sz w:val="21"/>
          <w:szCs w:val="21"/>
        </w:rPr>
        <w:t xml:space="preserve">本基金的投资对象是具有良好流动性的金融工具，包括国内依法发行上市的股票（包括中小板、创业板及其他经中国证监会核准上市的股票）、债券（包括国债、金融债、央行票据、地方政府债、企业债、公司债、可交换公司债券、可转换公司债券（含可分离交易可转债）、中小企业私募债券、中期票据、短期融资券、超级短期融资券、次级债）、资产支持证券、债券回购、银行存款、同业存单、货币市场工具、权证、股指期货、国债期货以及法律法规或中国证监会允许基金投资的其他金融工具（但须符合中国证监会的相关规定）。如法律法规或监管机构以后允许基金投资其他品种，基金管理人在履行适当程序后，可以将其纳入投资范围。 </w:t>
      </w:r>
    </w:p>
    <w:p>
      <w:pPr>
        <w:pStyle w:val="7"/>
        <w:spacing w:before="0" w:beforeAutospacing="0" w:after="0" w:afterAutospacing="0" w:line="360" w:lineRule="auto"/>
        <w:ind w:firstLine="420"/>
        <w:rPr>
          <w:sz w:val="21"/>
          <w:szCs w:val="21"/>
        </w:rPr>
      </w:pPr>
      <w:r>
        <w:rPr>
          <w:rFonts w:hint="eastAsia"/>
          <w:sz w:val="21"/>
          <w:szCs w:val="21"/>
        </w:rPr>
        <w:t xml:space="preserve">本基金管理人将以下六类股票定义为本基金所关注的逆向投资主题的股票（未被主流市场认同的股票），具体包括：公司质地本身优秀但市场关注度较低的股票，治理结构有望改善但市场预期有限的股票，涉及重大突发事件且为市场过度反应的股票，行业未来景气度广阔而市场认知分歧较大的股票，景气存在复苏可能但尚未被市场充分发掘的股票，可能或正处于并购重组或转型期但市场存在分歧的股票。 </w:t>
      </w:r>
    </w:p>
    <w:p>
      <w:pPr>
        <w:pStyle w:val="7"/>
        <w:spacing w:before="0" w:beforeAutospacing="0" w:after="0" w:afterAutospacing="0" w:line="360" w:lineRule="auto"/>
        <w:ind w:firstLine="420"/>
        <w:rPr>
          <w:sz w:val="21"/>
          <w:szCs w:val="21"/>
        </w:rPr>
      </w:pPr>
      <w:r>
        <w:rPr>
          <w:rFonts w:hint="eastAsia"/>
          <w:sz w:val="21"/>
          <w:szCs w:val="21"/>
        </w:rPr>
        <w:t xml:space="preserve">2、对基金投融资比例进行监督； </w:t>
      </w:r>
    </w:p>
    <w:p>
      <w:pPr>
        <w:pStyle w:val="7"/>
        <w:spacing w:before="0" w:beforeAutospacing="0" w:after="0" w:afterAutospacing="0" w:line="360" w:lineRule="auto"/>
        <w:ind w:firstLine="420"/>
        <w:rPr>
          <w:sz w:val="21"/>
          <w:szCs w:val="21"/>
        </w:rPr>
      </w:pPr>
      <w:r>
        <w:rPr>
          <w:rFonts w:hint="eastAsia"/>
          <w:sz w:val="21"/>
          <w:szCs w:val="21"/>
        </w:rPr>
        <w:t xml:space="preserve">基金的投资组合比例为：股票资产占基金资产的60%-95%，投资于逆向投资主题的股票的资产占非现金基金资产的比例不低于80%；本基金持有全部权证的市值不得超过基金资产净值的3%。每个交易日日终在扣除股指期货合约、国债期货合约需缴纳的交易保证金以后，现金或者到期日在一年以内的政府债券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（一）基金的投融资比例限制参考《基金合同》的约定。 </w:t>
      </w:r>
    </w:p>
    <w:p>
      <w:pPr>
        <w:pStyle w:val="7"/>
        <w:spacing w:before="0" w:beforeAutospacing="0" w:after="0" w:afterAutospacing="0" w:line="360" w:lineRule="auto"/>
        <w:ind w:firstLine="420"/>
        <w:rPr>
          <w:sz w:val="21"/>
          <w:szCs w:val="21"/>
        </w:rPr>
      </w:pPr>
      <w:r>
        <w:rPr>
          <w:rFonts w:hint="eastAsia"/>
          <w:sz w:val="21"/>
          <w:szCs w:val="21"/>
        </w:rPr>
        <w:t xml:space="preserve">（1）本基金股票投资比例为基金资产的60%-95%；投资于逆向投资主题的股票的资产占非现金基金资产的比例不低于80%； </w:t>
      </w:r>
    </w:p>
    <w:p>
      <w:pPr>
        <w:pStyle w:val="7"/>
        <w:spacing w:before="0" w:beforeAutospacing="0" w:after="0" w:afterAutospacing="0" w:line="360" w:lineRule="auto"/>
        <w:ind w:firstLine="420"/>
        <w:rPr>
          <w:sz w:val="21"/>
          <w:szCs w:val="21"/>
        </w:rPr>
      </w:pPr>
      <w:r>
        <w:rPr>
          <w:rFonts w:hint="eastAsia"/>
          <w:sz w:val="21"/>
          <w:szCs w:val="21"/>
        </w:rPr>
        <w:t xml:space="preserve">（2）每个交易日日终在扣除股指期货合约、国债期货合约需缴纳的交易保证金后，保持不低于基金资产净值5％的现金或者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（3）本基金持有一家公司发行的证券，其市值不超过基金资产净值的10％；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（4）基金资产总值不得超过基金资产净值的140%； </w:t>
      </w:r>
    </w:p>
    <w:p>
      <w:pPr>
        <w:pStyle w:val="7"/>
        <w:spacing w:before="0" w:beforeAutospacing="0" w:after="0" w:afterAutospacing="0" w:line="360" w:lineRule="auto"/>
        <w:ind w:firstLine="420"/>
        <w:rPr>
          <w:sz w:val="21"/>
          <w:szCs w:val="21"/>
        </w:rPr>
      </w:pPr>
      <w:r>
        <w:rPr>
          <w:rFonts w:hint="eastAsia"/>
          <w:sz w:val="21"/>
          <w:szCs w:val="21"/>
        </w:rPr>
        <w:t xml:space="preserve">（5）本基金持有的全部权证，其市值不得超过基金资产净值的3％；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（6）本基金在任何交易日买入权证的总金额，不得超过上一交易日基金资产净值的0.5％；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（7）本基金投资于同一原始权益人的各类资产支持证券的比例，不得超过基金资产净值的10％；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（8）本基金持有的全部资产支持证券，其市值不得超过基金资产净值的20％；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（9）本基金持有的同一（指同一信用级别）资产支持证券的比例，不得超过该资产支持证券规模的10％；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（10）本基金应投资于信用级别评级为BBB以上（含BBB）的资产支持证券。基金持有资产支持证券期间，如果其信用等级下降、不再符合投资标准，应在评级报告发布之日起3个月内予以全部卖出；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（11）基金财产参与股票发行申购，本基金所申报的金额不超过本基金的总资产，本基金所申报的股票数量不超过拟发行股票公司本次发行股票的总量；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（12）本基金参与股指期货、国债期货交易后，需遵守下列规定： </w:t>
      </w:r>
    </w:p>
    <w:p>
      <w:pPr>
        <w:pStyle w:val="7"/>
        <w:spacing w:before="0" w:beforeAutospacing="0" w:after="0" w:afterAutospacing="0" w:line="360" w:lineRule="auto"/>
        <w:ind w:firstLine="420"/>
        <w:rPr>
          <w:sz w:val="21"/>
          <w:szCs w:val="21"/>
        </w:rPr>
      </w:pPr>
      <w:r>
        <w:rPr>
          <w:rFonts w:hint="eastAsia"/>
          <w:sz w:val="21"/>
          <w:szCs w:val="21"/>
        </w:rPr>
        <w:t xml:space="preserve">本基金在任何交易日日终，持有的买入股指期货合约价值，不得超过基金资产净值的10%；本基金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本基金在任何交易日日终，持有的卖出股指期货合约价值不得超过基金持有的股票总市值的20%；本基金在任何交易日内交易（不包括平仓）的股指期货合约的成交金额不得超过上一交易日基金资产净值的20%； </w:t>
      </w:r>
    </w:p>
    <w:p>
      <w:pPr>
        <w:pStyle w:val="7"/>
        <w:spacing w:before="0" w:beforeAutospacing="0" w:after="0" w:afterAutospacing="0" w:line="360" w:lineRule="auto"/>
        <w:ind w:firstLine="420"/>
        <w:rPr>
          <w:sz w:val="21"/>
          <w:szCs w:val="21"/>
        </w:rPr>
      </w:pPr>
      <w:r>
        <w:rPr>
          <w:rFonts w:hint="eastAsia"/>
          <w:sz w:val="21"/>
          <w:szCs w:val="21"/>
        </w:rPr>
        <w:t xml:space="preserve">本基金所持有的股票市值和买入、卖出股指期货合约价值，合计（轧差计算）为基金资产的60%-95%； </w:t>
      </w:r>
    </w:p>
    <w:p>
      <w:pPr>
        <w:pStyle w:val="7"/>
        <w:spacing w:before="0" w:beforeAutospacing="0" w:after="0" w:afterAutospacing="0" w:line="360" w:lineRule="auto"/>
        <w:ind w:firstLine="420"/>
        <w:rPr>
          <w:sz w:val="21"/>
          <w:szCs w:val="21"/>
        </w:rPr>
      </w:pPr>
      <w:r>
        <w:rPr>
          <w:rFonts w:hint="eastAsia"/>
          <w:sz w:val="21"/>
          <w:szCs w:val="21"/>
        </w:rPr>
        <w:t xml:space="preserve">本基金在任何交易日日终，持有的买入国债期货合约价值，不得超过基金资产净值的15%；在任何交易日日终，持有的卖出国债期货合约价值不得超过基金持有的债券总市值的30%；在任何交易日内交易（不包括平仓）的国债期货合约的成交金额不得超过上一交易日基金资产净值的30%； </w:t>
      </w:r>
    </w:p>
    <w:p>
      <w:pPr>
        <w:pStyle w:val="7"/>
        <w:spacing w:before="0" w:beforeAutospacing="0" w:after="0" w:afterAutospacing="0" w:line="360" w:lineRule="auto"/>
        <w:ind w:firstLine="420"/>
        <w:rPr>
          <w:sz w:val="21"/>
          <w:szCs w:val="21"/>
        </w:rPr>
      </w:pPr>
      <w:r>
        <w:rPr>
          <w:rFonts w:hint="eastAsia"/>
          <w:sz w:val="21"/>
          <w:szCs w:val="21"/>
        </w:rPr>
        <w:t xml:space="preserve">（13）本基金进入全国银行间同业市场进行债券回购的资金余额不得超过基金资产净值的40%；债券回购最长期限为1年，债券回购到期后不得展期； </w:t>
      </w:r>
    </w:p>
    <w:p>
      <w:pPr>
        <w:pStyle w:val="7"/>
        <w:spacing w:before="0" w:beforeAutospacing="0" w:after="0" w:afterAutospacing="0" w:line="360" w:lineRule="auto"/>
        <w:ind w:firstLine="420"/>
        <w:rPr>
          <w:sz w:val="21"/>
          <w:szCs w:val="21"/>
        </w:rPr>
      </w:pPr>
      <w:r>
        <w:rPr>
          <w:rFonts w:hint="eastAsia"/>
          <w:sz w:val="21"/>
          <w:szCs w:val="21"/>
        </w:rPr>
        <w:t xml:space="preserve">（14）本基金管理人管理的且由本托管人托管的全部开放式基金持有一家上市公司发行的可流通股票，不得超过该上市公司可流通股票的15%；本基金管理人管理的且由本托管人托管的全部投资组合持有一家上市公司发行的可流通股票，不得超过该上市公司可流通股票的30%； </w:t>
      </w:r>
    </w:p>
    <w:p>
      <w:pPr>
        <w:pStyle w:val="7"/>
        <w:spacing w:before="0" w:beforeAutospacing="0" w:after="0" w:afterAutospacing="0" w:line="360" w:lineRule="auto"/>
        <w:ind w:firstLine="420"/>
        <w:rPr>
          <w:sz w:val="21"/>
          <w:szCs w:val="21"/>
        </w:rPr>
      </w:pPr>
      <w:r>
        <w:rPr>
          <w:rFonts w:hint="eastAsia"/>
          <w:sz w:val="21"/>
          <w:szCs w:val="21"/>
        </w:rPr>
        <w:t xml:space="preserve">（15）本基金主动投资于流动性受限资产的市值合计不得超过本基金资产净值的15%；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16）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本基金合同约定的投资范围保持一致，并承担由于不一致所导致的风险或损失； </w:t>
      </w:r>
    </w:p>
    <w:p>
      <w:pPr>
        <w:pStyle w:val="7"/>
        <w:spacing w:before="0" w:beforeAutospacing="0" w:after="0" w:afterAutospacing="0" w:line="360" w:lineRule="auto"/>
        <w:ind w:firstLine="420"/>
        <w:rPr>
          <w:sz w:val="21"/>
          <w:szCs w:val="21"/>
        </w:rPr>
      </w:pPr>
      <w:r>
        <w:rPr>
          <w:rFonts w:hint="eastAsia"/>
          <w:sz w:val="21"/>
          <w:szCs w:val="21"/>
        </w:rPr>
        <w:t xml:space="preserve">（17）法律法规及中国证监会规定的和《基金合同》约定的其他投资比例限制。 </w:t>
      </w:r>
    </w:p>
    <w:p>
      <w:pPr>
        <w:pStyle w:val="7"/>
        <w:spacing w:before="0" w:beforeAutospacing="0" w:after="0" w:afterAutospacing="0" w:line="360" w:lineRule="auto"/>
        <w:ind w:firstLine="420"/>
        <w:rPr>
          <w:sz w:val="21"/>
          <w:szCs w:val="21"/>
        </w:rPr>
      </w:pPr>
      <w:r>
        <w:rPr>
          <w:rFonts w:hint="eastAsia"/>
          <w:sz w:val="21"/>
          <w:szCs w:val="21"/>
        </w:rPr>
        <w:t xml:space="preserve">除上述第（2）、（10）、（15）、（16）条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法律法规或监管部门取消或调整上述限制，如适用于本基金，基金管理人在履行适当程序后，则本基金投资不再受相关限制或按调整后的规定执行。 </w:t>
      </w:r>
    </w:p>
    <w:p>
      <w:pPr>
        <w:pStyle w:val="7"/>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pPr>
        <w:pStyle w:val="7"/>
        <w:spacing w:before="0" w:beforeAutospacing="0" w:after="0" w:afterAutospacing="0" w:line="360" w:lineRule="auto"/>
        <w:ind w:firstLine="420"/>
        <w:rPr>
          <w:sz w:val="21"/>
          <w:szCs w:val="21"/>
        </w:rPr>
      </w:pPr>
      <w:r>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 </w:t>
      </w:r>
    </w:p>
    <w:p>
      <w:pPr>
        <w:pStyle w:val="7"/>
        <w:spacing w:before="0" w:beforeAutospacing="0" w:after="0" w:afterAutospacing="0" w:line="360" w:lineRule="auto"/>
        <w:ind w:firstLine="420"/>
        <w:rPr>
          <w:sz w:val="21"/>
          <w:szCs w:val="21"/>
        </w:rPr>
      </w:pPr>
      <w:r>
        <w:rPr>
          <w:rFonts w:hint="eastAsia"/>
          <w:sz w:val="21"/>
          <w:szCs w:val="21"/>
        </w:rPr>
        <w:t xml:space="preserve">（三）基金托管人在上述第（一）、（二）款的监督和核查中发现基金管理人违反上述第（一）、（二）款约定，应及时提示基金管理人，并依照法律法规的规定向中国证监会报告。基金管理人收到提示后应及时以书面形式回复基金托管人并改正。 </w:t>
      </w:r>
    </w:p>
    <w:p>
      <w:pPr>
        <w:pStyle w:val="7"/>
        <w:spacing w:before="0" w:beforeAutospacing="0" w:after="0" w:afterAutospacing="0" w:line="360" w:lineRule="auto"/>
        <w:ind w:firstLine="420"/>
        <w:rPr>
          <w:sz w:val="21"/>
          <w:szCs w:val="21"/>
        </w:rPr>
      </w:pPr>
      <w:r>
        <w:rPr>
          <w:rFonts w:hint="eastAsia"/>
          <w:sz w:val="21"/>
          <w:szCs w:val="21"/>
        </w:rPr>
        <w:t xml:space="preserve">（四）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提示基金管理人，并依照法律法规的规定及时向中国证监会报告。 </w:t>
      </w:r>
    </w:p>
    <w:p>
      <w:pPr>
        <w:pStyle w:val="7"/>
        <w:spacing w:before="0" w:beforeAutospacing="0" w:after="0" w:afterAutospacing="0" w:line="360" w:lineRule="auto"/>
        <w:ind w:firstLine="420"/>
        <w:rPr>
          <w:sz w:val="21"/>
          <w:szCs w:val="21"/>
        </w:rPr>
      </w:pPr>
      <w:r>
        <w:rPr>
          <w:rFonts w:hint="eastAsia"/>
          <w:sz w:val="21"/>
          <w:szCs w:val="21"/>
        </w:rPr>
        <w:t xml:space="preserve">（五）基金管理人应积极配合和协助基金托管人的监督和核查，包括但不限于：在规定时间内答复基金托管人并改正，就基金托管人的疑义进行解释或举证，提供相关数据资料和制度等。 </w:t>
      </w:r>
    </w:p>
    <w:p>
      <w:pPr>
        <w:pStyle w:val="7"/>
        <w:spacing w:before="0" w:beforeAutospacing="0" w:after="0" w:afterAutospacing="0" w:line="360" w:lineRule="auto"/>
        <w:ind w:firstLine="420"/>
        <w:rPr>
          <w:sz w:val="21"/>
          <w:szCs w:val="21"/>
        </w:rPr>
      </w:pPr>
      <w:r>
        <w:rPr>
          <w:rStyle w:val="11"/>
          <w:rFonts w:hint="eastAsia"/>
          <w:sz w:val="21"/>
          <w:szCs w:val="21"/>
        </w:rPr>
        <w:t>三、基金管理人对基金托管人的业务核查</w:t>
      </w:r>
    </w:p>
    <w:p>
      <w:pPr>
        <w:pStyle w:val="7"/>
        <w:spacing w:before="0" w:beforeAutospacing="0" w:after="0" w:afterAutospacing="0" w:line="360" w:lineRule="auto"/>
        <w:ind w:firstLine="420"/>
        <w:rPr>
          <w:sz w:val="21"/>
          <w:szCs w:val="21"/>
        </w:rPr>
      </w:pPr>
      <w:r>
        <w:rPr>
          <w:rFonts w:hint="eastAsia"/>
          <w:sz w:val="21"/>
          <w:szCs w:val="21"/>
        </w:rPr>
        <w:t xml:space="preserve">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等投资所需账户、复核基金管理人计算的基金资产净值和两类基金份额的基金份额净值、根据基金管理人指令办理清算交收、相关信息披露和监督基金投资运作等行为。 </w:t>
      </w:r>
    </w:p>
    <w:p>
      <w:pPr>
        <w:pStyle w:val="7"/>
        <w:spacing w:before="0" w:beforeAutospacing="0" w:after="0" w:afterAutospacing="0" w:line="360" w:lineRule="auto"/>
        <w:ind w:firstLine="420"/>
        <w:rPr>
          <w:sz w:val="21"/>
          <w:szCs w:val="21"/>
        </w:rPr>
      </w:pPr>
      <w:r>
        <w:rPr>
          <w:rFonts w:hint="eastAsia"/>
          <w:sz w:val="21"/>
          <w:szCs w:val="21"/>
        </w:rPr>
        <w:t xml:space="preserve">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pPr>
        <w:pStyle w:val="7"/>
        <w:spacing w:before="0" w:beforeAutospacing="0" w:after="0" w:afterAutospacing="0" w:line="360" w:lineRule="auto"/>
        <w:ind w:firstLine="420"/>
        <w:rPr>
          <w:sz w:val="21"/>
          <w:szCs w:val="21"/>
        </w:rPr>
      </w:pPr>
      <w:r>
        <w:rPr>
          <w:rFonts w:hint="eastAsia"/>
          <w:sz w:val="21"/>
          <w:szCs w:val="21"/>
        </w:rPr>
        <w:t xml:space="preserve">3、基金托管人应积极配合基金管理人的核查行为，包括但不限于：提交相关资料以供基金管理人核查托管财产的完整性和真实性，在规定时间内答复基金管理人并改正。 </w:t>
      </w:r>
    </w:p>
    <w:p>
      <w:pPr>
        <w:pStyle w:val="7"/>
        <w:spacing w:before="0" w:beforeAutospacing="0" w:after="0" w:afterAutospacing="0" w:line="360" w:lineRule="auto"/>
        <w:ind w:firstLine="420"/>
        <w:rPr>
          <w:sz w:val="21"/>
          <w:szCs w:val="21"/>
        </w:rPr>
      </w:pPr>
      <w:r>
        <w:rPr>
          <w:rStyle w:val="11"/>
          <w:rFonts w:hint="eastAsia"/>
          <w:sz w:val="21"/>
          <w:szCs w:val="21"/>
        </w:rPr>
        <w:t>四、基金财产的保管</w:t>
      </w:r>
    </w:p>
    <w:p>
      <w:pPr>
        <w:pStyle w:val="7"/>
        <w:spacing w:before="0" w:beforeAutospacing="0" w:after="0" w:afterAutospacing="0" w:line="360" w:lineRule="auto"/>
        <w:ind w:firstLine="420"/>
        <w:rPr>
          <w:sz w:val="21"/>
          <w:szCs w:val="21"/>
        </w:rPr>
      </w:pPr>
      <w:r>
        <w:rPr>
          <w:rFonts w:hint="eastAsia"/>
          <w:sz w:val="21"/>
          <w:szCs w:val="21"/>
        </w:rPr>
        <w:t xml:space="preserve">（一）基金财产保管的原则 </w:t>
      </w:r>
    </w:p>
    <w:p>
      <w:pPr>
        <w:pStyle w:val="7"/>
        <w:spacing w:before="0" w:beforeAutospacing="0" w:after="0" w:afterAutospacing="0" w:line="360" w:lineRule="auto"/>
        <w:ind w:firstLine="420"/>
        <w:rPr>
          <w:sz w:val="21"/>
          <w:szCs w:val="21"/>
        </w:rPr>
      </w:pPr>
      <w:r>
        <w:rPr>
          <w:rFonts w:hint="eastAsia"/>
          <w:sz w:val="21"/>
          <w:szCs w:val="21"/>
        </w:rPr>
        <w:t xml:space="preserve">1、基金财产应独立于基金管理人、基金托管人的固有财产。 </w:t>
      </w:r>
    </w:p>
    <w:p>
      <w:pPr>
        <w:pStyle w:val="7"/>
        <w:spacing w:before="0" w:beforeAutospacing="0" w:after="0" w:afterAutospacing="0" w:line="360" w:lineRule="auto"/>
        <w:ind w:firstLine="420"/>
        <w:rPr>
          <w:sz w:val="21"/>
          <w:szCs w:val="21"/>
        </w:rPr>
      </w:pPr>
      <w:r>
        <w:rPr>
          <w:rFonts w:hint="eastAsia"/>
          <w:sz w:val="21"/>
          <w:szCs w:val="21"/>
        </w:rPr>
        <w:t xml:space="preserve">2、基金托管人应安全保管基金财产，未经基金管理人的合法合规指令或法律法规、《基金合同》及本协议另有规定，不得自行运用、处分、分配基金的任何财产。 </w:t>
      </w:r>
    </w:p>
    <w:p>
      <w:pPr>
        <w:pStyle w:val="7"/>
        <w:spacing w:before="0" w:beforeAutospacing="0" w:after="0" w:afterAutospacing="0" w:line="360" w:lineRule="auto"/>
        <w:ind w:firstLine="420"/>
        <w:rPr>
          <w:sz w:val="21"/>
          <w:szCs w:val="21"/>
        </w:rPr>
      </w:pPr>
      <w:r>
        <w:rPr>
          <w:rFonts w:hint="eastAsia"/>
          <w:sz w:val="21"/>
          <w:szCs w:val="21"/>
        </w:rPr>
        <w:t xml:space="preserve">3、基金托管人按照规定开设基金财产的资金账户和证券账户等投资所需账户，与基金托管人的其他业务和其他基金的托管业务实行严格的分账管理。 </w:t>
      </w:r>
    </w:p>
    <w:p>
      <w:pPr>
        <w:pStyle w:val="7"/>
        <w:spacing w:before="0" w:beforeAutospacing="0" w:after="0" w:afterAutospacing="0" w:line="360" w:lineRule="auto"/>
        <w:ind w:firstLine="420"/>
        <w:rPr>
          <w:sz w:val="21"/>
          <w:szCs w:val="21"/>
        </w:rPr>
      </w:pPr>
      <w:r>
        <w:rPr>
          <w:rFonts w:hint="eastAsia"/>
          <w:sz w:val="21"/>
          <w:szCs w:val="21"/>
        </w:rPr>
        <w:t xml:space="preserve">4、基金托管人对所托管的不同基金财产分别设置账户，确保基金财产的完整与独立。 </w:t>
      </w:r>
    </w:p>
    <w:p>
      <w:pPr>
        <w:pStyle w:val="7"/>
        <w:spacing w:before="0" w:beforeAutospacing="0" w:after="0" w:afterAutospacing="0" w:line="360" w:lineRule="auto"/>
        <w:ind w:firstLine="420"/>
        <w:rPr>
          <w:sz w:val="21"/>
          <w:szCs w:val="21"/>
        </w:rPr>
      </w:pPr>
      <w:r>
        <w:rPr>
          <w:rFonts w:hint="eastAsia"/>
          <w:sz w:val="21"/>
          <w:szCs w:val="21"/>
        </w:rPr>
        <w:t xml:space="preserve">5、除依据《基金法》、《运作办法》及其他有关法律法规另有规定、或者《基金合同》及本协议另有约定外，基金托管人不得委托第三人托管基金财产。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（二）基金合同生效前募集资金的验资和入账 </w:t>
      </w:r>
    </w:p>
    <w:p>
      <w:pPr>
        <w:pStyle w:val="7"/>
        <w:spacing w:before="0" w:beforeAutospacing="0" w:after="0" w:afterAutospacing="0" w:line="360" w:lineRule="auto"/>
        <w:ind w:firstLine="420"/>
        <w:rPr>
          <w:sz w:val="21"/>
          <w:szCs w:val="21"/>
        </w:rPr>
      </w:pPr>
      <w:r>
        <w:rPr>
          <w:rFonts w:hint="eastAsia"/>
          <w:sz w:val="21"/>
          <w:szCs w:val="21"/>
        </w:rPr>
        <w:t>1、募集期内销售机构按销售代理协议的约定，将募集资金划入基金管理人在具有托管资格的商业银行开设的</w:t>
      </w:r>
      <w:bookmarkStart w:id="204" w:name="field_0_managerorgfullname_9"/>
      <w:r>
        <w:rPr>
          <w:rFonts w:hint="eastAsia"/>
          <w:sz w:val="21"/>
          <w:szCs w:val="21"/>
        </w:rPr>
        <w:t>博时基金管理有限公司</w:t>
      </w:r>
      <w:bookmarkEnd w:id="204"/>
      <w:r>
        <w:rPr>
          <w:rFonts w:hint="eastAsia"/>
          <w:sz w:val="21"/>
          <w:szCs w:val="21"/>
        </w:rPr>
        <w:t xml:space="preserve">基金专门账户。该账户由基金管理人开立并管理。 </w:t>
      </w:r>
    </w:p>
    <w:p>
      <w:pPr>
        <w:pStyle w:val="7"/>
        <w:spacing w:before="0" w:beforeAutospacing="0" w:after="0" w:afterAutospacing="0" w:line="360" w:lineRule="auto"/>
        <w:ind w:firstLine="420"/>
        <w:rPr>
          <w:sz w:val="21"/>
          <w:szCs w:val="21"/>
        </w:rPr>
      </w:pPr>
      <w:r>
        <w:rPr>
          <w:rFonts w:hint="eastAsia"/>
          <w:sz w:val="21"/>
          <w:szCs w:val="21"/>
        </w:rPr>
        <w:t xml:space="preserve">2 、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 </w:t>
      </w:r>
    </w:p>
    <w:p>
      <w:pPr>
        <w:pStyle w:val="7"/>
        <w:spacing w:before="0" w:beforeAutospacing="0" w:after="0" w:afterAutospacing="0" w:line="360" w:lineRule="auto"/>
        <w:ind w:firstLine="420"/>
        <w:rPr>
          <w:sz w:val="21"/>
          <w:szCs w:val="21"/>
        </w:rPr>
      </w:pPr>
      <w:r>
        <w:rPr>
          <w:rFonts w:hint="eastAsia"/>
          <w:sz w:val="21"/>
          <w:szCs w:val="21"/>
        </w:rPr>
        <w:t xml:space="preserve">3、基金管理人应将属于本基金财产的全部资金划入在基金托管人处为本基金开立的基金银行账户中，并确保划入的资金与验资确认金额相一致。 </w:t>
      </w:r>
    </w:p>
    <w:p>
      <w:pPr>
        <w:pStyle w:val="7"/>
        <w:spacing w:before="0" w:beforeAutospacing="0" w:after="0" w:afterAutospacing="0" w:line="360" w:lineRule="auto"/>
        <w:ind w:firstLine="420"/>
        <w:rPr>
          <w:sz w:val="21"/>
          <w:szCs w:val="21"/>
        </w:rPr>
      </w:pPr>
      <w:r>
        <w:rPr>
          <w:rFonts w:hint="eastAsia"/>
          <w:sz w:val="21"/>
          <w:szCs w:val="21"/>
        </w:rPr>
        <w:t xml:space="preserve">（三）基金的银行账户的开设和管理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1、基金托管人应负责本基金的银行账户的开设和管理。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 </w:t>
      </w:r>
    </w:p>
    <w:p>
      <w:pPr>
        <w:pStyle w:val="7"/>
        <w:spacing w:before="0" w:beforeAutospacing="0" w:after="0" w:afterAutospacing="0" w:line="360" w:lineRule="auto"/>
        <w:ind w:firstLine="420"/>
        <w:rPr>
          <w:sz w:val="21"/>
          <w:szCs w:val="21"/>
        </w:rPr>
      </w:pPr>
      <w:r>
        <w:rPr>
          <w:rFonts w:hint="eastAsia"/>
          <w:sz w:val="21"/>
          <w:szCs w:val="21"/>
        </w:rPr>
        <w:t xml:space="preserve">3、本基金银行账户的开立和使用，限于满足开展本基金业务的需要。基金托管人和基金管理人不得假借本基金的名义开立其他任何银行账户；亦不得使用本基金的银行账户进行本基金业务以外的活动。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4、基金银行账户的管理应符合法律法规的有关规定。 </w:t>
      </w:r>
    </w:p>
    <w:p>
      <w:pPr>
        <w:pStyle w:val="7"/>
        <w:spacing w:before="0" w:beforeAutospacing="0" w:after="0" w:afterAutospacing="0" w:line="360" w:lineRule="auto"/>
        <w:ind w:firstLine="420"/>
        <w:rPr>
          <w:sz w:val="21"/>
          <w:szCs w:val="21"/>
        </w:rPr>
      </w:pPr>
      <w:r>
        <w:rPr>
          <w:rFonts w:hint="eastAsia"/>
          <w:sz w:val="21"/>
          <w:szCs w:val="21"/>
        </w:rPr>
        <w:t xml:space="preserve">（四）基金进行定期存款投资的账户开设和管理 </w:t>
      </w:r>
    </w:p>
    <w:p>
      <w:pPr>
        <w:pStyle w:val="7"/>
        <w:spacing w:before="0" w:beforeAutospacing="0" w:after="0" w:afterAutospacing="0" w:line="360" w:lineRule="auto"/>
        <w:ind w:firstLine="420"/>
        <w:rPr>
          <w:sz w:val="21"/>
          <w:szCs w:val="21"/>
        </w:rPr>
      </w:pPr>
      <w:r>
        <w:rPr>
          <w:rFonts w:hint="eastAsia"/>
          <w:sz w:val="21"/>
          <w:szCs w:val="21"/>
        </w:rPr>
        <w:t xml:space="preserve">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 </w:t>
      </w:r>
    </w:p>
    <w:p>
      <w:pPr>
        <w:pStyle w:val="7"/>
        <w:spacing w:before="0" w:beforeAutospacing="0" w:after="0" w:afterAutospacing="0" w:line="360" w:lineRule="auto"/>
        <w:ind w:firstLine="420"/>
        <w:rPr>
          <w:sz w:val="21"/>
          <w:szCs w:val="21"/>
        </w:rPr>
      </w:pPr>
      <w:r>
        <w:rPr>
          <w:rFonts w:hint="eastAsia"/>
          <w:sz w:val="21"/>
          <w:szCs w:val="21"/>
        </w:rPr>
        <w:t xml:space="preserve">（五）基金证券账户、结算备付金账户及其他投资账户的开设和管理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1、基金托管人应当代表本基金，以基金托管人和本基金联名的方式在中国证券登记结算有限责任公司开设证券账户。 </w:t>
      </w:r>
    </w:p>
    <w:p>
      <w:pPr>
        <w:pStyle w:val="7"/>
        <w:spacing w:before="0" w:beforeAutospacing="0" w:after="0" w:afterAutospacing="0" w:line="360" w:lineRule="auto"/>
        <w:ind w:firstLine="420"/>
        <w:rPr>
          <w:sz w:val="21"/>
          <w:szCs w:val="21"/>
        </w:rPr>
      </w:pPr>
      <w:r>
        <w:rPr>
          <w:rFonts w:hint="eastAsia"/>
          <w:sz w:val="21"/>
          <w:szCs w:val="21"/>
        </w:rPr>
        <w:t xml:space="preserve">2、本基金证券账户的开立和使用，限于满足开展本基金业务的需要。基金托管人和基金管理人不得出借或转让本基金的证券账户，亦不得使用本基金的证券账户进行本基金业务以外的活动。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 </w:t>
      </w:r>
    </w:p>
    <w:p>
      <w:pPr>
        <w:pStyle w:val="7"/>
        <w:spacing w:before="0" w:beforeAutospacing="0" w:after="0" w:afterAutospacing="0" w:line="360" w:lineRule="auto"/>
        <w:ind w:firstLine="420"/>
        <w:rPr>
          <w:sz w:val="21"/>
          <w:szCs w:val="21"/>
        </w:rPr>
      </w:pPr>
      <w:r>
        <w:rPr>
          <w:rFonts w:hint="eastAsia"/>
          <w:sz w:val="21"/>
          <w:szCs w:val="21"/>
        </w:rPr>
        <w:t xml:space="preserve">4、在本托管协议生效日之后，本基金被允许从事其他投资品种的投资业务的，涉及相关账户的开设、使用的，若无相关规定，则基金托管人应当比照上述关于账户开设、使用的规定。 </w:t>
      </w:r>
    </w:p>
    <w:p>
      <w:pPr>
        <w:pStyle w:val="7"/>
        <w:spacing w:before="0" w:beforeAutospacing="0" w:after="0" w:afterAutospacing="0" w:line="360" w:lineRule="auto"/>
        <w:ind w:firstLine="420"/>
        <w:rPr>
          <w:sz w:val="21"/>
          <w:szCs w:val="21"/>
        </w:rPr>
      </w:pPr>
      <w:r>
        <w:rPr>
          <w:rFonts w:hint="eastAsia"/>
          <w:sz w:val="21"/>
          <w:szCs w:val="21"/>
        </w:rPr>
        <w:t xml:space="preserve">（六）债券托管账户的开设和管理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在上述手续办理完毕之后，由基金托管人负责向中国人民银行报备。 </w:t>
      </w:r>
    </w:p>
    <w:p>
      <w:pPr>
        <w:pStyle w:val="7"/>
        <w:spacing w:before="0" w:beforeAutospacing="0" w:after="0" w:afterAutospacing="0" w:line="360" w:lineRule="auto"/>
        <w:ind w:firstLine="420"/>
        <w:rPr>
          <w:sz w:val="21"/>
          <w:szCs w:val="21"/>
        </w:rPr>
      </w:pPr>
      <w:r>
        <w:rPr>
          <w:rFonts w:hint="eastAsia"/>
          <w:sz w:val="21"/>
          <w:szCs w:val="21"/>
        </w:rPr>
        <w:t xml:space="preserve">（七）基金财产投资的有关有价凭证的保管 </w:t>
      </w:r>
    </w:p>
    <w:p>
      <w:pPr>
        <w:pStyle w:val="7"/>
        <w:spacing w:before="0" w:beforeAutospacing="0" w:after="0" w:afterAutospacing="0" w:line="360" w:lineRule="auto"/>
        <w:ind w:firstLine="420"/>
        <w:rPr>
          <w:sz w:val="21"/>
          <w:szCs w:val="21"/>
        </w:rPr>
      </w:pPr>
      <w:r>
        <w:rPr>
          <w:rFonts w:hint="eastAsia"/>
          <w:sz w:val="21"/>
          <w:szCs w:val="21"/>
        </w:rPr>
        <w:t xml:space="preserve">基金财产投资的实物证券、银行定期存款存单等有价凭证由基金托管人负责妥善保管。基金托管人对其以外机构实际有效控制的有价凭证不承担责任。 </w:t>
      </w:r>
    </w:p>
    <w:p>
      <w:pPr>
        <w:pStyle w:val="7"/>
        <w:spacing w:before="0" w:beforeAutospacing="0" w:after="0" w:afterAutospacing="0" w:line="360" w:lineRule="auto"/>
        <w:ind w:firstLine="420"/>
        <w:rPr>
          <w:sz w:val="21"/>
          <w:szCs w:val="21"/>
        </w:rPr>
      </w:pPr>
      <w:r>
        <w:rPr>
          <w:rFonts w:hint="eastAsia"/>
          <w:sz w:val="21"/>
          <w:szCs w:val="21"/>
        </w:rPr>
        <w:t xml:space="preserve">（八）与基金财产有关的重大合同及有关凭证的保管 </w:t>
      </w:r>
    </w:p>
    <w:p>
      <w:pPr>
        <w:pStyle w:val="7"/>
        <w:spacing w:before="0" w:beforeAutospacing="0" w:after="0" w:afterAutospacing="0" w:line="360" w:lineRule="auto"/>
        <w:ind w:firstLine="420"/>
        <w:rPr>
          <w:sz w:val="21"/>
          <w:szCs w:val="21"/>
        </w:rPr>
      </w:pPr>
      <w:r>
        <w:rPr>
          <w:rFonts w:hint="eastAsia"/>
          <w:sz w:val="21"/>
          <w:szCs w:val="21"/>
        </w:rPr>
        <w:t xml:space="preserve">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 </w:t>
      </w:r>
    </w:p>
    <w:p>
      <w:pPr>
        <w:pStyle w:val="7"/>
        <w:spacing w:before="0" w:beforeAutospacing="0" w:after="0" w:afterAutospacing="0" w:line="360" w:lineRule="auto"/>
        <w:ind w:firstLine="420"/>
        <w:rPr>
          <w:sz w:val="21"/>
          <w:szCs w:val="21"/>
        </w:rPr>
      </w:pPr>
      <w:r>
        <w:rPr>
          <w:rStyle w:val="11"/>
          <w:rFonts w:hint="eastAsia"/>
          <w:sz w:val="21"/>
          <w:szCs w:val="21"/>
        </w:rPr>
        <w:t>五、基金资产净值计算与复核</w:t>
      </w:r>
    </w:p>
    <w:p>
      <w:pPr>
        <w:pStyle w:val="7"/>
        <w:spacing w:before="0" w:beforeAutospacing="0" w:after="0" w:afterAutospacing="0" w:line="360" w:lineRule="auto"/>
        <w:ind w:firstLine="420"/>
        <w:rPr>
          <w:sz w:val="21"/>
          <w:szCs w:val="21"/>
        </w:rPr>
      </w:pPr>
      <w:r>
        <w:rPr>
          <w:rFonts w:hint="eastAsia"/>
          <w:sz w:val="21"/>
          <w:szCs w:val="21"/>
        </w:rPr>
        <w:t xml:space="preserve">（一）基金资产净值的计算和复核 </w:t>
      </w:r>
    </w:p>
    <w:p>
      <w:pPr>
        <w:pStyle w:val="7"/>
        <w:spacing w:before="0" w:beforeAutospacing="0" w:after="0" w:afterAutospacing="0" w:line="360" w:lineRule="auto"/>
        <w:ind w:firstLine="420"/>
        <w:rPr>
          <w:sz w:val="21"/>
          <w:szCs w:val="21"/>
        </w:rPr>
      </w:pPr>
      <w:r>
        <w:rPr>
          <w:rFonts w:hint="eastAsia"/>
          <w:sz w:val="21"/>
          <w:szCs w:val="21"/>
        </w:rPr>
        <w:t xml:space="preserve">1、基金资产净值是指基金资产总值减去负债后的价值。基金份额净值是指计算日基金资产净值除以计算日该基金份额总数后的价值。 </w:t>
      </w:r>
    </w:p>
    <w:p>
      <w:pPr>
        <w:pStyle w:val="7"/>
        <w:spacing w:before="0" w:beforeAutospacing="0" w:after="0" w:afterAutospacing="0" w:line="360" w:lineRule="auto"/>
        <w:ind w:firstLine="420"/>
        <w:rPr>
          <w:sz w:val="21"/>
          <w:szCs w:val="21"/>
        </w:rPr>
      </w:pPr>
      <w:r>
        <w:rPr>
          <w:rFonts w:hint="eastAsia"/>
          <w:sz w:val="21"/>
          <w:szCs w:val="21"/>
        </w:rPr>
        <w:t xml:space="preserve">基金份额净值的计算，精确到0.0001元，小数点后第五位四舍五入，由此产生的误差计入基金财产。国家另有规定的，从其规定。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2、基金管理人应每个工作日对基金财产估值。估值原则应符合《基金合同》、《证券投资基金会计核算业务指引》及其他法律法规的规定。用于基金信息披露的基金净值信息由基金管理人负责计算，基金托管人复核。基金管理人应于每个工作日结束后计算得出当日的各类基金份额净值，并以双方约定的方式发送给基金托管人。基金托管人应对净值计算结果进行复核，并以双方约定的方式将复核结果传送给基金管理人，由基金管理人按规定对外公布。月末、年中和年末估值复核与基金会计账目的核对同时进行。 </w:t>
      </w:r>
    </w:p>
    <w:p>
      <w:pPr>
        <w:pStyle w:val="7"/>
        <w:spacing w:before="0" w:beforeAutospacing="0" w:after="0" w:afterAutospacing="0" w:line="360" w:lineRule="auto"/>
        <w:ind w:firstLine="420"/>
        <w:rPr>
          <w:sz w:val="21"/>
          <w:szCs w:val="21"/>
        </w:rPr>
      </w:pPr>
      <w:r>
        <w:rPr>
          <w:rFonts w:hint="eastAsia"/>
          <w:sz w:val="21"/>
          <w:szCs w:val="21"/>
        </w:rPr>
        <w:t xml:space="preserve">3、当相关法律法规或《基金合同》规定的估值方法不能客观反映基金财产公允价值时，基金管理人可根据具体情况，并与基金托管人商定后，按最能反映公允价值的价格估值。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4、基金管理人、基金托管人发现基金估值违反《基金合同》订明的估值方法、程序以及相关法律法规的规定或者未能充分维护基金份额持有人利益时，双方应及时进行协商和纠正。 </w:t>
      </w:r>
    </w:p>
    <w:p>
      <w:pPr>
        <w:pStyle w:val="7"/>
        <w:spacing w:before="0" w:beforeAutospacing="0" w:after="0" w:afterAutospacing="0" w:line="360" w:lineRule="auto"/>
        <w:ind w:firstLine="420"/>
        <w:rPr>
          <w:sz w:val="21"/>
          <w:szCs w:val="21"/>
        </w:rPr>
      </w:pPr>
      <w:r>
        <w:rPr>
          <w:rFonts w:hint="eastAsia"/>
          <w:sz w:val="21"/>
          <w:szCs w:val="21"/>
        </w:rPr>
        <w:t xml:space="preserve">5、当基金资产的估值导致基金份额净值小数点后四位内（含第四位）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 </w:t>
      </w:r>
    </w:p>
    <w:p>
      <w:pPr>
        <w:pStyle w:val="7"/>
        <w:spacing w:before="0" w:beforeAutospacing="0" w:after="0" w:afterAutospacing="0" w:line="360" w:lineRule="auto"/>
        <w:ind w:firstLine="420"/>
        <w:rPr>
          <w:sz w:val="21"/>
          <w:szCs w:val="21"/>
        </w:rPr>
      </w:pPr>
      <w:r>
        <w:rPr>
          <w:rFonts w:hint="eastAsia"/>
          <w:sz w:val="21"/>
          <w:szCs w:val="21"/>
        </w:rPr>
        <w:t xml:space="preserve">6、由于基金管理人对外公布的任何基金净值数据错误，导致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 </w:t>
      </w:r>
    </w:p>
    <w:p>
      <w:pPr>
        <w:pStyle w:val="7"/>
        <w:spacing w:before="0" w:beforeAutospacing="0" w:after="0" w:afterAutospacing="0" w:line="360" w:lineRule="auto"/>
        <w:ind w:firstLine="420"/>
        <w:rPr>
          <w:sz w:val="21"/>
          <w:szCs w:val="21"/>
        </w:rPr>
      </w:pPr>
      <w:r>
        <w:rPr>
          <w:rFonts w:hint="eastAsia"/>
          <w:sz w:val="21"/>
          <w:szCs w:val="21"/>
        </w:rPr>
        <w:t xml:space="preserve">7、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 </w:t>
      </w:r>
    </w:p>
    <w:p>
      <w:pPr>
        <w:pStyle w:val="7"/>
        <w:spacing w:before="0" w:beforeAutospacing="0" w:after="0" w:afterAutospacing="0" w:line="360" w:lineRule="auto"/>
        <w:ind w:firstLine="420"/>
        <w:rPr>
          <w:sz w:val="21"/>
          <w:szCs w:val="21"/>
        </w:rPr>
      </w:pPr>
      <w:r>
        <w:rPr>
          <w:rFonts w:hint="eastAsia"/>
          <w:sz w:val="21"/>
          <w:szCs w:val="21"/>
        </w:rPr>
        <w:t xml:space="preserve">8、如果基金托管人的复核结果与基金管理人的计算结果存在差异，且双方经协商未能达成一致，基金管理人可以按照其对基金份额净值的计算结果对外予以公布，基金托管人可以将相关情况报中国证监会备案。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（二）基金会计核算 </w:t>
      </w:r>
    </w:p>
    <w:p>
      <w:pPr>
        <w:pStyle w:val="7"/>
        <w:spacing w:before="0" w:beforeAutospacing="0" w:after="0" w:afterAutospacing="0" w:line="360" w:lineRule="auto"/>
        <w:ind w:firstLine="420"/>
        <w:rPr>
          <w:sz w:val="21"/>
          <w:szCs w:val="21"/>
        </w:rPr>
      </w:pPr>
      <w:r>
        <w:rPr>
          <w:rFonts w:hint="eastAsia"/>
          <w:sz w:val="21"/>
          <w:szCs w:val="21"/>
        </w:rPr>
        <w:t xml:space="preserve">1、基金账册的建立 </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 </w:t>
      </w:r>
    </w:p>
    <w:p>
      <w:pPr>
        <w:pStyle w:val="7"/>
        <w:spacing w:before="0" w:beforeAutospacing="0" w:after="0" w:afterAutospacing="0" w:line="360" w:lineRule="auto"/>
        <w:ind w:firstLine="420"/>
        <w:rPr>
          <w:sz w:val="21"/>
          <w:szCs w:val="21"/>
        </w:rPr>
      </w:pPr>
      <w:r>
        <w:rPr>
          <w:rFonts w:hint="eastAsia"/>
          <w:sz w:val="21"/>
          <w:szCs w:val="21"/>
        </w:rPr>
        <w:t xml:space="preserve">2、会计数据和财务指标的核对 </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基金管理人和基金托管人应定期就会计数据和财务指标进行核对。如发现存在不符，双方应及时查明原因并纠正。 </w:t>
      </w:r>
    </w:p>
    <w:p>
      <w:pPr>
        <w:pStyle w:val="7"/>
        <w:spacing w:before="0" w:beforeAutospacing="0" w:after="0" w:afterAutospacing="0" w:line="360" w:lineRule="auto"/>
        <w:ind w:firstLine="420"/>
        <w:rPr>
          <w:sz w:val="21"/>
          <w:szCs w:val="21"/>
        </w:rPr>
      </w:pPr>
      <w:r>
        <w:rPr>
          <w:rFonts w:hint="eastAsia"/>
          <w:sz w:val="21"/>
          <w:szCs w:val="21"/>
        </w:rPr>
        <w:t xml:space="preserve">3、基金财务报表和定期报告的编制和复核 </w:t>
      </w:r>
    </w:p>
    <w:p>
      <w:pPr>
        <w:pStyle w:val="7"/>
        <w:spacing w:before="0" w:beforeAutospacing="0" w:after="0" w:afterAutospacing="0" w:line="360" w:lineRule="auto"/>
        <w:ind w:firstLine="420"/>
        <w:rPr>
          <w:sz w:val="21"/>
          <w:szCs w:val="21"/>
        </w:rPr>
      </w:pPr>
      <w:r>
        <w:rPr>
          <w:rFonts w:hint="eastAsia"/>
          <w:sz w:val="21"/>
          <w:szCs w:val="21"/>
        </w:rPr>
        <w:t xml:space="preserve">基金财务报表由基金管理人和基金托管人每月分别独立编制。月度报表的编制，应于每月终了后5个工作日内完成；《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15个工作日内，编制完成基金季度报告，将季度报告登载在指定网站上，并将季度报告提示性公告登载在指定报刊上。基金合同生效不足两个月的，基金管理人可以不编制当期季度报告、中期报告或者年度报告。 </w:t>
      </w:r>
    </w:p>
    <w:p>
      <w:pPr>
        <w:pStyle w:val="7"/>
        <w:spacing w:before="0" w:beforeAutospacing="0" w:after="0" w:afterAutospacing="0" w:line="360" w:lineRule="auto"/>
        <w:ind w:firstLine="420"/>
        <w:rPr>
          <w:sz w:val="21"/>
          <w:szCs w:val="21"/>
        </w:rPr>
      </w:pPr>
      <w:r>
        <w:rPr>
          <w:rFonts w:hint="eastAsia"/>
          <w:sz w:val="21"/>
          <w:szCs w:val="21"/>
        </w:rPr>
        <w:t xml:space="preserve">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 </w:t>
      </w:r>
    </w:p>
    <w:p>
      <w:pPr>
        <w:pStyle w:val="7"/>
        <w:spacing w:before="0" w:beforeAutospacing="0" w:after="0" w:afterAutospacing="0" w:line="360" w:lineRule="auto"/>
        <w:ind w:firstLine="420"/>
        <w:rPr>
          <w:sz w:val="21"/>
          <w:szCs w:val="21"/>
        </w:rPr>
      </w:pPr>
      <w:r>
        <w:rPr>
          <w:rFonts w:hint="eastAsia"/>
          <w:sz w:val="21"/>
          <w:szCs w:val="21"/>
        </w:rPr>
        <w:t xml:space="preserve">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或进行电子确认，双方各自留存一份。如果基金管理人与基金托管人不能于应当发布公告之日之前就相关报表达成一致，基金管理人有权按照其编制的报表对外发布公告，基金托管人有权就相关情况报证监会备案。 </w:t>
      </w:r>
    </w:p>
    <w:p>
      <w:pPr>
        <w:pStyle w:val="7"/>
        <w:spacing w:before="0" w:beforeAutospacing="0" w:after="0" w:afterAutospacing="0" w:line="360" w:lineRule="auto"/>
        <w:ind w:firstLine="420"/>
        <w:rPr>
          <w:sz w:val="21"/>
          <w:szCs w:val="21"/>
        </w:rPr>
      </w:pPr>
      <w:r>
        <w:rPr>
          <w:rStyle w:val="11"/>
          <w:rFonts w:hint="eastAsia"/>
          <w:sz w:val="21"/>
          <w:szCs w:val="21"/>
        </w:rPr>
        <w:t>六、基金份额持有人名册的保管</w:t>
      </w:r>
    </w:p>
    <w:p>
      <w:pPr>
        <w:pStyle w:val="7"/>
        <w:spacing w:before="0" w:beforeAutospacing="0" w:after="0" w:afterAutospacing="0" w:line="360" w:lineRule="auto"/>
        <w:ind w:firstLine="420"/>
        <w:rPr>
          <w:sz w:val="21"/>
          <w:szCs w:val="21"/>
        </w:rPr>
      </w:pPr>
      <w:r>
        <w:rPr>
          <w:rFonts w:hint="eastAsia"/>
          <w:sz w:val="21"/>
          <w:szCs w:val="21"/>
        </w:rPr>
        <w:t xml:space="preserve">（一）基金份额持有人名册的内容 </w:t>
      </w:r>
    </w:p>
    <w:p>
      <w:pPr>
        <w:pStyle w:val="7"/>
        <w:spacing w:before="0" w:beforeAutospacing="0" w:after="0" w:afterAutospacing="0" w:line="360" w:lineRule="auto"/>
        <w:ind w:firstLine="420"/>
        <w:rPr>
          <w:sz w:val="21"/>
          <w:szCs w:val="21"/>
        </w:rPr>
      </w:pPr>
      <w:r>
        <w:rPr>
          <w:rFonts w:hint="eastAsia"/>
          <w:sz w:val="21"/>
          <w:szCs w:val="21"/>
        </w:rPr>
        <w:t xml:space="preserve">基金份额持有人名册的内容包括但不限于基金份额持有人的名称和持有的基金份额。 </w:t>
      </w:r>
    </w:p>
    <w:p>
      <w:pPr>
        <w:pStyle w:val="7"/>
        <w:spacing w:before="0" w:beforeAutospacing="0" w:after="0" w:afterAutospacing="0" w:line="360" w:lineRule="auto"/>
        <w:ind w:firstLine="420"/>
        <w:rPr>
          <w:sz w:val="21"/>
          <w:szCs w:val="21"/>
        </w:rPr>
      </w:pPr>
      <w:r>
        <w:rPr>
          <w:rFonts w:hint="eastAsia"/>
          <w:sz w:val="21"/>
          <w:szCs w:val="21"/>
        </w:rPr>
        <w:t xml:space="preserve">基金份额持有人名册包括以下几类： </w:t>
      </w:r>
    </w:p>
    <w:p>
      <w:pPr>
        <w:pStyle w:val="7"/>
        <w:spacing w:before="0" w:beforeAutospacing="0" w:after="0" w:afterAutospacing="0" w:line="360" w:lineRule="auto"/>
        <w:ind w:firstLine="420"/>
        <w:rPr>
          <w:sz w:val="21"/>
          <w:szCs w:val="21"/>
        </w:rPr>
      </w:pPr>
      <w:r>
        <w:rPr>
          <w:rFonts w:hint="eastAsia"/>
          <w:sz w:val="21"/>
          <w:szCs w:val="21"/>
        </w:rPr>
        <w:t xml:space="preserve">1、基金募集期结束时的基金份额持有人名册；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2、基金权益登记日的基金份额持有人名册；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3、基金份额持有人大会登记日的基金份额持有人名册；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4、每半年度最后一个交易日的基金份额持有人名册。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（二）基金份额持有人名册的提供 </w:t>
      </w:r>
    </w:p>
    <w:p>
      <w:pPr>
        <w:pStyle w:val="7"/>
        <w:spacing w:before="0" w:beforeAutospacing="0" w:after="0" w:afterAutospacing="0" w:line="360" w:lineRule="auto"/>
        <w:ind w:firstLine="420"/>
        <w:rPr>
          <w:sz w:val="21"/>
          <w:szCs w:val="21"/>
        </w:rPr>
      </w:pPr>
      <w:r>
        <w:rPr>
          <w:rFonts w:hint="eastAsia"/>
          <w:sz w:val="21"/>
          <w:szCs w:val="21"/>
        </w:rPr>
        <w:t xml:space="preserve">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 </w:t>
      </w:r>
    </w:p>
    <w:p>
      <w:pPr>
        <w:pStyle w:val="7"/>
        <w:spacing w:before="0" w:beforeAutospacing="0" w:after="0" w:afterAutospacing="0" w:line="360" w:lineRule="auto"/>
        <w:ind w:firstLine="420"/>
        <w:rPr>
          <w:sz w:val="21"/>
          <w:szCs w:val="21"/>
        </w:rPr>
      </w:pPr>
      <w:r>
        <w:rPr>
          <w:rFonts w:hint="eastAsia"/>
          <w:sz w:val="21"/>
          <w:szCs w:val="21"/>
        </w:rPr>
        <w:t xml:space="preserve">（三）基金份额持有人名册的保管 </w:t>
      </w:r>
    </w:p>
    <w:p>
      <w:pPr>
        <w:pStyle w:val="7"/>
        <w:spacing w:before="0" w:beforeAutospacing="0" w:after="0" w:afterAutospacing="0" w:line="360" w:lineRule="auto"/>
        <w:ind w:firstLine="420"/>
        <w:rPr>
          <w:sz w:val="21"/>
          <w:szCs w:val="21"/>
        </w:rPr>
      </w:pPr>
      <w:r>
        <w:rPr>
          <w:rFonts w:hint="eastAsia"/>
          <w:sz w:val="21"/>
          <w:szCs w:val="21"/>
        </w:rPr>
        <w:t xml:space="preserve">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 </w:t>
      </w:r>
    </w:p>
    <w:p>
      <w:pPr>
        <w:pStyle w:val="7"/>
        <w:spacing w:before="0" w:beforeAutospacing="0" w:after="0" w:afterAutospacing="0" w:line="360" w:lineRule="auto"/>
        <w:ind w:firstLine="420"/>
        <w:rPr>
          <w:sz w:val="21"/>
          <w:szCs w:val="21"/>
        </w:rPr>
      </w:pPr>
      <w:r>
        <w:rPr>
          <w:rStyle w:val="11"/>
          <w:rFonts w:hint="eastAsia"/>
          <w:sz w:val="21"/>
          <w:szCs w:val="21"/>
        </w:rPr>
        <w:t>七、争议解决方式</w:t>
      </w:r>
    </w:p>
    <w:p>
      <w:pPr>
        <w:pStyle w:val="7"/>
        <w:spacing w:before="0" w:beforeAutospacing="0" w:after="0" w:afterAutospacing="0" w:line="360" w:lineRule="auto"/>
        <w:ind w:firstLine="420"/>
        <w:rPr>
          <w:sz w:val="21"/>
          <w:szCs w:val="21"/>
        </w:rPr>
      </w:pPr>
      <w:r>
        <w:rPr>
          <w:rFonts w:hint="eastAsia"/>
          <w:sz w:val="21"/>
          <w:szCs w:val="21"/>
        </w:rPr>
        <w:t xml:space="preserve">（一）本协议适用中华人民共和国法律（为本协议之目的，不包括香港特别行政区、澳门特别行政区和台湾地区法律）并从其解释。 </w:t>
      </w:r>
    </w:p>
    <w:p>
      <w:pPr>
        <w:pStyle w:val="7"/>
        <w:spacing w:before="0" w:beforeAutospacing="0" w:after="0" w:afterAutospacing="0" w:line="360" w:lineRule="auto"/>
        <w:ind w:firstLine="420"/>
        <w:rPr>
          <w:sz w:val="21"/>
          <w:szCs w:val="21"/>
        </w:rPr>
      </w:pPr>
      <w:r>
        <w:rPr>
          <w:rFonts w:hint="eastAsia"/>
          <w:sz w:val="21"/>
          <w:szCs w:val="21"/>
        </w:rPr>
        <w:t xml:space="preserve">（二）基金管理人与基金托管人之间因本协议产生的或与本协议有关的争议可通过友好协商解决。如经友好协商未能解决的，则任何一方有权将争议提交中国国际经济贸易仲裁委员会，并按其时有效的仲裁规则进行仲裁，仲裁地点为北京市。仲裁裁决是终局的，对仲裁各方当事人均具有约束力。除非仲裁裁决另有规定，仲裁费用和律师费由败诉方承担。 </w:t>
      </w:r>
    </w:p>
    <w:p>
      <w:pPr>
        <w:pStyle w:val="7"/>
        <w:spacing w:before="0" w:beforeAutospacing="0" w:after="0" w:afterAutospacing="0" w:line="360" w:lineRule="auto"/>
        <w:ind w:firstLine="420"/>
        <w:rPr>
          <w:sz w:val="21"/>
          <w:szCs w:val="21"/>
        </w:rPr>
      </w:pPr>
      <w:r>
        <w:rPr>
          <w:rFonts w:hint="eastAsia"/>
          <w:sz w:val="21"/>
          <w:szCs w:val="21"/>
        </w:rPr>
        <w:t xml:space="preserve">（三）除争议所涉的内容之外，本协议的当事人仍应履行本协议的其他规定。 </w:t>
      </w:r>
    </w:p>
    <w:p>
      <w:pPr>
        <w:pStyle w:val="7"/>
        <w:spacing w:before="0" w:beforeAutospacing="0" w:after="0" w:afterAutospacing="0" w:line="360" w:lineRule="auto"/>
        <w:ind w:firstLine="420"/>
        <w:rPr>
          <w:sz w:val="21"/>
          <w:szCs w:val="21"/>
        </w:rPr>
      </w:pPr>
      <w:r>
        <w:rPr>
          <w:rFonts w:hint="eastAsia"/>
          <w:sz w:val="21"/>
          <w:szCs w:val="21"/>
        </w:rPr>
        <w:t xml:space="preserve">八、托管协议的变更、终止与基金财产的清算 </w:t>
      </w:r>
    </w:p>
    <w:p>
      <w:pPr>
        <w:pStyle w:val="7"/>
        <w:spacing w:before="0" w:beforeAutospacing="0" w:after="0" w:afterAutospacing="0" w:line="360" w:lineRule="auto"/>
        <w:ind w:firstLine="420"/>
        <w:rPr>
          <w:sz w:val="21"/>
          <w:szCs w:val="21"/>
        </w:rPr>
      </w:pPr>
      <w:r>
        <w:rPr>
          <w:rFonts w:hint="eastAsia"/>
          <w:sz w:val="21"/>
          <w:szCs w:val="21"/>
        </w:rPr>
        <w:t xml:space="preserve">（一）托管协议的变更 </w:t>
      </w:r>
    </w:p>
    <w:p>
      <w:pPr>
        <w:pStyle w:val="7"/>
        <w:spacing w:before="0" w:beforeAutospacing="0" w:after="0" w:afterAutospacing="0" w:line="360" w:lineRule="auto"/>
        <w:ind w:firstLine="420"/>
        <w:rPr>
          <w:sz w:val="21"/>
          <w:szCs w:val="21"/>
        </w:rPr>
      </w:pPr>
      <w:r>
        <w:rPr>
          <w:rFonts w:hint="eastAsia"/>
          <w:sz w:val="21"/>
          <w:szCs w:val="21"/>
        </w:rPr>
        <w:t xml:space="preserve">本协议双方当事人经协商一致，可以对协议进行变更。变更后的新协议，其内容不得与《基金合同》的规定有任何冲突。变更后的新协议应当报中国证监会备案。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（二）托管协议的终止 </w:t>
      </w:r>
    </w:p>
    <w:p>
      <w:pPr>
        <w:pStyle w:val="7"/>
        <w:spacing w:before="0" w:beforeAutospacing="0" w:after="0" w:afterAutospacing="0" w:line="360" w:lineRule="auto"/>
        <w:ind w:firstLine="420"/>
        <w:rPr>
          <w:sz w:val="21"/>
          <w:szCs w:val="21"/>
        </w:rPr>
      </w:pPr>
      <w:r>
        <w:rPr>
          <w:rFonts w:hint="eastAsia"/>
          <w:sz w:val="21"/>
          <w:szCs w:val="21"/>
        </w:rPr>
        <w:t xml:space="preserve">发生以下情况，本托管协议应当终止： </w:t>
      </w:r>
    </w:p>
    <w:p>
      <w:pPr>
        <w:pStyle w:val="7"/>
        <w:spacing w:before="0" w:beforeAutospacing="0" w:after="0" w:afterAutospacing="0" w:line="360" w:lineRule="auto"/>
        <w:ind w:firstLine="420"/>
        <w:rPr>
          <w:sz w:val="21"/>
          <w:szCs w:val="21"/>
        </w:rPr>
      </w:pPr>
      <w:r>
        <w:rPr>
          <w:rFonts w:hint="eastAsia"/>
          <w:sz w:val="21"/>
          <w:szCs w:val="21"/>
        </w:rPr>
        <w:t xml:space="preserve">1、《基金合同》终止； </w:t>
      </w:r>
    </w:p>
    <w:p>
      <w:pPr>
        <w:pStyle w:val="7"/>
        <w:spacing w:before="0" w:beforeAutospacing="0" w:after="0" w:afterAutospacing="0" w:line="360" w:lineRule="auto"/>
        <w:ind w:firstLine="420"/>
        <w:rPr>
          <w:sz w:val="21"/>
          <w:szCs w:val="21"/>
        </w:rPr>
      </w:pPr>
      <w:r>
        <w:rPr>
          <w:rFonts w:hint="eastAsia"/>
          <w:sz w:val="21"/>
          <w:szCs w:val="21"/>
        </w:rPr>
        <w:t xml:space="preserve">2、本基金更换基金托管人； </w:t>
      </w:r>
    </w:p>
    <w:p>
      <w:pPr>
        <w:pStyle w:val="7"/>
        <w:spacing w:before="0" w:beforeAutospacing="0" w:after="0" w:afterAutospacing="0" w:line="360" w:lineRule="auto"/>
        <w:ind w:firstLine="420"/>
        <w:rPr>
          <w:sz w:val="21"/>
          <w:szCs w:val="21"/>
        </w:rPr>
      </w:pPr>
      <w:r>
        <w:rPr>
          <w:rFonts w:hint="eastAsia"/>
          <w:sz w:val="21"/>
          <w:szCs w:val="21"/>
        </w:rPr>
        <w:t xml:space="preserve">3、本基金更换基金管理人； </w:t>
      </w:r>
    </w:p>
    <w:p>
      <w:pPr>
        <w:pStyle w:val="7"/>
        <w:spacing w:before="0" w:beforeAutospacing="0" w:after="0" w:afterAutospacing="0" w:line="360" w:lineRule="auto"/>
        <w:ind w:firstLine="420"/>
        <w:rPr>
          <w:sz w:val="21"/>
          <w:szCs w:val="21"/>
        </w:rPr>
      </w:pPr>
      <w:r>
        <w:rPr>
          <w:rFonts w:hint="eastAsia"/>
          <w:sz w:val="21"/>
          <w:szCs w:val="21"/>
        </w:rPr>
        <w:t xml:space="preserve">4、发生《基金法》、《运作办法》或其他法律法规规定的终止事项。 </w:t>
      </w:r>
    </w:p>
    <w:p>
      <w:pPr>
        <w:pStyle w:val="7"/>
        <w:spacing w:before="0" w:beforeAutospacing="0" w:after="0" w:afterAutospacing="0" w:line="360" w:lineRule="auto"/>
        <w:ind w:firstLine="420"/>
        <w:rPr>
          <w:sz w:val="21"/>
          <w:szCs w:val="21"/>
        </w:rPr>
      </w:pPr>
      <w:r>
        <w:rPr>
          <w:rFonts w:hint="eastAsia"/>
          <w:sz w:val="21"/>
          <w:szCs w:val="21"/>
        </w:rPr>
        <w:t xml:space="preserve">（三）基金财产的清算 </w:t>
      </w:r>
    </w:p>
    <w:p>
      <w:pPr>
        <w:pStyle w:val="7"/>
        <w:spacing w:before="0" w:beforeAutospacing="0" w:after="0" w:afterAutospacing="0" w:line="360" w:lineRule="auto"/>
        <w:ind w:firstLine="420"/>
        <w:rPr>
          <w:sz w:val="21"/>
          <w:szCs w:val="21"/>
        </w:rPr>
      </w:pPr>
      <w:r>
        <w:rPr>
          <w:rFonts w:hint="eastAsia"/>
          <w:sz w:val="21"/>
          <w:szCs w:val="21"/>
        </w:rPr>
        <w:t>基金管理人和基金托管人应按照《基金合同》及有关法律法规的规定对本基金的财产进</w:t>
      </w:r>
      <w:bookmarkStart w:id="205" w:name="chapter_level1_22_72_section_1_end"/>
      <w:bookmarkEnd w:id="205"/>
      <w:r>
        <w:rPr>
          <w:rFonts w:hint="eastAsia"/>
          <w:sz w:val="21"/>
          <w:szCs w:val="21"/>
        </w:rPr>
        <w:t xml:space="preserve">行清算。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6" w:name="_Toc113628551"/>
      <w:bookmarkStart w:id="207" w:name="chapter_level1_23_75"/>
      <w:r>
        <w:rPr>
          <w:rFonts w:hint="eastAsia" w:ascii="宋体" w:hAnsi="宋体" w:eastAsia="宋体"/>
          <w:sz w:val="30"/>
        </w:rPr>
        <w:t>第二十部分  对基金份额持有人的服务</w:t>
      </w:r>
      <w:bookmarkEnd w:id="206"/>
      <w:bookmarkEnd w:id="207"/>
    </w:p>
    <w:p>
      <w:pPr>
        <w:pStyle w:val="7"/>
        <w:spacing w:before="0" w:beforeAutospacing="0" w:after="0" w:afterAutospacing="0" w:line="360" w:lineRule="auto"/>
        <w:ind w:firstLine="420"/>
        <w:rPr>
          <w:sz w:val="21"/>
          <w:szCs w:val="21"/>
        </w:rPr>
      </w:pPr>
      <w:bookmarkStart w:id="208" w:name="chapter_level1_23_75_section_1"/>
      <w:bookmarkEnd w:id="208"/>
      <w:r>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pPr>
        <w:pStyle w:val="7"/>
        <w:spacing w:before="0" w:beforeAutospacing="0" w:after="0" w:afterAutospacing="0" w:line="360" w:lineRule="auto"/>
        <w:ind w:firstLine="420"/>
        <w:rPr>
          <w:sz w:val="21"/>
          <w:szCs w:val="21"/>
        </w:rPr>
      </w:pPr>
      <w:r>
        <w:rPr>
          <w:rStyle w:val="11"/>
          <w:rFonts w:hint="eastAsia"/>
          <w:sz w:val="21"/>
          <w:szCs w:val="21"/>
        </w:rPr>
        <w:t>一、基金份额持有人交易资料的寄送服务</w:t>
      </w:r>
    </w:p>
    <w:p>
      <w:pPr>
        <w:pStyle w:val="7"/>
        <w:spacing w:before="0" w:beforeAutospacing="0" w:after="0" w:afterAutospacing="0" w:line="360" w:lineRule="auto"/>
        <w:ind w:firstLine="420"/>
        <w:rPr>
          <w:sz w:val="21"/>
          <w:szCs w:val="21"/>
        </w:rPr>
      </w:pPr>
      <w:r>
        <w:rPr>
          <w:rFonts w:hint="eastAsia"/>
          <w:sz w:val="21"/>
          <w:szCs w:val="21"/>
        </w:rPr>
        <w:t xml:space="preserve">1、交易确认单 </w:t>
      </w:r>
    </w:p>
    <w:p>
      <w:pPr>
        <w:pStyle w:val="7"/>
        <w:spacing w:before="0" w:beforeAutospacing="0" w:after="0" w:afterAutospacing="0" w:line="360" w:lineRule="auto"/>
        <w:ind w:firstLine="420"/>
        <w:rPr>
          <w:sz w:val="21"/>
          <w:szCs w:val="21"/>
        </w:rPr>
      </w:pPr>
      <w:r>
        <w:rPr>
          <w:rFonts w:hint="eastAsia"/>
          <w:sz w:val="21"/>
          <w:szCs w:val="21"/>
        </w:rPr>
        <w:t xml:space="preserve">基金合同生效后正常开放期，每次交易结束后，投资者可在T+2 个工作日后通过销售机构的网点柜台或以销售机构规定的其他方式查询和打印交易确认单，或在T+1个工作日后通过博时一线通电话、博时网站查询交易确认情况。基金管理人不向投资者寄送交易确认单。 </w:t>
      </w:r>
    </w:p>
    <w:p>
      <w:pPr>
        <w:pStyle w:val="7"/>
        <w:spacing w:before="0" w:beforeAutospacing="0" w:after="0" w:afterAutospacing="0" w:line="360" w:lineRule="auto"/>
        <w:ind w:firstLine="420"/>
        <w:rPr>
          <w:sz w:val="21"/>
          <w:szCs w:val="21"/>
        </w:rPr>
      </w:pPr>
      <w:r>
        <w:rPr>
          <w:rFonts w:hint="eastAsia"/>
          <w:sz w:val="21"/>
          <w:szCs w:val="21"/>
        </w:rPr>
        <w:t xml:space="preserve">2、电子对账单  </w:t>
      </w:r>
    </w:p>
    <w:p>
      <w:pPr>
        <w:pStyle w:val="7"/>
        <w:spacing w:before="0" w:beforeAutospacing="0" w:after="0" w:afterAutospacing="0" w:line="360" w:lineRule="auto"/>
        <w:ind w:firstLine="420"/>
        <w:rPr>
          <w:sz w:val="21"/>
          <w:szCs w:val="21"/>
        </w:rPr>
      </w:pPr>
      <w:r>
        <w:rPr>
          <w:rFonts w:hint="eastAsia"/>
          <w:sz w:val="21"/>
          <w:szCs w:val="21"/>
        </w:rPr>
        <w:t xml:space="preserve">每月结束后，基金管理人向所有订阅电子邮件对账单的投资者发送电子邮件对账单。 </w:t>
      </w:r>
    </w:p>
    <w:p>
      <w:pPr>
        <w:pStyle w:val="7"/>
        <w:spacing w:before="0" w:beforeAutospacing="0" w:after="0" w:afterAutospacing="0" w:line="360" w:lineRule="auto"/>
        <w:ind w:firstLine="420"/>
        <w:rPr>
          <w:sz w:val="21"/>
          <w:szCs w:val="21"/>
        </w:rPr>
      </w:pPr>
      <w:r>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pPr>
        <w:pStyle w:val="7"/>
        <w:spacing w:before="0" w:beforeAutospacing="0" w:after="0" w:afterAutospacing="0" w:line="360" w:lineRule="auto"/>
        <w:ind w:firstLine="420"/>
        <w:rPr>
          <w:sz w:val="21"/>
          <w:szCs w:val="21"/>
        </w:rPr>
      </w:pPr>
      <w:r>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pPr>
        <w:pStyle w:val="7"/>
        <w:spacing w:before="0" w:beforeAutospacing="0" w:after="0" w:afterAutospacing="0" w:line="360" w:lineRule="auto"/>
        <w:ind w:firstLine="420"/>
        <w:rPr>
          <w:sz w:val="21"/>
          <w:szCs w:val="21"/>
        </w:rPr>
      </w:pPr>
      <w:r>
        <w:rPr>
          <w:rStyle w:val="11"/>
          <w:rFonts w:hint="eastAsia"/>
          <w:sz w:val="21"/>
          <w:szCs w:val="21"/>
        </w:rPr>
        <w:t>二、网上理财服务</w:t>
      </w:r>
    </w:p>
    <w:p>
      <w:pPr>
        <w:pStyle w:val="7"/>
        <w:spacing w:before="0" w:beforeAutospacing="0" w:after="0" w:afterAutospacing="0" w:line="360" w:lineRule="auto"/>
        <w:ind w:firstLine="420"/>
        <w:rPr>
          <w:sz w:val="21"/>
          <w:szCs w:val="21"/>
        </w:rPr>
      </w:pPr>
      <w:r>
        <w:rPr>
          <w:rFonts w:hint="eastAsia"/>
          <w:sz w:val="21"/>
          <w:szCs w:val="21"/>
        </w:rPr>
        <w:t xml:space="preserve">通过基金管理人网站，投资者可获得如下服务： </w:t>
      </w:r>
    </w:p>
    <w:p>
      <w:pPr>
        <w:pStyle w:val="7"/>
        <w:spacing w:before="0" w:beforeAutospacing="0" w:after="0" w:afterAutospacing="0" w:line="360" w:lineRule="auto"/>
        <w:ind w:firstLine="420"/>
        <w:rPr>
          <w:sz w:val="21"/>
          <w:szCs w:val="21"/>
        </w:rPr>
      </w:pPr>
      <w:r>
        <w:rPr>
          <w:rFonts w:hint="eastAsia"/>
          <w:sz w:val="21"/>
          <w:szCs w:val="21"/>
        </w:rPr>
        <w:t xml:space="preserve">1、自助开户交易 </w:t>
      </w:r>
    </w:p>
    <w:p>
      <w:pPr>
        <w:pStyle w:val="7"/>
        <w:spacing w:before="0" w:beforeAutospacing="0" w:after="0" w:afterAutospacing="0" w:line="360" w:lineRule="auto"/>
        <w:ind w:firstLine="420"/>
        <w:rPr>
          <w:sz w:val="21"/>
          <w:szCs w:val="21"/>
        </w:rPr>
      </w:pPr>
      <w:r>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pPr>
        <w:pStyle w:val="7"/>
        <w:spacing w:before="0" w:beforeAutospacing="0" w:after="0" w:afterAutospacing="0" w:line="360" w:lineRule="auto"/>
        <w:ind w:firstLine="420"/>
        <w:rPr>
          <w:sz w:val="21"/>
          <w:szCs w:val="21"/>
        </w:rPr>
      </w:pPr>
      <w:r>
        <w:rPr>
          <w:rFonts w:hint="eastAsia"/>
          <w:sz w:val="21"/>
          <w:szCs w:val="21"/>
        </w:rPr>
        <w:t xml:space="preserve">2、查询服务 </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投资者可以通过基金管理人网站查询所持有基金的基金份额、交易记录等信息，同时可以修改基金账户信息等基本资料。 </w:t>
      </w:r>
    </w:p>
    <w:p>
      <w:pPr>
        <w:pStyle w:val="7"/>
        <w:spacing w:before="0" w:beforeAutospacing="0" w:after="0" w:afterAutospacing="0" w:line="360" w:lineRule="auto"/>
        <w:ind w:firstLine="420"/>
        <w:rPr>
          <w:sz w:val="21"/>
          <w:szCs w:val="21"/>
        </w:rPr>
      </w:pPr>
      <w:r>
        <w:rPr>
          <w:rFonts w:hint="eastAsia"/>
          <w:sz w:val="21"/>
          <w:szCs w:val="21"/>
        </w:rPr>
        <w:t xml:space="preserve">3、信息资讯服务 </w:t>
      </w:r>
    </w:p>
    <w:p>
      <w:pPr>
        <w:pStyle w:val="7"/>
        <w:spacing w:before="0" w:beforeAutospacing="0" w:after="0" w:afterAutospacing="0" w:line="360" w:lineRule="auto"/>
        <w:ind w:firstLine="420"/>
        <w:rPr>
          <w:sz w:val="21"/>
          <w:szCs w:val="21"/>
        </w:rPr>
      </w:pPr>
      <w:r>
        <w:rPr>
          <w:rFonts w:hint="eastAsia"/>
          <w:sz w:val="21"/>
          <w:szCs w:val="21"/>
        </w:rPr>
        <w:t xml:space="preserve">投资者可以利用基金管理人网站获取基金和基金管理人各类信息，包括基金法律文件、基金管理人最新动态、热点问题等。 </w:t>
      </w:r>
    </w:p>
    <w:p>
      <w:pPr>
        <w:pStyle w:val="7"/>
        <w:spacing w:before="0" w:beforeAutospacing="0" w:after="0" w:afterAutospacing="0" w:line="360" w:lineRule="auto"/>
        <w:ind w:firstLine="420"/>
        <w:rPr>
          <w:sz w:val="21"/>
          <w:szCs w:val="21"/>
        </w:rPr>
      </w:pPr>
      <w:r>
        <w:rPr>
          <w:rFonts w:hint="eastAsia"/>
          <w:sz w:val="21"/>
          <w:szCs w:val="21"/>
        </w:rPr>
        <w:t xml:space="preserve">4、在线客服 </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投资者可以通过基金管理人网站首页“在线客服”功能进行在线咨询。也可以在“您问我答”栏目中，直接提出有关本基金的问题和建议。 </w:t>
      </w:r>
    </w:p>
    <w:p>
      <w:pPr>
        <w:pStyle w:val="7"/>
        <w:spacing w:before="0" w:beforeAutospacing="0" w:after="0" w:afterAutospacing="0" w:line="360" w:lineRule="auto"/>
        <w:ind w:firstLine="420"/>
        <w:rPr>
          <w:sz w:val="21"/>
          <w:szCs w:val="21"/>
        </w:rPr>
      </w:pPr>
      <w:r>
        <w:rPr>
          <w:rStyle w:val="11"/>
          <w:rFonts w:hint="eastAsia"/>
          <w:sz w:val="21"/>
          <w:szCs w:val="21"/>
        </w:rPr>
        <w:t>三、短信服务</w:t>
      </w:r>
    </w:p>
    <w:p>
      <w:pPr>
        <w:pStyle w:val="7"/>
        <w:spacing w:before="0" w:beforeAutospacing="0" w:after="0" w:afterAutospacing="0" w:line="360" w:lineRule="auto"/>
        <w:ind w:firstLine="420"/>
        <w:rPr>
          <w:sz w:val="21"/>
          <w:szCs w:val="21"/>
        </w:rPr>
      </w:pPr>
      <w:r>
        <w:rPr>
          <w:rFonts w:hint="eastAsia"/>
          <w:sz w:val="21"/>
          <w:szCs w:val="21"/>
        </w:rPr>
        <w:t xml:space="preserve">基金管理人向订制短信服务的基金份额持有人提供相应短信服务。 </w:t>
      </w:r>
    </w:p>
    <w:p>
      <w:pPr>
        <w:pStyle w:val="7"/>
        <w:spacing w:before="0" w:beforeAutospacing="0" w:after="0" w:afterAutospacing="0" w:line="360" w:lineRule="auto"/>
        <w:ind w:firstLine="420"/>
        <w:rPr>
          <w:sz w:val="21"/>
          <w:szCs w:val="21"/>
        </w:rPr>
      </w:pPr>
      <w:r>
        <w:rPr>
          <w:rStyle w:val="11"/>
          <w:rFonts w:hint="eastAsia"/>
          <w:sz w:val="21"/>
          <w:szCs w:val="21"/>
        </w:rPr>
        <w:t>四、电子邮件服务</w:t>
      </w:r>
    </w:p>
    <w:p>
      <w:pPr>
        <w:pStyle w:val="7"/>
        <w:spacing w:before="0" w:beforeAutospacing="0" w:after="0" w:afterAutospacing="0" w:line="360" w:lineRule="auto"/>
        <w:ind w:firstLine="420"/>
        <w:rPr>
          <w:sz w:val="21"/>
          <w:szCs w:val="21"/>
        </w:rPr>
      </w:pPr>
      <w:r>
        <w:rPr>
          <w:rFonts w:hint="eastAsia"/>
          <w:sz w:val="21"/>
          <w:szCs w:val="21"/>
        </w:rPr>
        <w:t>基金管理人为投资者提供电子邮件方式的业务咨询、投诉受理、基金份额净值查询等服</w:t>
      </w:r>
      <w:bookmarkStart w:id="209" w:name="chapter_level1_23_75_section_1_end"/>
      <w:bookmarkEnd w:id="209"/>
      <w:r>
        <w:rPr>
          <w:rFonts w:hint="eastAsia"/>
          <w:sz w:val="21"/>
          <w:szCs w:val="21"/>
        </w:rPr>
        <w:t xml:space="preserve">务。 </w:t>
      </w:r>
    </w:p>
    <w:p>
      <w:pPr>
        <w:pStyle w:val="7"/>
        <w:spacing w:before="0" w:beforeAutospacing="0" w:after="0" w:afterAutospacing="0" w:line="360" w:lineRule="auto"/>
        <w:ind w:firstLine="420"/>
        <w:rPr>
          <w:sz w:val="21"/>
          <w:szCs w:val="21"/>
        </w:rPr>
      </w:pPr>
      <w:bookmarkStart w:id="210" w:name="chapter_level1_23_75_section_2"/>
      <w:bookmarkEnd w:id="210"/>
      <w:r>
        <w:rPr>
          <w:rStyle w:val="11"/>
          <w:rFonts w:hint="eastAsia"/>
          <w:sz w:val="21"/>
          <w:szCs w:val="21"/>
        </w:rPr>
        <w:t>五、手机理财服务</w:t>
      </w:r>
    </w:p>
    <w:p>
      <w:pPr>
        <w:pStyle w:val="7"/>
        <w:spacing w:before="0" w:beforeAutospacing="0" w:after="0" w:afterAutospacing="0" w:line="360" w:lineRule="auto"/>
        <w:ind w:firstLine="420"/>
        <w:rPr>
          <w:sz w:val="21"/>
          <w:szCs w:val="21"/>
        </w:rPr>
      </w:pPr>
      <w:r>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pPr>
        <w:pStyle w:val="7"/>
        <w:spacing w:before="0" w:beforeAutospacing="0" w:after="0" w:afterAutospacing="0" w:line="360" w:lineRule="auto"/>
        <w:ind w:firstLine="420"/>
        <w:rPr>
          <w:sz w:val="21"/>
          <w:szCs w:val="21"/>
        </w:rPr>
      </w:pPr>
      <w:r>
        <w:rPr>
          <w:rStyle w:val="11"/>
          <w:rFonts w:hint="eastAsia"/>
          <w:sz w:val="21"/>
          <w:szCs w:val="21"/>
        </w:rPr>
        <w:t>六、信息订阅服务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投资者可以通过基金管理人网站、客服中心提交信息订制的申请，基金管理人将以电子邮件、手机短信的形式定期为投资者发送所订制的信息。 </w:t>
      </w:r>
    </w:p>
    <w:p>
      <w:pPr>
        <w:pStyle w:val="7"/>
        <w:spacing w:before="0" w:beforeAutospacing="0" w:after="0" w:afterAutospacing="0" w:line="360" w:lineRule="auto"/>
        <w:ind w:firstLine="420"/>
        <w:rPr>
          <w:sz w:val="21"/>
          <w:szCs w:val="21"/>
        </w:rPr>
      </w:pPr>
      <w:r>
        <w:rPr>
          <w:rStyle w:val="11"/>
          <w:rFonts w:hint="eastAsia"/>
          <w:sz w:val="21"/>
          <w:szCs w:val="21"/>
        </w:rPr>
        <w:t>七、电话理财服务</w:t>
      </w:r>
    </w:p>
    <w:p>
      <w:pPr>
        <w:pStyle w:val="7"/>
        <w:spacing w:before="0" w:beforeAutospacing="0" w:after="0" w:afterAutospacing="0" w:line="360" w:lineRule="auto"/>
        <w:ind w:firstLine="420"/>
        <w:rPr>
          <w:sz w:val="21"/>
          <w:szCs w:val="21"/>
        </w:rPr>
      </w:pPr>
      <w:r>
        <w:rPr>
          <w:rFonts w:hint="eastAsia"/>
          <w:sz w:val="21"/>
          <w:szCs w:val="21"/>
        </w:rPr>
        <w:t xml:space="preserve">投资者拨打博时一线通：95105568（免长途话费）可享有投资理财交易的一站式综合服务： </w:t>
      </w:r>
    </w:p>
    <w:p>
      <w:pPr>
        <w:pStyle w:val="7"/>
        <w:spacing w:before="0" w:beforeAutospacing="0" w:after="0" w:afterAutospacing="0" w:line="360" w:lineRule="auto"/>
        <w:ind w:firstLine="420"/>
        <w:rPr>
          <w:sz w:val="21"/>
          <w:szCs w:val="21"/>
        </w:rPr>
      </w:pPr>
      <w:r>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pPr>
        <w:pStyle w:val="7"/>
        <w:spacing w:before="0" w:beforeAutospacing="0" w:after="0" w:afterAutospacing="0" w:line="360" w:lineRule="auto"/>
        <w:ind w:firstLine="420"/>
        <w:rPr>
          <w:sz w:val="21"/>
          <w:szCs w:val="21"/>
        </w:rPr>
      </w:pPr>
      <w:r>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pPr>
        <w:pStyle w:val="7"/>
        <w:spacing w:before="0" w:beforeAutospacing="0" w:after="0" w:afterAutospacing="0" w:line="360" w:lineRule="auto"/>
        <w:ind w:firstLine="420"/>
        <w:rPr>
          <w:sz w:val="21"/>
          <w:szCs w:val="21"/>
        </w:rPr>
      </w:pPr>
      <w:r>
        <w:rPr>
          <w:rFonts w:hint="eastAsia"/>
          <w:sz w:val="21"/>
          <w:szCs w:val="21"/>
        </w:rPr>
        <w:t xml:space="preserve">3、人工电话服务：投资者可以获得业务咨询、信息查询、资料修改、投诉受理、信息订制、账户诊断等服务。 </w:t>
      </w:r>
    </w:p>
    <w:p>
      <w:pPr>
        <w:pStyle w:val="7"/>
        <w:spacing w:before="0" w:beforeAutospacing="0" w:after="0" w:afterAutospacing="0" w:line="360" w:lineRule="auto"/>
        <w:ind w:firstLine="420"/>
        <w:rPr>
          <w:sz w:val="21"/>
          <w:szCs w:val="21"/>
        </w:rPr>
      </w:pPr>
      <w:r>
        <w:rPr>
          <w:rFonts w:hint="eastAsia"/>
          <w:sz w:val="21"/>
          <w:szCs w:val="21"/>
        </w:rPr>
        <w:t xml:space="preserve">4、电话留言服务：非人工服务时间或线路繁忙时，投资者可进行电话留言。 </w:t>
      </w:r>
    </w:p>
    <w:p>
      <w:pPr>
        <w:pStyle w:val="7"/>
        <w:spacing w:before="0" w:beforeAutospacing="0" w:after="0" w:afterAutospacing="0" w:line="360" w:lineRule="auto"/>
        <w:ind w:firstLine="420"/>
        <w:rPr>
          <w:sz w:val="21"/>
          <w:szCs w:val="21"/>
        </w:rPr>
      </w:pPr>
      <w:r>
        <w:rPr>
          <w:rStyle w:val="11"/>
          <w:rFonts w:hint="eastAsia"/>
          <w:sz w:val="21"/>
          <w:szCs w:val="21"/>
        </w:rPr>
        <w:t>八、基金管理人联系方式</w:t>
      </w:r>
    </w:p>
    <w:p>
      <w:pPr>
        <w:pStyle w:val="7"/>
        <w:spacing w:before="0" w:beforeAutospacing="0" w:after="0" w:afterAutospacing="0" w:line="360" w:lineRule="auto"/>
        <w:ind w:firstLine="420"/>
        <w:rPr>
          <w:sz w:val="21"/>
          <w:szCs w:val="21"/>
        </w:rPr>
      </w:pPr>
      <w:r>
        <w:rPr>
          <w:rFonts w:hint="eastAsia"/>
          <w:sz w:val="21"/>
          <w:szCs w:val="21"/>
        </w:rPr>
        <w:t xml:space="preserve">基金管理人的互联网地址及电子信箱 </w:t>
      </w:r>
    </w:p>
    <w:p>
      <w:pPr>
        <w:pStyle w:val="7"/>
        <w:spacing w:before="0" w:beforeAutospacing="0" w:after="0" w:afterAutospacing="0" w:line="360" w:lineRule="auto"/>
        <w:ind w:firstLine="420"/>
        <w:rPr>
          <w:sz w:val="21"/>
          <w:szCs w:val="21"/>
        </w:rPr>
      </w:pPr>
      <w:r>
        <w:rPr>
          <w:rFonts w:hint="eastAsia"/>
          <w:sz w:val="21"/>
          <w:szCs w:val="21"/>
        </w:rPr>
        <w:t xml:space="preserve">网址： www.bosera.com </w:t>
      </w:r>
    </w:p>
    <w:p>
      <w:pPr>
        <w:pStyle w:val="7"/>
        <w:spacing w:before="0" w:beforeAutospacing="0" w:after="0" w:afterAutospacing="0" w:line="360" w:lineRule="auto"/>
        <w:ind w:firstLine="420"/>
        <w:rPr>
          <w:sz w:val="21"/>
          <w:szCs w:val="21"/>
        </w:rPr>
      </w:pPr>
      <w:r>
        <w:rPr>
          <w:rFonts w:hint="eastAsia"/>
          <w:sz w:val="21"/>
          <w:szCs w:val="21"/>
        </w:rPr>
        <w:t>电子信箱：</w:t>
      </w:r>
      <w:r>
        <w:fldChar w:fldCharType="begin"/>
      </w:r>
      <w:r>
        <w:instrText xml:space="preserve"> HYPERLINK "mailto:service@bosera.com" </w:instrText>
      </w:r>
      <w:r>
        <w:fldChar w:fldCharType="separate"/>
      </w:r>
      <w:r>
        <w:rPr>
          <w:rStyle w:val="12"/>
          <w:rFonts w:hint="eastAsia"/>
          <w:sz w:val="21"/>
          <w:szCs w:val="21"/>
        </w:rPr>
        <w:t>service@bosera.com</w:t>
      </w:r>
      <w:r>
        <w:rPr>
          <w:rStyle w:val="12"/>
          <w:rFonts w:hint="eastAsia"/>
          <w:sz w:val="21"/>
          <w:szCs w:val="21"/>
        </w:rPr>
        <w:fldChar w:fldCharType="end"/>
      </w:r>
    </w:p>
    <w:p>
      <w:pPr>
        <w:pStyle w:val="7"/>
        <w:spacing w:before="0" w:beforeAutospacing="0" w:after="0" w:afterAutospacing="0" w:line="360" w:lineRule="auto"/>
        <w:ind w:firstLine="420"/>
        <w:rPr>
          <w:sz w:val="21"/>
          <w:szCs w:val="21"/>
        </w:rPr>
      </w:pPr>
      <w:r>
        <w:rPr>
          <w:rStyle w:val="11"/>
          <w:rFonts w:hint="eastAsia"/>
          <w:sz w:val="21"/>
          <w:szCs w:val="21"/>
        </w:rPr>
        <w:t>九、如本招募说明书存在任何您/贵机构无法理解的内容，请通过上述方式联系基金管</w:t>
      </w:r>
      <w:bookmarkStart w:id="211" w:name="chapter_level1_23_75_section_2_end"/>
      <w:bookmarkEnd w:id="211"/>
      <w:r>
        <w:rPr>
          <w:rStyle w:val="11"/>
          <w:rFonts w:hint="eastAsia"/>
          <w:sz w:val="21"/>
          <w:szCs w:val="21"/>
        </w:rPr>
        <w:t>理人。请确保投资前，您/贵机构已经全面理解了本招募说明书。</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2" w:name="chapter_level1_24_3499"/>
      <w:bookmarkStart w:id="213" w:name="_Toc113628552"/>
      <w:r>
        <w:rPr>
          <w:rFonts w:hint="eastAsia" w:ascii="宋体" w:hAnsi="宋体" w:eastAsia="宋体"/>
          <w:sz w:val="30"/>
        </w:rPr>
        <w:t>第二十一部分 其他应披露的事项</w:t>
      </w:r>
      <w:bookmarkEnd w:id="212"/>
      <w:bookmarkEnd w:id="213"/>
    </w:p>
    <w:p>
      <w:pPr>
        <w:pStyle w:val="7"/>
        <w:spacing w:before="0" w:beforeAutospacing="0" w:after="0" w:afterAutospacing="0" w:line="360" w:lineRule="auto"/>
        <w:ind w:firstLine="420"/>
        <w:rPr>
          <w:sz w:val="21"/>
          <w:szCs w:val="21"/>
        </w:rPr>
      </w:pPr>
      <w:bookmarkStart w:id="214" w:name="field_0_bsrevealinfo_1_start"/>
      <w:bookmarkEnd w:id="214"/>
      <w:bookmarkStart w:id="215" w:name="chapter_level1_24_3499_section_1"/>
      <w:bookmarkEnd w:id="215"/>
      <w:r>
        <w:rPr>
          <w:rFonts w:hint="eastAsia"/>
          <w:sz w:val="21"/>
          <w:szCs w:val="21"/>
        </w:rPr>
        <w:t>（一）、 2022年08月31日，我公司公告了《博时逆向投资混合型证券投资基金2022年中期报告》；</w:t>
      </w:r>
    </w:p>
    <w:p>
      <w:pPr>
        <w:pStyle w:val="7"/>
        <w:spacing w:before="0" w:beforeAutospacing="0" w:after="0" w:afterAutospacing="0" w:line="360" w:lineRule="auto"/>
        <w:ind w:firstLine="420"/>
        <w:rPr>
          <w:sz w:val="21"/>
          <w:szCs w:val="21"/>
        </w:rPr>
      </w:pPr>
      <w:r>
        <w:rPr>
          <w:rFonts w:hint="eastAsia"/>
          <w:sz w:val="21"/>
          <w:szCs w:val="21"/>
        </w:rPr>
        <w:t>（二）、 2022年08月29日，我公司公告了《博时基金管理有限公司关于直销网上交易开通广发银行快捷开户和支付服务及费率优惠的公告》；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（三）、 2022年08月25日，我公司公告了《博时逆向投资混合型证券投资基金（博时逆向投资混合A）基金产品资料概要更新》、《博时逆向投资混合型证券投资基金（博时逆向投资混合C）基金产品资料概要更新》；</w:t>
      </w:r>
    </w:p>
    <w:p>
      <w:pPr>
        <w:pStyle w:val="7"/>
        <w:spacing w:before="0" w:beforeAutospacing="0" w:after="0" w:afterAutospacing="0" w:line="360" w:lineRule="auto"/>
        <w:ind w:firstLine="420"/>
        <w:rPr>
          <w:sz w:val="21"/>
          <w:szCs w:val="21"/>
        </w:rPr>
      </w:pPr>
      <w:r>
        <w:rPr>
          <w:rFonts w:hint="eastAsia"/>
          <w:sz w:val="21"/>
          <w:szCs w:val="21"/>
        </w:rPr>
        <w:t>（四）、 2022年08月22日，我公司公告了《博时基金管理有限公司旗下基金在兴业银行钱大掌柜开展费率优惠活动的公告》；</w:t>
      </w:r>
    </w:p>
    <w:p>
      <w:pPr>
        <w:pStyle w:val="7"/>
        <w:spacing w:before="0" w:beforeAutospacing="0" w:after="0" w:afterAutospacing="0" w:line="360" w:lineRule="auto"/>
        <w:ind w:firstLine="420"/>
        <w:rPr>
          <w:sz w:val="21"/>
          <w:szCs w:val="21"/>
        </w:rPr>
      </w:pPr>
      <w:r>
        <w:rPr>
          <w:rFonts w:hint="eastAsia"/>
          <w:sz w:val="21"/>
          <w:szCs w:val="21"/>
        </w:rPr>
        <w:t>（五）、 2022年07月21日，我公司公告了《博时逆向投资混合型证券投资基金2022年第2季度报告》；</w:t>
      </w:r>
    </w:p>
    <w:p>
      <w:pPr>
        <w:pStyle w:val="7"/>
        <w:spacing w:before="0" w:beforeAutospacing="0" w:after="0" w:afterAutospacing="0" w:line="360" w:lineRule="auto"/>
        <w:ind w:firstLine="420"/>
        <w:rPr>
          <w:sz w:val="21"/>
          <w:szCs w:val="21"/>
        </w:rPr>
      </w:pPr>
      <w:r>
        <w:rPr>
          <w:rFonts w:hint="eastAsia"/>
          <w:sz w:val="21"/>
          <w:szCs w:val="21"/>
        </w:rPr>
        <w:t>（六）、 2022年07月18日，我公司公告了《博时基金管理有限公司关于旗下所有前端收费模式基金在直销柜台实施费率优惠的公告》；</w:t>
      </w:r>
    </w:p>
    <w:p>
      <w:pPr>
        <w:pStyle w:val="7"/>
        <w:spacing w:before="0" w:beforeAutospacing="0" w:after="0" w:afterAutospacing="0" w:line="360" w:lineRule="auto"/>
        <w:ind w:firstLine="420"/>
        <w:rPr>
          <w:sz w:val="21"/>
          <w:szCs w:val="21"/>
        </w:rPr>
      </w:pPr>
      <w:r>
        <w:rPr>
          <w:rFonts w:hint="eastAsia"/>
          <w:sz w:val="21"/>
          <w:szCs w:val="21"/>
        </w:rPr>
        <w:t>（七）、 2022年07月16日，我公司公告了《博时基金管理有限公司关于暂停北京微动利基金销售有限公司办理旗下基金相关销售业务的公告》、《博时基金管理有限公司关于暂停喜鹊财富基金销售有限公司办理旗下基金相关销售业务的公告》；</w:t>
      </w:r>
    </w:p>
    <w:p>
      <w:pPr>
        <w:pStyle w:val="7"/>
        <w:spacing w:before="0" w:beforeAutospacing="0" w:after="0" w:afterAutospacing="0" w:line="360" w:lineRule="auto"/>
        <w:ind w:firstLine="420"/>
        <w:rPr>
          <w:sz w:val="21"/>
          <w:szCs w:val="21"/>
        </w:rPr>
      </w:pPr>
      <w:r>
        <w:rPr>
          <w:rFonts w:hint="eastAsia"/>
          <w:sz w:val="21"/>
          <w:szCs w:val="21"/>
        </w:rPr>
        <w:t>（八）、 2022年07月05日，我公司公告了《博时基金管理有限公司关于部分基金在招赢通平台开展费率优惠活动的公告》；</w:t>
      </w:r>
    </w:p>
    <w:p>
      <w:pPr>
        <w:pStyle w:val="7"/>
        <w:spacing w:before="0" w:beforeAutospacing="0" w:after="0" w:afterAutospacing="0" w:line="360" w:lineRule="auto"/>
        <w:ind w:firstLine="420"/>
        <w:rPr>
          <w:sz w:val="21"/>
          <w:szCs w:val="21"/>
        </w:rPr>
      </w:pPr>
      <w:r>
        <w:rPr>
          <w:rFonts w:hint="eastAsia"/>
          <w:sz w:val="21"/>
          <w:szCs w:val="21"/>
        </w:rPr>
        <w:t>（九）、 2022年06月24日，我公司公告了《博时逆向投资混合型证券投资基金更新招募说明书》、《博时基金管理有限公司关于调整旗下部分基金的最低持有及最低赎回份额数量限制的公告》；</w:t>
      </w:r>
    </w:p>
    <w:p>
      <w:pPr>
        <w:pStyle w:val="7"/>
        <w:spacing w:before="0" w:beforeAutospacing="0" w:after="0" w:afterAutospacing="0" w:line="360" w:lineRule="auto"/>
        <w:ind w:firstLine="420"/>
        <w:rPr>
          <w:sz w:val="21"/>
          <w:szCs w:val="21"/>
        </w:rPr>
      </w:pPr>
      <w:r>
        <w:rPr>
          <w:rFonts w:hint="eastAsia"/>
          <w:sz w:val="21"/>
          <w:szCs w:val="21"/>
        </w:rPr>
        <w:t>（十）、 2022年06月18日，我公司公告了《博时基金管理有限公司关于旗下基金投资关联方承销期内承销证券的公告》；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（十一）、 2022年04月30日，我公司公告了《博时基金管理有限公司关于旗下基金持有的长期停牌股票调整估值方法的公告-20220430》；</w:t>
      </w:r>
    </w:p>
    <w:p>
      <w:pPr>
        <w:pStyle w:val="7"/>
        <w:spacing w:before="0" w:beforeAutospacing="0" w:after="0" w:afterAutospacing="0" w:line="360" w:lineRule="auto"/>
        <w:ind w:firstLine="420"/>
        <w:rPr>
          <w:sz w:val="21"/>
          <w:szCs w:val="21"/>
        </w:rPr>
      </w:pPr>
      <w:r>
        <w:rPr>
          <w:rFonts w:hint="eastAsia"/>
          <w:sz w:val="21"/>
          <w:szCs w:val="21"/>
        </w:rPr>
        <w:t>（十二）、 2022年04月22日，我公司公告了《博时逆向投资混合型证券投资基金2022年第1季度报告》；</w:t>
      </w:r>
    </w:p>
    <w:p>
      <w:pPr>
        <w:pStyle w:val="7"/>
        <w:spacing w:before="0" w:beforeAutospacing="0" w:after="0" w:afterAutospacing="0" w:line="360" w:lineRule="auto"/>
        <w:ind w:firstLine="420"/>
        <w:rPr>
          <w:sz w:val="21"/>
          <w:szCs w:val="21"/>
        </w:rPr>
      </w:pPr>
      <w:r>
        <w:rPr>
          <w:rFonts w:hint="eastAsia"/>
          <w:sz w:val="21"/>
          <w:szCs w:val="21"/>
        </w:rPr>
        <w:t>（十三）、 2022年03月30日，我公司公告了《博时逆向投资混合型证券投资基金2021年年度报告》；</w:t>
      </w:r>
    </w:p>
    <w:p>
      <w:pPr>
        <w:pStyle w:val="7"/>
        <w:spacing w:before="0" w:beforeAutospacing="0" w:after="0" w:afterAutospacing="0" w:line="360" w:lineRule="auto"/>
        <w:ind w:firstLine="420"/>
        <w:rPr>
          <w:sz w:val="21"/>
          <w:szCs w:val="21"/>
        </w:rPr>
      </w:pPr>
      <w:r>
        <w:rPr>
          <w:rFonts w:hint="eastAsia"/>
          <w:sz w:val="21"/>
          <w:szCs w:val="21"/>
        </w:rPr>
        <w:t>（十四）、 2022年03月14日，我公司公告了《博时基金管理有限公司关于调整直销网上交易定期投资业务影响部分定期投资计划的公告》；</w:t>
      </w:r>
    </w:p>
    <w:p>
      <w:pPr>
        <w:pStyle w:val="7"/>
        <w:spacing w:before="0" w:beforeAutospacing="0" w:after="0" w:afterAutospacing="0" w:line="360" w:lineRule="auto"/>
        <w:ind w:firstLine="420"/>
        <w:rPr>
          <w:sz w:val="21"/>
          <w:szCs w:val="21"/>
        </w:rPr>
      </w:pPr>
      <w:r>
        <w:rPr>
          <w:rFonts w:hint="eastAsia"/>
          <w:sz w:val="21"/>
          <w:szCs w:val="21"/>
        </w:rPr>
        <w:t>（十五）、 2022年02月11日，我公司公告了《博时基金管理有限公司关于部分基金在青岛农商银行直销银行开展费率优惠活动的公告》；</w:t>
      </w:r>
    </w:p>
    <w:p>
      <w:pPr>
        <w:pStyle w:val="7"/>
        <w:spacing w:before="0" w:beforeAutospacing="0" w:after="0" w:afterAutospacing="0" w:line="360" w:lineRule="auto"/>
        <w:ind w:firstLine="420"/>
        <w:rPr>
          <w:sz w:val="21"/>
          <w:szCs w:val="21"/>
        </w:rPr>
      </w:pPr>
      <w:r>
        <w:rPr>
          <w:rFonts w:hint="eastAsia"/>
          <w:sz w:val="21"/>
          <w:szCs w:val="21"/>
        </w:rPr>
        <w:t>（十六）、 2022年01月28日，我公司公告了《博时基金管理有限公司关于公司固有资金投资旗下公募基金的公告》；</w:t>
      </w:r>
    </w:p>
    <w:p>
      <w:pPr>
        <w:pStyle w:val="7"/>
        <w:spacing w:before="0" w:beforeAutospacing="0" w:after="0" w:afterAutospacing="0" w:line="360" w:lineRule="auto"/>
        <w:ind w:firstLine="420"/>
        <w:rPr>
          <w:sz w:val="21"/>
          <w:szCs w:val="21"/>
        </w:rPr>
      </w:pPr>
      <w:r>
        <w:rPr>
          <w:rFonts w:hint="eastAsia"/>
          <w:sz w:val="21"/>
          <w:szCs w:val="21"/>
        </w:rPr>
        <w:t>（十七）、 2022年01月24日，我公司公告了《博时逆向投资混合型证券投资基金2021年第4季度报告》；</w:t>
      </w:r>
    </w:p>
    <w:p>
      <w:pPr>
        <w:pStyle w:val="7"/>
        <w:spacing w:before="0" w:beforeAutospacing="0" w:after="0" w:afterAutospacing="0" w:line="360" w:lineRule="auto"/>
        <w:ind w:firstLine="420"/>
        <w:rPr>
          <w:sz w:val="21"/>
          <w:szCs w:val="21"/>
        </w:rPr>
      </w:pPr>
      <w:r>
        <w:rPr>
          <w:rFonts w:hint="eastAsia"/>
          <w:sz w:val="21"/>
          <w:szCs w:val="21"/>
        </w:rPr>
        <w:t>（十八）、 2022年01月21日，我公司公告了《博时基金管理有限公司关于旗下基金持有的长期停牌股票调整估值方法的公告-20220121》；</w:t>
      </w:r>
    </w:p>
    <w:p>
      <w:pPr>
        <w:pStyle w:val="7"/>
        <w:spacing w:before="0" w:beforeAutospacing="0" w:after="0" w:afterAutospacing="0" w:line="360" w:lineRule="auto"/>
        <w:ind w:firstLine="420"/>
        <w:rPr>
          <w:sz w:val="21"/>
          <w:szCs w:val="21"/>
        </w:rPr>
      </w:pPr>
      <w:r>
        <w:rPr>
          <w:rFonts w:hint="eastAsia"/>
          <w:sz w:val="21"/>
          <w:szCs w:val="21"/>
        </w:rPr>
        <w:t>（十九）、 2022年01月20日，我公司公告了《关于成立博时财富基金销售有限公司的公告》；</w:t>
      </w:r>
    </w:p>
    <w:p>
      <w:pPr>
        <w:pStyle w:val="7"/>
        <w:spacing w:before="0" w:beforeAutospacing="0" w:after="0" w:afterAutospacing="0" w:line="360" w:lineRule="auto"/>
        <w:ind w:firstLine="420"/>
        <w:rPr>
          <w:sz w:val="21"/>
          <w:szCs w:val="21"/>
        </w:rPr>
      </w:pPr>
      <w:r>
        <w:rPr>
          <w:rFonts w:hint="eastAsia"/>
          <w:sz w:val="21"/>
          <w:szCs w:val="21"/>
        </w:rPr>
        <w:t>（二十）、 2022年01月18日，我公司公告了《博时基金管理有限公司关于旗下基金投资关联方承销期内承销证券的公告》；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（二十一）、 2022年01月14日，我公司公告了《博时逆向投资混合型证券投资基金更新招募说明书》、《博时基金管理有限公司关于调整博时逆向投资混合型证券投资基金赎回、转换起点数量及最低持有数量限制的公告》；</w:t>
      </w:r>
    </w:p>
    <w:p>
      <w:pPr>
        <w:pStyle w:val="7"/>
        <w:spacing w:before="0" w:beforeAutospacing="0" w:after="0" w:afterAutospacing="0" w:line="360" w:lineRule="auto"/>
        <w:ind w:firstLine="420"/>
        <w:rPr>
          <w:sz w:val="21"/>
          <w:szCs w:val="21"/>
        </w:rPr>
      </w:pPr>
      <w:r>
        <w:rPr>
          <w:rFonts w:hint="eastAsia"/>
          <w:sz w:val="21"/>
          <w:szCs w:val="21"/>
        </w:rPr>
        <w:t>（二十二）、 2022年01月06日，我公司公告了《博时基金管理有限公司关于暂停使用交通银行非快捷支付服务办理直销网上交易部分业务的公告》；</w:t>
      </w:r>
    </w:p>
    <w:p>
      <w:pPr>
        <w:pStyle w:val="7"/>
        <w:spacing w:before="0" w:beforeAutospacing="0" w:after="0" w:afterAutospacing="0" w:line="360" w:lineRule="auto"/>
        <w:ind w:firstLine="420"/>
        <w:rPr>
          <w:sz w:val="21"/>
          <w:szCs w:val="21"/>
        </w:rPr>
      </w:pPr>
      <w:r>
        <w:rPr>
          <w:rFonts w:hint="eastAsia"/>
          <w:sz w:val="21"/>
          <w:szCs w:val="21"/>
        </w:rPr>
        <w:t>（二十三）、 2022年01月04日，我公司公告了《博时基金管理有限公司关于直销网上交易开通交通银行快捷开户和支付服务及费率优惠的公告》；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（二十四）、 2022年01月01日，我公司公告了《博时基金管理有限公司关于对投资者在直销网上交易申购、认购及定投基金实施费率优惠的公告》、《博时基金管理有限公司关于旗下公开募集证券投资基金执行新金融工具准则的公告》；</w:t>
      </w:r>
    </w:p>
    <w:p>
      <w:pPr>
        <w:pStyle w:val="7"/>
        <w:spacing w:before="0" w:beforeAutospacing="0" w:after="0" w:afterAutospacing="0" w:line="360" w:lineRule="auto"/>
        <w:ind w:firstLine="420"/>
        <w:rPr>
          <w:sz w:val="21"/>
          <w:szCs w:val="21"/>
        </w:rPr>
      </w:pPr>
      <w:r>
        <w:rPr>
          <w:rFonts w:hint="eastAsia"/>
          <w:sz w:val="21"/>
          <w:szCs w:val="21"/>
        </w:rPr>
        <w:t>（二十五）、 2021年11月26日，我公司公告了《博时基金管理有限公司关于旗下部分公开募集证券投资基金可投资北京证券交易所股票的公告》；</w:t>
      </w:r>
    </w:p>
    <w:p>
      <w:pPr>
        <w:pStyle w:val="7"/>
        <w:spacing w:before="0" w:beforeAutospacing="0" w:after="0" w:afterAutospacing="0" w:line="360" w:lineRule="auto"/>
        <w:ind w:firstLine="420"/>
        <w:rPr>
          <w:sz w:val="21"/>
          <w:szCs w:val="21"/>
        </w:rPr>
      </w:pPr>
      <w:r>
        <w:rPr>
          <w:rFonts w:hint="eastAsia"/>
          <w:sz w:val="21"/>
          <w:szCs w:val="21"/>
        </w:rPr>
        <w:t>（二十六）、 2021年10月27日，我公司公告了《博时逆向投资混合型证券投资基金2021年第3季度报告》；</w:t>
      </w:r>
    </w:p>
    <w:p>
      <w:pPr>
        <w:pStyle w:val="7"/>
        <w:spacing w:before="0" w:beforeAutospacing="0" w:after="0" w:afterAutospacing="0" w:line="360" w:lineRule="auto"/>
        <w:ind w:firstLine="420"/>
        <w:rPr>
          <w:sz w:val="21"/>
          <w:szCs w:val="21"/>
        </w:rPr>
      </w:pPr>
      <w:r>
        <w:rPr>
          <w:rFonts w:hint="eastAsia"/>
          <w:sz w:val="21"/>
          <w:szCs w:val="21"/>
        </w:rPr>
        <w:t>（二十七）、 2021年09月30日，我公司公告了《博时基金管理有限公司关于对投资者在直销网上交易申购、认购及定投基金实施费率优惠的公告》、《博时逆向投资混合型证券投资基金更新招募说明书》；</w:t>
      </w:r>
    </w:p>
    <w:p>
      <w:pPr>
        <w:pStyle w:val="7"/>
        <w:spacing w:before="0" w:beforeAutospacing="0" w:after="0" w:afterAutospacing="0" w:line="360" w:lineRule="auto"/>
        <w:ind w:firstLine="420"/>
        <w:rPr>
          <w:sz w:val="21"/>
          <w:szCs w:val="21"/>
        </w:rPr>
      </w:pPr>
      <w:r>
        <w:rPr>
          <w:rFonts w:hint="eastAsia"/>
          <w:sz w:val="21"/>
          <w:szCs w:val="21"/>
        </w:rPr>
        <w:t>（二十八）、 2021年09月28日，我公司公告了《博时基金管理有限公司关于旗下基金持有的长期停牌股票调整估值方法的公告-20210928》；</w:t>
      </w:r>
    </w:p>
    <w:p>
      <w:pPr>
        <w:pStyle w:val="7"/>
        <w:spacing w:before="0" w:beforeAutospacing="0" w:after="0" w:afterAutospacing="0" w:line="360" w:lineRule="auto"/>
        <w:ind w:firstLine="420"/>
        <w:rPr>
          <w:sz w:val="21"/>
          <w:szCs w:val="21"/>
        </w:rPr>
      </w:pPr>
      <w:r>
        <w:rPr>
          <w:rFonts w:hint="eastAsia"/>
          <w:sz w:val="21"/>
          <w:szCs w:val="21"/>
        </w:rPr>
        <w:t>（二十九）、 2021年08月31日，我公司公告了《博时逆向投资混合型证券投资基</w:t>
      </w:r>
      <w:bookmarkStart w:id="216" w:name="chapter_level1_24_3499_section_1_end"/>
      <w:bookmarkEnd w:id="216"/>
      <w:r>
        <w:rPr>
          <w:rFonts w:hint="eastAsia"/>
          <w:sz w:val="21"/>
          <w:szCs w:val="21"/>
        </w:rPr>
        <w:t>金2021年中期报告》。</w:t>
      </w:r>
      <w:bookmarkStart w:id="217" w:name="field_0_bsrevealinfo_1_end"/>
      <w:bookmarkEnd w:id="217"/>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8" w:name="_Toc113628553"/>
      <w:bookmarkStart w:id="219" w:name="chapter_level1_25_77"/>
      <w:r>
        <w:rPr>
          <w:rFonts w:hint="eastAsia" w:ascii="宋体" w:hAnsi="宋体" w:eastAsia="宋体"/>
          <w:sz w:val="30"/>
        </w:rPr>
        <w:t>第二十二部分  招募说明书存放及查阅方式</w:t>
      </w:r>
      <w:bookmarkEnd w:id="218"/>
      <w:bookmarkEnd w:id="219"/>
    </w:p>
    <w:p>
      <w:pPr>
        <w:pStyle w:val="7"/>
        <w:spacing w:before="0" w:beforeAutospacing="0" w:after="0" w:afterAutospacing="0" w:line="360" w:lineRule="auto"/>
        <w:ind w:firstLine="420"/>
        <w:rPr>
          <w:sz w:val="21"/>
          <w:szCs w:val="21"/>
        </w:rPr>
      </w:pPr>
      <w:bookmarkStart w:id="220" w:name="chapter_level1_25_77_section_1"/>
      <w:bookmarkEnd w:id="220"/>
      <w:r>
        <w:rPr>
          <w:rFonts w:hint="eastAsia"/>
          <w:sz w:val="21"/>
          <w:szCs w:val="21"/>
        </w:rPr>
        <w:t xml:space="preserve">依法必须披露的信息发布后，基金管理人、基金托管人应当按照相关法律法规规定将信息置备于公司住所，供社会公众查阅、复制；投资人在支付工本费后，可在合理时间内取得上述文件复制件或复印件。对投资人按此种方式所获得的文件及其复印件，基金管理人保证文本的内容与所公告的内容完全一致。  </w:t>
      </w:r>
    </w:p>
    <w:p>
      <w:pPr>
        <w:pStyle w:val="7"/>
        <w:spacing w:before="0" w:beforeAutospacing="0" w:after="0" w:afterAutospacing="0" w:line="360" w:lineRule="auto"/>
        <w:ind w:firstLine="420"/>
        <w:rPr>
          <w:sz w:val="21"/>
          <w:szCs w:val="21"/>
        </w:rPr>
      </w:pPr>
      <w:bookmarkStart w:id="221" w:name="chapter_level1_25_77_section_1_end"/>
      <w:bookmarkEnd w:id="221"/>
      <w:r>
        <w:rPr>
          <w:rFonts w:hint="eastAsia"/>
          <w:sz w:val="21"/>
          <w:szCs w:val="21"/>
        </w:rPr>
        <w:t xml:space="preserve">投资人还可以直接登录基金管理人的网站（www.bosera.com）查阅和下载招募说明书。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22" w:name="chapter_level1_26_332"/>
      <w:bookmarkStart w:id="223" w:name="_Toc113628554"/>
      <w:r>
        <w:rPr>
          <w:rFonts w:hint="eastAsia" w:ascii="宋体" w:hAnsi="宋体" w:eastAsia="宋体"/>
          <w:sz w:val="30"/>
        </w:rPr>
        <w:t>第二十三部分  备查文件</w:t>
      </w:r>
      <w:bookmarkEnd w:id="222"/>
      <w:bookmarkEnd w:id="223"/>
    </w:p>
    <w:p>
      <w:pPr>
        <w:pStyle w:val="7"/>
        <w:spacing w:before="0" w:beforeAutospacing="0" w:after="0" w:afterAutospacing="0" w:line="360" w:lineRule="auto"/>
        <w:ind w:firstLine="420"/>
        <w:rPr>
          <w:sz w:val="21"/>
          <w:szCs w:val="21"/>
        </w:rPr>
      </w:pPr>
      <w:bookmarkStart w:id="224" w:name="chapter_level1_26_332_section_1"/>
      <w:bookmarkEnd w:id="224"/>
      <w:r>
        <w:rPr>
          <w:rFonts w:hint="eastAsia"/>
          <w:sz w:val="21"/>
          <w:szCs w:val="21"/>
        </w:rPr>
        <w:t xml:space="preserve">以下备查文件存放在基金管理人的办公场所，在办公时间可供免费查阅。  </w:t>
      </w:r>
    </w:p>
    <w:p>
      <w:pPr>
        <w:pStyle w:val="7"/>
        <w:spacing w:before="0" w:beforeAutospacing="0" w:after="0" w:afterAutospacing="0" w:line="360" w:lineRule="auto"/>
        <w:ind w:firstLine="420"/>
        <w:rPr>
          <w:sz w:val="21"/>
          <w:szCs w:val="21"/>
        </w:rPr>
      </w:pPr>
      <w:r>
        <w:rPr>
          <w:rFonts w:hint="eastAsia"/>
          <w:sz w:val="21"/>
          <w:szCs w:val="21"/>
        </w:rPr>
        <w:t>（一）中国证监会准予</w:t>
      </w:r>
      <w:bookmarkStart w:id="225" w:name="field_0_productfullname_11"/>
      <w:r>
        <w:rPr>
          <w:rFonts w:hint="eastAsia"/>
          <w:sz w:val="21"/>
          <w:szCs w:val="21"/>
        </w:rPr>
        <w:t>博时逆向投资混合型证券投资基金</w:t>
      </w:r>
      <w:bookmarkEnd w:id="225"/>
      <w:r>
        <w:rPr>
          <w:rFonts w:hint="eastAsia"/>
          <w:sz w:val="21"/>
          <w:szCs w:val="21"/>
        </w:rPr>
        <w:t xml:space="preserve">募集注册的文件 </w:t>
      </w:r>
    </w:p>
    <w:p>
      <w:pPr>
        <w:pStyle w:val="7"/>
        <w:spacing w:before="0" w:beforeAutospacing="0" w:after="0" w:afterAutospacing="0" w:line="360" w:lineRule="auto"/>
        <w:ind w:firstLine="420"/>
        <w:rPr>
          <w:sz w:val="21"/>
          <w:szCs w:val="21"/>
        </w:rPr>
      </w:pPr>
      <w:r>
        <w:rPr>
          <w:rFonts w:hint="eastAsia"/>
          <w:sz w:val="21"/>
          <w:szCs w:val="21"/>
        </w:rPr>
        <w:t>（二）《</w:t>
      </w:r>
      <w:bookmarkStart w:id="226" w:name="field_0_productfullname_12"/>
      <w:r>
        <w:rPr>
          <w:rFonts w:hint="eastAsia"/>
          <w:sz w:val="21"/>
          <w:szCs w:val="21"/>
        </w:rPr>
        <w:t>博时逆向投资混合型证券投资基金</w:t>
      </w:r>
      <w:bookmarkEnd w:id="226"/>
      <w:r>
        <w:rPr>
          <w:rFonts w:hint="eastAsia"/>
          <w:sz w:val="21"/>
          <w:szCs w:val="21"/>
        </w:rPr>
        <w:t xml:space="preserve">基金合同》 </w:t>
      </w:r>
    </w:p>
    <w:p>
      <w:pPr>
        <w:pStyle w:val="7"/>
        <w:spacing w:before="0" w:beforeAutospacing="0" w:after="0" w:afterAutospacing="0" w:line="360" w:lineRule="auto"/>
        <w:ind w:firstLine="420"/>
        <w:rPr>
          <w:sz w:val="21"/>
          <w:szCs w:val="21"/>
        </w:rPr>
      </w:pPr>
      <w:r>
        <w:rPr>
          <w:rFonts w:hint="eastAsia"/>
          <w:sz w:val="21"/>
          <w:szCs w:val="21"/>
        </w:rPr>
        <w:t>（三）《</w:t>
      </w:r>
      <w:bookmarkStart w:id="227" w:name="field_0_productfullname_13"/>
      <w:r>
        <w:rPr>
          <w:rFonts w:hint="eastAsia"/>
          <w:sz w:val="21"/>
          <w:szCs w:val="21"/>
        </w:rPr>
        <w:t>博时逆向投资混合型证券投资基金</w:t>
      </w:r>
      <w:bookmarkEnd w:id="227"/>
      <w:r>
        <w:rPr>
          <w:rFonts w:hint="eastAsia"/>
          <w:sz w:val="21"/>
          <w:szCs w:val="21"/>
        </w:rPr>
        <w:t xml:space="preserve">托管协议》 </w:t>
      </w:r>
    </w:p>
    <w:p>
      <w:pPr>
        <w:pStyle w:val="7"/>
        <w:spacing w:before="0" w:beforeAutospacing="0" w:after="0" w:afterAutospacing="0" w:line="360" w:lineRule="auto"/>
        <w:ind w:firstLine="420"/>
        <w:rPr>
          <w:sz w:val="21"/>
          <w:szCs w:val="21"/>
        </w:rPr>
      </w:pPr>
      <w:r>
        <w:rPr>
          <w:rFonts w:hint="eastAsia"/>
          <w:sz w:val="21"/>
          <w:szCs w:val="21"/>
        </w:rPr>
        <w:t xml:space="preserve">（四）基金管理人业务资格批件、营业执照 </w:t>
      </w:r>
    </w:p>
    <w:p>
      <w:pPr>
        <w:pStyle w:val="7"/>
        <w:spacing w:before="0" w:beforeAutospacing="0" w:after="0" w:afterAutospacing="0" w:line="360" w:lineRule="auto"/>
        <w:ind w:firstLine="420"/>
        <w:rPr>
          <w:sz w:val="21"/>
          <w:szCs w:val="21"/>
        </w:rPr>
      </w:pPr>
      <w:r>
        <w:rPr>
          <w:rFonts w:hint="eastAsia"/>
          <w:sz w:val="21"/>
          <w:szCs w:val="21"/>
        </w:rPr>
        <w:t xml:space="preserve">（五）基金托管人业务资格批件、营业执照 </w:t>
      </w:r>
    </w:p>
    <w:p>
      <w:pPr>
        <w:pStyle w:val="7"/>
        <w:spacing w:before="0" w:beforeAutospacing="0" w:after="0" w:afterAutospacing="0" w:line="360" w:lineRule="auto"/>
        <w:ind w:firstLine="420"/>
        <w:rPr>
          <w:sz w:val="21"/>
          <w:szCs w:val="21"/>
        </w:rPr>
      </w:pPr>
      <w:r>
        <w:rPr>
          <w:rFonts w:hint="eastAsia"/>
          <w:sz w:val="21"/>
          <w:szCs w:val="21"/>
        </w:rPr>
        <w:t>（六）关于申请募集</w:t>
      </w:r>
      <w:bookmarkStart w:id="228" w:name="field_0_productfullname_14"/>
      <w:r>
        <w:rPr>
          <w:rFonts w:hint="eastAsia"/>
          <w:sz w:val="21"/>
          <w:szCs w:val="21"/>
        </w:rPr>
        <w:t>博时逆向投资混合型证券投资基金</w:t>
      </w:r>
      <w:bookmarkEnd w:id="228"/>
      <w:r>
        <w:rPr>
          <w:rFonts w:hint="eastAsia"/>
          <w:sz w:val="21"/>
          <w:szCs w:val="21"/>
        </w:rPr>
        <w:t xml:space="preserve">的法律意见书 </w:t>
      </w:r>
    </w:p>
    <w:p>
      <w:pPr>
        <w:pStyle w:val="7"/>
        <w:spacing w:before="0" w:beforeAutospacing="0" w:after="0" w:afterAutospacing="0" w:line="360" w:lineRule="auto"/>
        <w:ind w:firstLine="420"/>
        <w:rPr>
          <w:sz w:val="21"/>
          <w:szCs w:val="21"/>
        </w:rPr>
      </w:pPr>
      <w:r>
        <w:rPr>
          <w:rFonts w:hint="eastAsia"/>
          <w:sz w:val="21"/>
          <w:szCs w:val="21"/>
        </w:rPr>
        <w:t xml:space="preserve">（七）中国证监会要求的其他文件 </w:t>
      </w:r>
    </w:p>
    <w:p>
      <w:pPr>
        <w:pStyle w:val="7"/>
        <w:spacing w:before="0" w:beforeAutospacing="0" w:after="0" w:afterAutospacing="0" w:line="360" w:lineRule="auto"/>
        <w:ind w:firstLine="420"/>
        <w:rPr>
          <w:sz w:val="21"/>
          <w:szCs w:val="21"/>
        </w:rPr>
      </w:pPr>
      <w:r>
        <w:rPr>
          <w:rFonts w:hint="eastAsia"/>
          <w:sz w:val="21"/>
          <w:szCs w:val="21"/>
        </w:rPr>
        <w:t xml:space="preserve">查阅方式：投资者可在营业时间免费查阅，也可按工本费购买复印件。 </w:t>
      </w: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bookmarkStart w:id="233" w:name="_GoBack"/>
      <w:bookmarkEnd w:id="233"/>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jc w:val="right"/>
        <w:rPr>
          <w:sz w:val="21"/>
          <w:szCs w:val="21"/>
        </w:rPr>
      </w:pPr>
      <w:bookmarkStart w:id="229" w:name="field_0_managerorgfullname_10"/>
      <w:r>
        <w:rPr>
          <w:rFonts w:hint="eastAsia"/>
          <w:sz w:val="21"/>
          <w:szCs w:val="21"/>
        </w:rPr>
        <w:t>博时基金管理有限公司</w:t>
      </w:r>
      <w:bookmarkEnd w:id="229"/>
      <w:r>
        <w:rPr>
          <w:rFonts w:hint="eastAsia"/>
          <w:sz w:val="21"/>
          <w:szCs w:val="21"/>
        </w:rPr>
        <w:t xml:space="preserve">  </w:t>
      </w:r>
    </w:p>
    <w:p>
      <w:pPr>
        <w:pStyle w:val="7"/>
        <w:spacing w:before="0" w:beforeAutospacing="0" w:after="0" w:afterAutospacing="0" w:line="360" w:lineRule="auto"/>
        <w:ind w:firstLine="420"/>
        <w:jc w:val="right"/>
        <w:rPr>
          <w:sz w:val="21"/>
          <w:szCs w:val="21"/>
        </w:rPr>
      </w:pPr>
      <w:bookmarkStart w:id="230" w:name="chapter_level1_26_332_section_1_end"/>
      <w:bookmarkEnd w:id="230"/>
      <w:bookmarkStart w:id="231" w:name="field_0_commitmenttime_1"/>
      <w:r>
        <w:rPr>
          <w:sz w:val="21"/>
          <w:szCs w:val="21"/>
        </w:rPr>
        <w:t>202</w:t>
      </w:r>
      <w:r>
        <w:rPr>
          <w:rFonts w:hint="eastAsia"/>
          <w:sz w:val="21"/>
          <w:szCs w:val="21"/>
        </w:rPr>
        <w:t>3</w:t>
      </w:r>
      <w:r>
        <w:rPr>
          <w:sz w:val="21"/>
          <w:szCs w:val="21"/>
        </w:rPr>
        <w:t>年</w:t>
      </w:r>
      <w:r>
        <w:rPr>
          <w:rFonts w:hint="eastAsia"/>
          <w:sz w:val="21"/>
          <w:szCs w:val="21"/>
        </w:rPr>
        <w:t>7</w:t>
      </w:r>
      <w:r>
        <w:rPr>
          <w:sz w:val="21"/>
          <w:szCs w:val="21"/>
        </w:rPr>
        <w:t>月</w:t>
      </w:r>
      <w:r>
        <w:rPr>
          <w:rFonts w:hint="eastAsia"/>
          <w:sz w:val="21"/>
          <w:szCs w:val="21"/>
          <w:lang w:val="en-US" w:eastAsia="zh-CN"/>
        </w:rPr>
        <w:t>10</w:t>
      </w:r>
      <w:r>
        <w:rPr>
          <w:sz w:val="21"/>
          <w:szCs w:val="21"/>
        </w:rPr>
        <w:t>日</w:t>
      </w:r>
      <w:bookmarkEnd w:id="231"/>
      <w:r>
        <w:rPr>
          <w:rFonts w:hint="eastAsia"/>
          <w:sz w:val="21"/>
          <w:szCs w:val="21"/>
        </w:rPr>
        <w:t xml:space="preserve">  </w:t>
      </w:r>
    </w:p>
    <w:p>
      <w:pPr>
        <w:rPr>
          <w:rFonts w:ascii="宋体" w:hAnsi="宋体" w:eastAsia="宋体"/>
        </w:rPr>
      </w:pPr>
      <w:bookmarkStart w:id="232" w:name="end"/>
      <w:bookmarkEnd w:id="232"/>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145</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rPr>
      <w:drawing>
        <wp:inline distT="0" distB="0" distL="0" distR="0">
          <wp:extent cx="1280160" cy="322580"/>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1280160" cy="323088"/>
                  </a:xfrm>
                  <a:prstGeom prst="rect">
                    <a:avLst/>
                  </a:prstGeom>
                </pic:spPr>
              </pic:pic>
            </a:graphicData>
          </a:graphic>
        </wp:inline>
      </w:drawing>
    </w:r>
  </w:p>
  <w:p>
    <w:pPr>
      <w:pStyle w:val="5"/>
      <w:jc w:val="right"/>
    </w:pPr>
    <w:r>
      <w:rPr>
        <w:rFonts w:hint="eastAsia"/>
      </w:rPr>
      <w:t>博时逆向投资混合型证券投资基金更新招募说明书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hideSpellingError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12"/>
    <w:rsid w:val="00040D11"/>
    <w:rsid w:val="00091789"/>
    <w:rsid w:val="000D6B99"/>
    <w:rsid w:val="00211376"/>
    <w:rsid w:val="00331363"/>
    <w:rsid w:val="00365340"/>
    <w:rsid w:val="00370EC7"/>
    <w:rsid w:val="004B59F6"/>
    <w:rsid w:val="0092166D"/>
    <w:rsid w:val="009A10ED"/>
    <w:rsid w:val="00AE2A09"/>
    <w:rsid w:val="00EB5112"/>
    <w:rsid w:val="01CB44E7"/>
    <w:rsid w:val="0247795D"/>
    <w:rsid w:val="094A7594"/>
    <w:rsid w:val="0BE47A65"/>
    <w:rsid w:val="1508645D"/>
    <w:rsid w:val="16ED6C31"/>
    <w:rsid w:val="1C652C34"/>
    <w:rsid w:val="249C6F03"/>
    <w:rsid w:val="2D0D22C8"/>
    <w:rsid w:val="523803E0"/>
    <w:rsid w:val="592F5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qFormat/>
    <w:uiPriority w:val="39"/>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标题 2 字符"/>
    <w:basedOn w:val="10"/>
    <w:link w:val="2"/>
    <w:qFormat/>
    <w:uiPriority w:val="9"/>
    <w:rPr>
      <w:rFonts w:asciiTheme="majorHAnsi" w:hAnsiTheme="majorHAnsi" w:eastAsiaTheme="majorEastAsia" w:cstheme="majorBidi"/>
      <w:b/>
      <w:bCs/>
      <w:sz w:val="32"/>
      <w:szCs w:val="32"/>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qFormat/>
    <w:uiPriority w:val="99"/>
    <w:rPr>
      <w:sz w:val="18"/>
      <w:szCs w:val="18"/>
    </w:rPr>
  </w:style>
  <w:style w:type="character" w:customStyle="1" w:styleId="16">
    <w:name w:val="批注框文本 字符"/>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145</Pages>
  <Words>17071</Words>
  <Characters>97309</Characters>
  <Lines>810</Lines>
  <Paragraphs>228</Paragraphs>
  <TotalTime>16</TotalTime>
  <ScaleCrop>false</ScaleCrop>
  <LinksUpToDate>false</LinksUpToDate>
  <CharactersWithSpaces>114152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2022-09-09T07:08:00Z</dcterms:created>
  <dc:creator>BSKMadminDev</dc:creator>
  <cp:lastModifiedBy>Liwen Xiao</cp:lastModifiedBy>
  <dcterms:modified xsi:type="dcterms:W3CDTF">2023-07-08T14:01:31Z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B6764F6399A14C8EB1FC6629889E838E</vt:lpwstr>
  </property>
</Properties>
</file>