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博时新兴消费主题混合型证券投资基金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中国银行股份有限公司</w:t>
      </w:r>
      <w:r>
        <w:rPr>
          <w:rFonts w:ascii="宋体" w:hAnsi="宋体" w:eastAsia="宋体"/>
          <w:b/>
          <w:sz w:val="30"/>
        </w:rPr>
        <w:br w:type="page"/>
      </w:r>
    </w:p>
    <w:p>
      <w:pPr>
        <w:pStyle w:val="2"/>
        <w:jc w:val="center"/>
        <w:rPr>
          <w:rFonts w:ascii="宋体" w:hAnsi="宋体" w:eastAsia="宋体"/>
          <w:sz w:val="30"/>
        </w:rPr>
      </w:pPr>
      <w:bookmarkStart w:id="0" w:name="_Toc113632928"/>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本基金经中国证监会</w:t>
      </w:r>
      <w:bookmarkStart w:id="1" w:name="field_2343_approveddate_1"/>
      <w:r>
        <w:rPr>
          <w:sz w:val="21"/>
          <w:szCs w:val="21"/>
        </w:rPr>
        <w:t>2015年11月2日</w:t>
      </w:r>
      <w:bookmarkEnd w:id="1"/>
      <w:r>
        <w:rPr>
          <w:rFonts w:hint="eastAsia"/>
          <w:sz w:val="21"/>
          <w:szCs w:val="21"/>
        </w:rPr>
        <w:t>证监许可</w:t>
      </w:r>
      <w:bookmarkStart w:id="2" w:name="field_2343_lotnumber_1"/>
      <w:r>
        <w:rPr>
          <w:sz w:val="21"/>
          <w:szCs w:val="21"/>
        </w:rPr>
        <w:t>[2015]2443</w:t>
      </w:r>
      <w:bookmarkEnd w:id="2"/>
      <w:r>
        <w:rPr>
          <w:rFonts w:hint="eastAsia"/>
          <w:sz w:val="21"/>
          <w:szCs w:val="21"/>
        </w:rPr>
        <w:t xml:space="preserve">号文准予注册募集。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混合型基金，预期风险和预期收益高于货币市场基金、债券型基金，低于股票型基金，属于证券投资基金中的中高风险/收益品种。同时，本基金为主题基金，在享受新兴消费主题收益的同时，也须承担单一主题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投资者在投资本基金之前，请仔细阅读本基金的招募说明书和基金合同，全面认识本基金的风险收益特征和产品特性，并充分考虑自身的风险承受能力，理性判断市场，谨慎做出投资决策。  </w:t>
      </w:r>
    </w:p>
    <w:p>
      <w:pPr>
        <w:pStyle w:val="7"/>
        <w:spacing w:before="0" w:beforeAutospacing="0" w:after="0" w:afterAutospacing="0" w:line="360" w:lineRule="auto"/>
        <w:ind w:firstLine="420"/>
        <w:rPr>
          <w:sz w:val="21"/>
          <w:szCs w:val="21"/>
        </w:rPr>
      </w:pPr>
      <w:r>
        <w:rPr>
          <w:rFonts w:hint="eastAsia"/>
          <w:sz w:val="21"/>
          <w:szCs w:val="21"/>
        </w:rPr>
        <w:t>本基金以</w:t>
      </w:r>
      <w:bookmarkStart w:id="3" w:name="field_2343_facevalue_1"/>
      <w:r>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4"/>
      <w:r>
        <w:rPr>
          <w:rFonts w:hint="eastAsia"/>
          <w:sz w:val="21"/>
          <w:szCs w:val="21"/>
        </w:rPr>
        <w:t>，有关财务数据和净值表现截止日为</w:t>
      </w:r>
      <w:bookmarkStart w:id="5" w:name="field_2343_financeendday_1"/>
      <w:r>
        <w:rPr>
          <w:sz w:val="21"/>
          <w:szCs w:val="21"/>
        </w:rPr>
        <w:t>2022年6月30日</w:t>
      </w:r>
      <w:bookmarkEnd w:id="5"/>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"_Toc113632928"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_Toc113632928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"_Toc113632929"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_Toc113632929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"_Toc113632930"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_Toc113632930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"_Toc113632931"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_Toc113632931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"_Toc113632932"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_Toc113632932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"_Toc113632933"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_Toc113632933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"_Toc113632934"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_Toc113632934 \h </w:instrText>
      </w:r>
      <w:r>
        <w:rPr>
          <w:rFonts w:ascii="宋体" w:hAnsi="宋体" w:eastAsia="宋体"/>
        </w:rPr>
        <w:fldChar w:fldCharType="separate"/>
      </w:r>
      <w:r>
        <w:rPr>
          <w:rFonts w:ascii="宋体" w:hAnsi="宋体" w:eastAsia="宋体"/>
        </w:rPr>
        <w:t>63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"_Toc113632935"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_Toc113632935 \h </w:instrText>
      </w:r>
      <w:r>
        <w:rPr>
          <w:rFonts w:ascii="宋体" w:hAnsi="宋体" w:eastAsia="宋体"/>
        </w:rPr>
        <w:fldChar w:fldCharType="separate"/>
      </w:r>
      <w:r>
        <w:rPr>
          <w:rFonts w:ascii="宋体" w:hAnsi="宋体" w:eastAsia="宋体"/>
        </w:rPr>
        <w:t>64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"_Toc113632936"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_Toc113632936 \h </w:instrText>
      </w:r>
      <w:r>
        <w:rPr>
          <w:rFonts w:ascii="宋体" w:hAnsi="宋体" w:eastAsia="宋体"/>
        </w:rPr>
        <w:fldChar w:fldCharType="separate"/>
      </w:r>
      <w:r>
        <w:rPr>
          <w:rFonts w:ascii="宋体" w:hAnsi="宋体" w:eastAsia="宋体"/>
        </w:rPr>
        <w:t>75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"_Toc113632937"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_Toc113632937 \h </w:instrText>
      </w:r>
      <w:r>
        <w:rPr>
          <w:rFonts w:ascii="宋体" w:hAnsi="宋体" w:eastAsia="宋体"/>
        </w:rPr>
        <w:fldChar w:fldCharType="separate"/>
      </w:r>
      <w:r>
        <w:rPr>
          <w:rFonts w:ascii="宋体" w:hAnsi="宋体" w:eastAsia="宋体"/>
        </w:rPr>
        <w:t>85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"_Toc113632938"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_Toc113632938 \h </w:instrText>
      </w:r>
      <w:r>
        <w:rPr>
          <w:rFonts w:ascii="宋体" w:hAnsi="宋体" w:eastAsia="宋体"/>
        </w:rPr>
        <w:fldChar w:fldCharType="separate"/>
      </w:r>
      <w:r>
        <w:rPr>
          <w:rFonts w:ascii="宋体" w:hAnsi="宋体" w:eastAsia="宋体"/>
        </w:rPr>
        <w:t>86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"_Toc113632939"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_Toc113632939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"_Toc113632940"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_Toc113632940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"_Toc113632941"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_Toc113632941 \h </w:instrText>
      </w:r>
      <w:r>
        <w:rPr>
          <w:rFonts w:ascii="宋体" w:hAnsi="宋体" w:eastAsia="宋体"/>
        </w:rPr>
        <w:fldChar w:fldCharType="separate"/>
      </w:r>
      <w:r>
        <w:rPr>
          <w:rFonts w:ascii="宋体" w:hAnsi="宋体" w:eastAsia="宋体"/>
        </w:rPr>
        <w:t>94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"_Toc113632942"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_Toc113632942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"_Toc113632943"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_Toc113632943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"_Toc113632944"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_Toc113632944 \h </w:instrText>
      </w:r>
      <w:r>
        <w:rPr>
          <w:rFonts w:ascii="宋体" w:hAnsi="宋体" w:eastAsia="宋体"/>
        </w:rPr>
        <w:fldChar w:fldCharType="separate"/>
      </w:r>
      <w:r>
        <w:rPr>
          <w:rFonts w:ascii="宋体" w:hAnsi="宋体" w:eastAsia="宋体"/>
        </w:rPr>
        <w:t>103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"_Toc113632945"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_Toc113632945 \h </w:instrText>
      </w:r>
      <w:r>
        <w:rPr>
          <w:rFonts w:ascii="宋体" w:hAnsi="宋体" w:eastAsia="宋体"/>
        </w:rPr>
        <w:fldChar w:fldCharType="separate"/>
      </w:r>
      <w:r>
        <w:rPr>
          <w:rFonts w:ascii="宋体" w:hAnsi="宋体" w:eastAsia="宋体"/>
        </w:rPr>
        <w:t>108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"_Toc113632946"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_Toc113632946 \h </w:instrText>
      </w:r>
      <w:r>
        <w:rPr>
          <w:rFonts w:ascii="宋体" w:hAnsi="宋体" w:eastAsia="宋体"/>
        </w:rPr>
        <w:fldChar w:fldCharType="separate"/>
      </w:r>
      <w:r>
        <w:rPr>
          <w:rFonts w:ascii="宋体" w:hAnsi="宋体" w:eastAsia="宋体"/>
        </w:rPr>
        <w:t>110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"_Toc113632947"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_Toc113632947 \h </w:instrText>
      </w:r>
      <w:r>
        <w:rPr>
          <w:rFonts w:ascii="宋体" w:hAnsi="宋体" w:eastAsia="宋体"/>
        </w:rPr>
        <w:fldChar w:fldCharType="separate"/>
      </w:r>
      <w:r>
        <w:rPr>
          <w:rFonts w:ascii="宋体" w:hAnsi="宋体" w:eastAsia="宋体"/>
        </w:rPr>
        <w:t>125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"_Toc113632948"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_Toc113632948 \h </w:instrText>
      </w:r>
      <w:r>
        <w:rPr>
          <w:rFonts w:ascii="宋体" w:hAnsi="宋体" w:eastAsia="宋体"/>
        </w:rPr>
        <w:fldChar w:fldCharType="separate"/>
      </w:r>
      <w:r>
        <w:rPr>
          <w:rFonts w:ascii="宋体" w:hAnsi="宋体" w:eastAsia="宋体"/>
        </w:rPr>
        <w:t>137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"_Toc113632949"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_Toc113632949 \h </w:instrText>
      </w:r>
      <w:r>
        <w:rPr>
          <w:rFonts w:ascii="宋体" w:hAnsi="宋体" w:eastAsia="宋体"/>
        </w:rPr>
        <w:fldChar w:fldCharType="separate"/>
      </w:r>
      <w:r>
        <w:rPr>
          <w:rFonts w:ascii="宋体" w:hAnsi="宋体" w:eastAsia="宋体"/>
        </w:rPr>
        <w:t>140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"_Toc113632950"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_Toc113632950 \h </w:instrText>
      </w:r>
      <w:r>
        <w:rPr>
          <w:rFonts w:ascii="宋体" w:hAnsi="宋体" w:eastAsia="宋体"/>
        </w:rPr>
        <w:fldChar w:fldCharType="separate"/>
      </w:r>
      <w:r>
        <w:rPr>
          <w:rFonts w:ascii="宋体" w:hAnsi="宋体" w:eastAsia="宋体"/>
        </w:rPr>
        <w:t>143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"_Toc113632951"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_Toc113632951 \h </w:instrText>
      </w:r>
      <w:r>
        <w:rPr>
          <w:rFonts w:ascii="宋体" w:hAnsi="宋体" w:eastAsia="宋体"/>
        </w:rPr>
        <w:fldChar w:fldCharType="separate"/>
      </w:r>
      <w:r>
        <w:rPr>
          <w:rFonts w:ascii="宋体" w:hAnsi="宋体" w:eastAsia="宋体"/>
        </w:rPr>
        <w:t>144</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chapter_level1_3_2344"/>
      <w:bookmarkStart w:id="7" w:name="_Toc113632929"/>
      <w:r>
        <w:rPr>
          <w:rFonts w:hint="eastAsia" w:ascii="宋体" w:hAnsi="宋体" w:eastAsia="宋体"/>
          <w:sz w:val="30"/>
        </w:rPr>
        <w:t>第一部分  绪言</w:t>
      </w:r>
      <w:bookmarkEnd w:id="6"/>
      <w:bookmarkEnd w:id="7"/>
    </w:p>
    <w:p>
      <w:pPr>
        <w:pStyle w:val="7"/>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w:t>
      </w:r>
      <w:bookmarkStart w:id="9" w:name="field_0_productfullname_1"/>
      <w:r>
        <w:rPr>
          <w:rFonts w:hint="eastAsia"/>
          <w:sz w:val="21"/>
          <w:szCs w:val="21"/>
        </w:rPr>
        <w:t>博时新兴消费主题混合型证券投资基金</w:t>
      </w:r>
      <w:bookmarkEnd w:id="9"/>
      <w:r>
        <w:rPr>
          <w:rFonts w:hint="eastAsia"/>
          <w:sz w:val="21"/>
          <w:szCs w:val="21"/>
        </w:rPr>
        <w:t>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以及《</w:t>
      </w:r>
      <w:bookmarkStart w:id="10" w:name="field_0_productfullname_2"/>
      <w:r>
        <w:rPr>
          <w:rFonts w:hint="eastAsia"/>
          <w:sz w:val="21"/>
          <w:szCs w:val="21"/>
        </w:rPr>
        <w:t>博时新兴消费主题混合型证券投资基金</w:t>
      </w:r>
      <w:bookmarkEnd w:id="10"/>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1" w:name="field_0_productfullname_3"/>
      <w:r>
        <w:rPr>
          <w:rFonts w:hint="eastAsia"/>
          <w:sz w:val="21"/>
          <w:szCs w:val="21"/>
        </w:rPr>
        <w:t>博时新兴消费主题混合型证券投资基金</w:t>
      </w:r>
      <w:bookmarkEnd w:id="11"/>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 w:name="_Toc113632930"/>
      <w:bookmarkStart w:id="14" w:name="chapter_level1_4_49"/>
      <w:r>
        <w:rPr>
          <w:rFonts w:hint="eastAsia" w:ascii="宋体" w:hAnsi="宋体" w:eastAsia="宋体"/>
          <w:sz w:val="30"/>
        </w:rPr>
        <w:t>第二部分  释义</w:t>
      </w:r>
      <w:bookmarkEnd w:id="13"/>
      <w:bookmarkEnd w:id="14"/>
    </w:p>
    <w:p>
      <w:pPr>
        <w:pStyle w:val="7"/>
        <w:spacing w:before="0" w:beforeAutospacing="0" w:after="0" w:afterAutospacing="0" w:line="360" w:lineRule="auto"/>
        <w:ind w:firstLine="420"/>
        <w:rPr>
          <w:sz w:val="21"/>
          <w:szCs w:val="21"/>
        </w:rPr>
      </w:pPr>
      <w:bookmarkStart w:id="15" w:name="chapter_level1_4_49_section_1"/>
      <w:bookmarkEnd w:id="15"/>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6" w:name="field_0_productfullname_4"/>
      <w:r>
        <w:rPr>
          <w:rFonts w:hint="eastAsia"/>
          <w:sz w:val="21"/>
          <w:szCs w:val="21"/>
        </w:rPr>
        <w:t>博时新兴消费主题混合型证券投资基金</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7" w:name="field_0_managerorgfullname_1"/>
      <w:r>
        <w:rPr>
          <w:rFonts w:hint="eastAsia"/>
          <w:sz w:val="21"/>
          <w:szCs w:val="21"/>
        </w:rPr>
        <w:t>博时基金管理有限公司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8" w:name="field_0_trustorgfullname_1"/>
      <w:r>
        <w:rPr>
          <w:rFonts w:hint="eastAsia"/>
          <w:sz w:val="21"/>
          <w:szCs w:val="21"/>
        </w:rPr>
        <w:t>中国银行股份有限公司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9" w:name="field_0_productfullname_5"/>
      <w:r>
        <w:rPr>
          <w:rFonts w:hint="eastAsia"/>
          <w:sz w:val="21"/>
          <w:szCs w:val="21"/>
        </w:rPr>
        <w:t>博时新兴消费主题混合型证券投资基金</w:t>
      </w:r>
      <w:bookmarkEnd w:id="19"/>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0" w:name="field_0_productfullname_6"/>
      <w:r>
        <w:rPr>
          <w:rFonts w:hint="eastAsia"/>
          <w:sz w:val="21"/>
          <w:szCs w:val="21"/>
        </w:rPr>
        <w:t>博时新兴消费主题混合型证券投资基金</w:t>
      </w:r>
      <w:bookmarkEnd w:id="20"/>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1" w:name="field_0_productfullname_7"/>
      <w:r>
        <w:rPr>
          <w:rFonts w:hint="eastAsia"/>
          <w:sz w:val="21"/>
          <w:szCs w:val="21"/>
        </w:rPr>
        <w:t>博时新兴消费主题混合型证券投资基金</w:t>
      </w:r>
      <w:bookmarkEnd w:id="21"/>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2" w:name="field_0_productfullname_8"/>
      <w:r>
        <w:rPr>
          <w:rFonts w:hint="eastAsia"/>
          <w:sz w:val="21"/>
          <w:szCs w:val="21"/>
        </w:rPr>
        <w:t>博时新兴消费主题混合型证券投资基金</w:t>
      </w:r>
      <w:bookmarkEnd w:id="22"/>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3" w:name="field_0_productfullname_9"/>
      <w:r>
        <w:rPr>
          <w:rFonts w:hint="eastAsia"/>
          <w:sz w:val="21"/>
          <w:szCs w:val="21"/>
        </w:rPr>
        <w:t>博时新兴消费主题混合型证券投资基金</w:t>
      </w:r>
      <w:bookmarkEnd w:id="23"/>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11、《销售办法》：指中国证监会2020年8月28日颁布、同年10月1日实施的《公开募集证券投资基金销售机构监督管理办法》及颁布机关对其不时做出的修订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 xml:space="preserve">24、销售机构：指直销机构和代销机构 </w:t>
      </w:r>
    </w:p>
    <w:p>
      <w:pPr>
        <w:pStyle w:val="7"/>
        <w:spacing w:before="0" w:beforeAutospacing="0" w:after="0" w:afterAutospacing="0" w:line="360" w:lineRule="auto"/>
        <w:ind w:firstLine="420"/>
        <w:rPr>
          <w:sz w:val="21"/>
          <w:szCs w:val="21"/>
        </w:rPr>
      </w:pPr>
      <w:r>
        <w:rPr>
          <w:rFonts w:hint="eastAsia"/>
          <w:sz w:val="21"/>
          <w:szCs w:val="21"/>
        </w:rPr>
        <w:t>25、直销机构：指</w:t>
      </w:r>
      <w:bookmarkStart w:id="24" w:name="field_0_managerorgfullname_2"/>
      <w:r>
        <w:rPr>
          <w:rFonts w:hint="eastAsia"/>
          <w:sz w:val="21"/>
          <w:szCs w:val="21"/>
        </w:rPr>
        <w:t>博时基金管理有限公司</w:t>
      </w:r>
      <w:bookmarkEnd w:id="24"/>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26、代销机构：指符合《销售办法》和中国证监会规定的其他条件，取得基金销售业务</w:t>
      </w:r>
      <w:bookmarkStart w:id="25" w:name="chapter_level1_4_49_section_1_end"/>
      <w:bookmarkEnd w:id="25"/>
      <w:r>
        <w:rPr>
          <w:rFonts w:hint="eastAsia"/>
          <w:sz w:val="21"/>
          <w:szCs w:val="21"/>
        </w:rPr>
        <w:t xml:space="preserve">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pPr>
        <w:pStyle w:val="7"/>
        <w:spacing w:before="0" w:beforeAutospacing="0" w:after="0" w:afterAutospacing="0" w:line="360" w:lineRule="auto"/>
        <w:ind w:firstLine="420"/>
        <w:rPr>
          <w:sz w:val="21"/>
          <w:szCs w:val="21"/>
        </w:rPr>
      </w:pPr>
      <w:r>
        <w:rPr>
          <w:rFonts w:hint="eastAsia"/>
          <w:sz w:val="21"/>
          <w:szCs w:val="21"/>
        </w:rPr>
        <w:t>28、登记机构：指办理登记业务的机构。基金的登记机构为</w:t>
      </w:r>
      <w:bookmarkStart w:id="27" w:name="field_0_managerorgfullname_3"/>
      <w:r>
        <w:rPr>
          <w:rFonts w:hint="eastAsia"/>
          <w:sz w:val="21"/>
          <w:szCs w:val="21"/>
        </w:rPr>
        <w:t>博时基金管理有限公司</w:t>
      </w:r>
      <w:bookmarkEnd w:id="27"/>
      <w:r>
        <w:rPr>
          <w:rFonts w:hint="eastAsia"/>
          <w:sz w:val="21"/>
          <w:szCs w:val="21"/>
        </w:rPr>
        <w:t>或接受</w:t>
      </w:r>
      <w:bookmarkStart w:id="28" w:name="field_0_managerorgfullname_4"/>
      <w:r>
        <w:rPr>
          <w:rFonts w:hint="eastAsia"/>
          <w:sz w:val="21"/>
          <w:szCs w:val="21"/>
        </w:rPr>
        <w:t>博时基金管理有限公司</w:t>
      </w:r>
      <w:bookmarkEnd w:id="28"/>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29、基金账户：指登记机构为投资人开立的、记录其持有的、基金管理人所管理的基金份额余额及其变动情况的账户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30、基金交易账户：指销售机构为投资人开立的、记录投资人通过该销售机构办理认购、申购、赎回、转换、转托管及定期定额投资等业务而引起的基金份额变动及结余情况的账户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32、基金合同终止日：指基金合同规定的基金合同终止事由出现后，基金财产清算完毕，清算结果报中国证监会备案并予以公告的日期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33、基金募集期：指自基金份额发售之日起至发售结束之日止的期间，最长不得超过三个月 </w:t>
      </w:r>
    </w:p>
    <w:p>
      <w:pPr>
        <w:pStyle w:val="7"/>
        <w:spacing w:before="0" w:beforeAutospacing="0" w:after="0" w:afterAutospacing="0" w:line="360" w:lineRule="auto"/>
        <w:ind w:firstLine="420"/>
        <w:rPr>
          <w:sz w:val="21"/>
          <w:szCs w:val="21"/>
        </w:rPr>
      </w:pPr>
      <w:r>
        <w:rPr>
          <w:rFonts w:hint="eastAsia"/>
          <w:sz w:val="21"/>
          <w:szCs w:val="21"/>
        </w:rPr>
        <w:t xml:space="preserve">34、存续期：指基金合同生效至终止之间的不定期期限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35、工作日：指上海证券交易所、深圳证券交易所的正常交易日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36、T日：指销售机构在规定时间受理投资人申购、赎回或其他业务申请的工作日 </w:t>
      </w:r>
    </w:p>
    <w:p>
      <w:pPr>
        <w:pStyle w:val="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38、开放日：指为投资人办理基金份额申购、赎回或其他业务的工作日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39、开放时间：指开放日基金接受申购、赎回或其他业务的时间段 </w:t>
      </w:r>
    </w:p>
    <w:p>
      <w:pPr>
        <w:pStyle w:val="7"/>
        <w:spacing w:before="0" w:beforeAutospacing="0" w:after="0" w:afterAutospacing="0" w:line="360" w:lineRule="auto"/>
        <w:ind w:firstLine="420"/>
        <w:rPr>
          <w:sz w:val="21"/>
          <w:szCs w:val="21"/>
        </w:rPr>
      </w:pPr>
      <w:r>
        <w:rPr>
          <w:rFonts w:hint="eastAsia"/>
          <w:sz w:val="21"/>
          <w:szCs w:val="21"/>
        </w:rPr>
        <w:t>40、《业务规则》：指《</w:t>
      </w:r>
      <w:bookmarkStart w:id="29" w:name="field_0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41、认购：指在基金募集期内，投资人根据基金合同和招募说明书的规定申请购买基金份额的行为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42、申购：指基金合同生效后，投资人根据基金合同和招募说明书的规定申请购买基金份额的行为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45、转托管：指基金份额持有人在本基金的不同销售机构之间实施的变更所持基金份额销售机构的操作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46、定期定额投资计划：指投资人通过有关销售机构提出申请，约定每期申购日、申购金额及扣款方式，由销售机构于每期约定申购日在投资人指定银行账户内自动完成扣款及受理基金申购申请的一种投资方式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Pr>
          <w:sz w:val="21"/>
          <w:szCs w:val="21"/>
        </w:rPr>
        <w:t>10</w:t>
      </w:r>
      <w:bookmarkEnd w:id="3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48、元：指人民币元 </w:t>
      </w:r>
    </w:p>
    <w:p>
      <w:pPr>
        <w:pStyle w:val="7"/>
        <w:spacing w:before="0" w:beforeAutospacing="0" w:after="0" w:afterAutospacing="0" w:line="360" w:lineRule="auto"/>
        <w:ind w:firstLine="420"/>
        <w:rPr>
          <w:sz w:val="21"/>
          <w:szCs w:val="21"/>
        </w:rPr>
      </w:pPr>
      <w:r>
        <w:rPr>
          <w:rFonts w:hint="eastAsia"/>
          <w:sz w:val="21"/>
          <w:szCs w:val="21"/>
        </w:rPr>
        <w:t xml:space="preserve">49、基金收益：指基金投资所得红利、股息、债券利息、买卖证券价差、银行存款利息、已实现的其他合法收入及因运用基金财产带来的成本和费用的节约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50、基金资产总值：指基金拥有的各类有价证券、银行存款本息、基金应收申购款及其他资产的价值总和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51、基金资产净值：指基金资产总值减去基金负债后的价值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52、基金份额净值：指计算日基金资产净值除以计算日基金份额总数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53、基金资产估值：指计算评估基金资产和负债的价值，以确定基金资产净值和基金份额净值的过程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55、不可抗力：指基金合同当事人不能预见、不能避免且不能克服的客观事件 </w:t>
      </w:r>
    </w:p>
    <w:p>
      <w:pPr>
        <w:pStyle w:val="7"/>
        <w:spacing w:before="0" w:beforeAutospacing="0" w:after="0" w:afterAutospacing="0" w:line="360" w:lineRule="auto"/>
        <w:ind w:firstLine="420"/>
        <w:rPr>
          <w:sz w:val="21"/>
          <w:szCs w:val="21"/>
        </w:rPr>
      </w:pPr>
      <w:r>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 xml:space="preserve">57、销售服务费：指从基金财产中计提的，用于本基金市场推广、销售以及基金份额持有人服务的费用 </w:t>
      </w:r>
    </w:p>
    <w:p>
      <w:pPr>
        <w:pStyle w:val="7"/>
        <w:spacing w:before="0" w:beforeAutospacing="0" w:after="0" w:afterAutospacing="0" w:line="360" w:lineRule="auto"/>
        <w:ind w:firstLine="420"/>
        <w:rPr>
          <w:sz w:val="21"/>
          <w:szCs w:val="21"/>
        </w:rPr>
      </w:pPr>
      <w:r>
        <w:rPr>
          <w:rFonts w:hint="eastAsia"/>
          <w:sz w:val="21"/>
          <w:szCs w:val="21"/>
        </w:rPr>
        <w:t xml:space="preserve">58、基金份额的类别：指本基金根据申购费用与销售服务费收取方式等不同，将基金份额分为不同的类别 </w:t>
      </w:r>
    </w:p>
    <w:p>
      <w:pPr>
        <w:pStyle w:val="7"/>
        <w:spacing w:before="0" w:beforeAutospacing="0" w:after="0" w:afterAutospacing="0" w:line="360" w:lineRule="auto"/>
        <w:ind w:firstLine="420"/>
        <w:rPr>
          <w:sz w:val="21"/>
          <w:szCs w:val="21"/>
        </w:rPr>
      </w:pPr>
      <w:r>
        <w:rPr>
          <w:rFonts w:hint="eastAsia"/>
          <w:sz w:val="21"/>
          <w:szCs w:val="21"/>
        </w:rPr>
        <w:t xml:space="preserve">59、A类基金份额：指本基金在投资者申购基金时收取申购费，不收取销售服务费的基金份额 </w:t>
      </w:r>
    </w:p>
    <w:p>
      <w:pPr>
        <w:pStyle w:val="7"/>
        <w:spacing w:before="0" w:beforeAutospacing="0" w:after="0" w:afterAutospacing="0" w:line="360" w:lineRule="auto"/>
        <w:ind w:firstLine="420"/>
      </w:pPr>
      <w:r>
        <w:rPr>
          <w:sz w:val="21"/>
          <w:szCs w:val="21"/>
        </w:rPr>
        <w:t xml:space="preserve">60、C类基金份额：指本基金在投资者申购基金时不收取申购费，而是从本类别基金资产中计提销售服务费的基金份额 </w:t>
      </w:r>
    </w:p>
    <w:p>
      <w:pPr>
        <w:widowControl/>
        <w:jc w:val="left"/>
        <w:rPr>
          <w:rFonts w:ascii="宋体" w:hAnsi="宋体" w:eastAsia="宋体"/>
        </w:rPr>
      </w:pPr>
      <w:bookmarkStart w:id="31" w:name="chapter_level1_4_49_section_2_end"/>
      <w:bookmarkEnd w:id="31"/>
      <w:r>
        <w:rPr>
          <w:rFonts w:ascii="宋体" w:hAnsi="宋体" w:eastAsia="宋体"/>
        </w:rPr>
        <w:br w:type="page"/>
      </w:r>
    </w:p>
    <w:p>
      <w:pPr>
        <w:pStyle w:val="2"/>
        <w:jc w:val="center"/>
        <w:rPr>
          <w:rFonts w:ascii="宋体" w:hAnsi="宋体" w:eastAsia="宋体"/>
          <w:sz w:val="30"/>
        </w:rPr>
      </w:pPr>
      <w:bookmarkStart w:id="32" w:name="chapter_level1_5_53"/>
      <w:bookmarkStart w:id="33" w:name="_Toc113632931"/>
      <w:r>
        <w:rPr>
          <w:rFonts w:hint="eastAsia" w:ascii="宋体" w:hAnsi="宋体" w:eastAsia="宋体"/>
          <w:sz w:val="30"/>
        </w:rPr>
        <w:t>第三部分  基金管理人</w:t>
      </w:r>
      <w:bookmarkEnd w:id="32"/>
      <w:bookmarkEnd w:id="33"/>
    </w:p>
    <w:p>
      <w:pPr>
        <w:pStyle w:val="7"/>
        <w:spacing w:before="0" w:beforeAutospacing="0" w:after="0" w:afterAutospacing="0" w:line="360" w:lineRule="auto"/>
        <w:ind w:firstLine="420"/>
        <w:rPr>
          <w:sz w:val="21"/>
          <w:szCs w:val="21"/>
        </w:rPr>
      </w:pPr>
      <w:bookmarkStart w:id="34" w:name="chapter_level1_5_53_section_1"/>
      <w:bookmarkEnd w:id="34"/>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5" w:name="field_0_managercompanyinfo_1_start"/>
      <w:bookmarkEnd w:id="35"/>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二、主要成员情况</w:t>
      </w:r>
    </w:p>
    <w:p>
      <w:pPr>
        <w:pStyle w:val="7"/>
        <w:spacing w:before="0" w:beforeAutospacing="0" w:after="0" w:afterAutospacing="0" w:line="360" w:lineRule="auto"/>
        <w:ind w:firstLine="420"/>
        <w:rPr>
          <w:sz w:val="21"/>
          <w:szCs w:val="21"/>
        </w:rPr>
      </w:pPr>
      <w:bookmarkStart w:id="37" w:name="field_0_managerpersoninfo_1_start"/>
      <w:bookmarkEnd w:id="37"/>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 xml:space="preserve">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 </w:t>
      </w:r>
      <w:bookmarkStart w:id="38" w:name="field_0_managerpersoninfo_1_end"/>
      <w:bookmarkEnd w:id="38"/>
      <w:r>
        <w:rPr>
          <w:rFonts w:hint="eastAsia"/>
          <w:sz w:val="21"/>
          <w:szCs w:val="21"/>
        </w:rPr>
        <w:t xml:space="preserve">  </w:t>
      </w:r>
    </w:p>
    <w:p>
      <w:pPr>
        <w:pStyle w:val="7"/>
        <w:spacing w:before="0" w:beforeAutospacing="0" w:after="0" w:afterAutospacing="0" w:line="360" w:lineRule="auto"/>
        <w:ind w:firstLine="420"/>
        <w:rPr>
          <w:sz w:val="21"/>
          <w:szCs w:val="21"/>
        </w:rPr>
      </w:pPr>
      <w:bookmarkStart w:id="39" w:name="chapter_level1_5_53_section_2"/>
      <w:bookmarkEnd w:id="39"/>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40" w:name="field_0_fundmanagerresume_1_start"/>
      <w:bookmarkEnd w:id="40"/>
      <w:r>
        <w:rPr>
          <w:rFonts w:hint="eastAsia"/>
          <w:sz w:val="21"/>
          <w:szCs w:val="21"/>
        </w:rPr>
        <w:t>王诗瑶女士，硕士。2012年从北京大学硕士研究生毕业后加入博时基金管理有限公司。历任研究员、高级研究员、高级研究员兼基金经理助理。现任博时新兴消费主题混合型证券投资基金(2017年6月5日—至今)、博时消费创新混合型证券投资基金(2020年10月23日—至今)、博时时代消费混合型证券投资基金(2021年12月21日—至今)、博时女性消费主题混合型证券投资基金(2022年4月6日—至今)的基金经理。</w:t>
      </w:r>
    </w:p>
    <w:p>
      <w:pPr>
        <w:pStyle w:val="7"/>
        <w:spacing w:before="0" w:beforeAutospacing="0" w:after="0" w:afterAutospacing="0" w:line="360" w:lineRule="auto"/>
        <w:ind w:firstLine="420"/>
        <w:jc w:val="both"/>
        <w:rPr>
          <w:sz w:val="21"/>
          <w:szCs w:val="21"/>
        </w:rPr>
      </w:pPr>
      <w:r>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博时港股通领先趋势混合型证券投资基金(2021年2月9日-2022年7月9日)基金经理。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灵活配置混合型证券投资基金（LOF）(2019年6月27日—至今)、博时科技创新混合型证券投资基金(2020年4月15日—至今)、博时新兴消费主题混合型证券投资基金(2021年1月20日—至今)、博时沪港深优质企业灵活配置混合型证券投资基金(2021年1月20日—至今)、博时半导体主题混合型证券投资基金(2021年7月20日—至今)、博时消费创新混合型证券投资基金(2021年11月8日—至今)、博时时代领航混合型证券投资基金(2022年1月25日—至今)、博时军工主题股票型证券投资基金(2022年6月29日—至今)的基金经理。</w:t>
      </w:r>
      <w:bookmarkStart w:id="41" w:name="field_0_fundmanagerresume_1_end"/>
      <w:bookmarkEnd w:id="41"/>
      <w:r>
        <w:rPr>
          <w:rFonts w:hint="eastAsia"/>
          <w:sz w:val="21"/>
          <w:szCs w:val="21"/>
        </w:rPr>
        <w:t xml:space="preserve">  </w:t>
      </w:r>
    </w:p>
    <w:p>
      <w:pPr>
        <w:pStyle w:val="7"/>
        <w:spacing w:before="0" w:beforeAutospacing="0" w:after="0" w:afterAutospacing="0" w:line="360" w:lineRule="auto"/>
        <w:ind w:firstLine="420"/>
        <w:rPr>
          <w:sz w:val="21"/>
          <w:szCs w:val="21"/>
        </w:rPr>
      </w:pPr>
      <w:bookmarkStart w:id="42" w:name="field_0_fundmanagershis_1_start"/>
      <w:bookmarkEnd w:id="42"/>
      <w:r>
        <w:rPr>
          <w:rFonts w:hint="eastAsia"/>
          <w:sz w:val="21"/>
          <w:szCs w:val="21"/>
        </w:rPr>
        <w:t>本基金历任基金经理：王俊（2017年6月5日-2021年1月20</w:t>
      </w:r>
      <w:bookmarkStart w:id="43" w:name="chapter_level1_5_53_section_2_end"/>
      <w:bookmarkEnd w:id="43"/>
      <w:r>
        <w:rPr>
          <w:rFonts w:hint="eastAsia"/>
          <w:sz w:val="21"/>
          <w:szCs w:val="21"/>
        </w:rPr>
        <w:t>日）。</w:t>
      </w:r>
      <w:bookmarkStart w:id="44" w:name="field_0_fundmanagershis_1_end"/>
      <w:bookmarkEnd w:id="44"/>
      <w:r>
        <w:rPr>
          <w:rFonts w:hint="eastAsia"/>
          <w:sz w:val="21"/>
          <w:szCs w:val="21"/>
        </w:rPr>
        <w:t xml:space="preserve">  </w:t>
      </w:r>
    </w:p>
    <w:p>
      <w:pPr>
        <w:pStyle w:val="7"/>
        <w:spacing w:before="0" w:beforeAutospacing="0" w:after="0" w:afterAutospacing="0" w:line="360" w:lineRule="auto"/>
        <w:ind w:firstLine="420"/>
        <w:rPr>
          <w:sz w:val="21"/>
          <w:szCs w:val="21"/>
        </w:rPr>
      </w:pPr>
      <w:bookmarkStart w:id="45" w:name="chapter_level1_5_53_section_3"/>
      <w:bookmarkEnd w:id="45"/>
      <w:bookmarkStart w:id="46" w:name="field_0_managerpersoninfo2_1_start"/>
      <w:bookmarkEnd w:id="46"/>
      <w:r>
        <w:rPr>
          <w:rFonts w:hint="eastAsia"/>
          <w:sz w:val="21"/>
          <w:szCs w:val="21"/>
        </w:rPr>
        <w:t>5、投资决策委员会成员</w:t>
      </w:r>
    </w:p>
    <w:p>
      <w:pPr>
        <w:pStyle w:val="7"/>
        <w:spacing w:before="0" w:beforeAutospacing="0" w:after="0" w:afterAutospacing="0" w:line="360" w:lineRule="auto"/>
        <w:ind w:firstLine="420"/>
        <w:rPr>
          <w:sz w:val="21"/>
          <w:szCs w:val="21"/>
        </w:rPr>
      </w:pPr>
      <w:r>
        <w:rPr>
          <w:rFonts w:hint="eastAsia"/>
          <w:sz w:val="21"/>
          <w:szCs w:val="21"/>
        </w:rPr>
        <w:t>公司总经理高阳先生。</w:t>
      </w:r>
    </w:p>
    <w:p>
      <w:pPr>
        <w:pStyle w:val="7"/>
        <w:spacing w:before="0" w:beforeAutospacing="0" w:after="0" w:afterAutospacing="0" w:line="360" w:lineRule="auto"/>
        <w:ind w:firstLine="420"/>
        <w:rPr>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sz w:val="21"/>
          <w:szCs w:val="21"/>
        </w:rPr>
      </w:pPr>
      <w:r>
        <w:rPr>
          <w:rFonts w:hint="eastAsia"/>
          <w:sz w:val="21"/>
          <w:szCs w:val="21"/>
        </w:rPr>
        <w:t>首席基金经理过钧先生。</w:t>
      </w:r>
    </w:p>
    <w:p>
      <w:pPr>
        <w:pStyle w:val="7"/>
        <w:spacing w:before="0" w:beforeAutospacing="0" w:after="0" w:afterAutospacing="0" w:line="360" w:lineRule="auto"/>
        <w:ind w:firstLine="420"/>
        <w:rPr>
          <w:sz w:val="21"/>
          <w:szCs w:val="21"/>
        </w:rPr>
      </w:pPr>
      <w:r>
        <w:rPr>
          <w:rFonts w:hint="eastAsia"/>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sz w:val="21"/>
          <w:szCs w:val="21"/>
        </w:rPr>
      </w:pPr>
      <w:r>
        <w:rPr>
          <w:rFonts w:hint="eastAsia"/>
          <w:sz w:val="21"/>
          <w:szCs w:val="21"/>
        </w:rPr>
        <w:t>公司董事总经理兼年金投资部总经理、投资总监杨帆先生。</w:t>
      </w:r>
    </w:p>
    <w:p>
      <w:pPr>
        <w:pStyle w:val="7"/>
        <w:spacing w:before="0" w:beforeAutospacing="0" w:after="0" w:afterAutospacing="0" w:line="360" w:lineRule="auto"/>
        <w:ind w:firstLine="420"/>
        <w:rPr>
          <w:sz w:val="21"/>
          <w:szCs w:val="21"/>
        </w:rPr>
      </w:pPr>
      <w:r>
        <w:rPr>
          <w:rFonts w:hint="eastAsia"/>
          <w:sz w:val="21"/>
          <w:szCs w:val="21"/>
        </w:rPr>
        <w:t>指数与量化投资部投资总监赵云阳先生。</w:t>
      </w:r>
    </w:p>
    <w:p>
      <w:pPr>
        <w:pStyle w:val="7"/>
        <w:spacing w:before="0" w:beforeAutospacing="0" w:after="0" w:afterAutospacing="0" w:line="360" w:lineRule="auto"/>
        <w:ind w:firstLine="420"/>
        <w:rPr>
          <w:sz w:val="21"/>
          <w:szCs w:val="21"/>
        </w:rPr>
      </w:pPr>
      <w:r>
        <w:rPr>
          <w:rFonts w:hint="eastAsia"/>
          <w:sz w:val="21"/>
          <w:szCs w:val="21"/>
        </w:rPr>
        <w:t>行业研究部研究总监兼副总经理金晟哲先生。</w:t>
      </w:r>
    </w:p>
    <w:p>
      <w:pPr>
        <w:pStyle w:val="7"/>
        <w:spacing w:before="0" w:beforeAutospacing="0" w:after="0" w:afterAutospacing="0" w:line="360" w:lineRule="auto"/>
        <w:ind w:firstLine="420"/>
        <w:rPr>
          <w:sz w:val="21"/>
          <w:szCs w:val="21"/>
        </w:rPr>
      </w:pPr>
      <w:r>
        <w:rPr>
          <w:rFonts w:hint="eastAsia"/>
          <w:sz w:val="21"/>
          <w:szCs w:val="21"/>
        </w:rPr>
        <w:t xml:space="preserve">6、上述人员之间均不存在近亲属关系。 </w:t>
      </w:r>
    </w:p>
    <w:p>
      <w:pPr>
        <w:pStyle w:val="7"/>
        <w:spacing w:before="0" w:beforeAutospacing="0" w:after="0" w:afterAutospacing="0" w:line="360" w:lineRule="auto"/>
        <w:ind w:firstLine="420"/>
        <w:rPr>
          <w:sz w:val="21"/>
          <w:szCs w:val="21"/>
        </w:rPr>
      </w:pPr>
      <w:bookmarkStart w:id="47" w:name="chapter_level1_5_53_section_4"/>
      <w:bookmarkEnd w:id="47"/>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6、除依据《基金法》、《基金合同》及其他有关规定外，不得利用基金财产为自己及任何第三人谋取利益，不得委托第三人运作基金财产；</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8" w:name="chapter_level1_5_53_section_4_end"/>
      <w:bookmarkEnd w:id="48"/>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_Toc113632932"/>
      <w:bookmarkStart w:id="50" w:name="chapter_level1_6_55"/>
      <w:r>
        <w:rPr>
          <w:rFonts w:hint="eastAsia" w:ascii="宋体" w:hAnsi="宋体" w:eastAsia="宋体"/>
          <w:sz w:val="30"/>
        </w:rPr>
        <w:t>第四部分  基金托管人</w:t>
      </w:r>
      <w:bookmarkEnd w:id="49"/>
      <w:bookmarkEnd w:id="50"/>
    </w:p>
    <w:p>
      <w:pPr>
        <w:pStyle w:val="7"/>
        <w:spacing w:before="0" w:beforeAutospacing="0" w:after="0" w:afterAutospacing="0" w:line="360" w:lineRule="auto"/>
        <w:ind w:firstLine="420"/>
        <w:rPr>
          <w:sz w:val="21"/>
          <w:szCs w:val="21"/>
        </w:rPr>
      </w:pPr>
      <w:bookmarkStart w:id="51" w:name="chapter_level1_6_55_section_1"/>
      <w:bookmarkEnd w:id="51"/>
      <w:bookmarkStart w:id="52" w:name="field_0_trustcompanyinfo_1_start"/>
      <w:bookmarkEnd w:id="52"/>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名称：中国银行股份有限公司（简称“中国银行”） </w:t>
      </w:r>
    </w:p>
    <w:p>
      <w:pPr>
        <w:pStyle w:val="7"/>
        <w:spacing w:before="0" w:beforeAutospacing="0" w:after="0" w:afterAutospacing="0" w:line="360" w:lineRule="auto"/>
        <w:ind w:firstLine="420"/>
        <w:rPr>
          <w:sz w:val="21"/>
          <w:szCs w:val="21"/>
        </w:rPr>
      </w:pPr>
      <w:r>
        <w:rPr>
          <w:rFonts w:hint="eastAsia"/>
          <w:sz w:val="21"/>
          <w:szCs w:val="21"/>
        </w:rPr>
        <w:t xml:space="preserve">住所及办公地址：北京市西城区复兴门内大街1号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首次注册登记日期：1983年10月31日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托管部门信息披露联系人：许俊 </w:t>
      </w:r>
    </w:p>
    <w:p>
      <w:pPr>
        <w:pStyle w:val="7"/>
        <w:spacing w:before="0" w:beforeAutospacing="0" w:after="0" w:afterAutospacing="0" w:line="360" w:lineRule="auto"/>
        <w:ind w:firstLine="420"/>
        <w:rPr>
          <w:sz w:val="21"/>
          <w:szCs w:val="21"/>
        </w:rPr>
      </w:pPr>
      <w:r>
        <w:rPr>
          <w:rFonts w:hint="eastAsia"/>
          <w:sz w:val="21"/>
          <w:szCs w:val="21"/>
        </w:rPr>
        <w:t xml:space="preserve">传真：（010）66594942 </w:t>
      </w:r>
    </w:p>
    <w:p>
      <w:pPr>
        <w:pStyle w:val="7"/>
        <w:spacing w:before="0" w:beforeAutospacing="0" w:after="0" w:afterAutospacing="0" w:line="360" w:lineRule="auto"/>
        <w:ind w:firstLine="420"/>
        <w:rPr>
          <w:sz w:val="21"/>
          <w:szCs w:val="21"/>
        </w:rPr>
      </w:pPr>
      <w:r>
        <w:rPr>
          <w:rFonts w:hint="eastAsia"/>
          <w:sz w:val="21"/>
          <w:szCs w:val="21"/>
        </w:rPr>
        <w:t xml:space="preserve">中国银行客服电话：95566 </w:t>
      </w:r>
    </w:p>
    <w:p>
      <w:pPr>
        <w:pStyle w:val="7"/>
        <w:spacing w:before="0" w:beforeAutospacing="0" w:after="0" w:afterAutospacing="0" w:line="360" w:lineRule="auto"/>
        <w:ind w:firstLine="420"/>
        <w:rPr>
          <w:sz w:val="21"/>
          <w:szCs w:val="21"/>
        </w:rPr>
      </w:pPr>
      <w:r>
        <w:rPr>
          <w:rFonts w:hint="eastAsia"/>
          <w:sz w:val="21"/>
          <w:szCs w:val="21"/>
        </w:rPr>
        <w:t xml:space="preserve">（二）基金托管部门及主要人员情况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pPr>
        <w:pStyle w:val="7"/>
        <w:spacing w:before="0" w:beforeAutospacing="0" w:after="0" w:afterAutospacing="0" w:line="360" w:lineRule="auto"/>
        <w:ind w:firstLine="420"/>
        <w:rPr>
          <w:sz w:val="21"/>
          <w:szCs w:val="21"/>
        </w:rPr>
      </w:pPr>
      <w:r>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pPr>
        <w:pStyle w:val="7"/>
        <w:spacing w:before="0" w:beforeAutospacing="0" w:after="0" w:afterAutospacing="0" w:line="360" w:lineRule="auto"/>
        <w:ind w:firstLine="420"/>
        <w:rPr>
          <w:sz w:val="21"/>
          <w:szCs w:val="21"/>
        </w:rPr>
      </w:pPr>
      <w:r>
        <w:rPr>
          <w:rFonts w:hint="eastAsia"/>
          <w:sz w:val="21"/>
          <w:szCs w:val="21"/>
        </w:rPr>
        <w:t xml:space="preserve">（三）证券投资基金托管情况 </w:t>
      </w:r>
    </w:p>
    <w:p>
      <w:pPr>
        <w:pStyle w:val="7"/>
        <w:spacing w:before="0" w:beforeAutospacing="0" w:after="0" w:afterAutospacing="0" w:line="360" w:lineRule="auto"/>
        <w:ind w:firstLine="420"/>
        <w:rPr>
          <w:sz w:val="21"/>
          <w:szCs w:val="21"/>
        </w:rPr>
      </w:pPr>
      <w:r>
        <w:rPr>
          <w:rFonts w:hint="eastAsia"/>
          <w:sz w:val="21"/>
          <w:szCs w:val="21"/>
        </w:rPr>
        <w:t>截至2022年6月30日，中国银行已托管1021只证券投资基金，其中境内基金972只，QDII基金49只，覆盖了股票型、债券型、混合型、货币型、指数型、FOF等多种类型的基</w:t>
      </w:r>
      <w:bookmarkStart w:id="53" w:name="chapter_level1_6_55_section_1_end"/>
      <w:bookmarkEnd w:id="53"/>
      <w:r>
        <w:rPr>
          <w:rFonts w:hint="eastAsia"/>
          <w:sz w:val="21"/>
          <w:szCs w:val="21"/>
        </w:rPr>
        <w:t xml:space="preserve">金，满足了不同客户多元化的投资理财需求，基金托管规模位居同业前列。 </w:t>
      </w:r>
      <w:bookmarkStart w:id="54" w:name="field_0_trustcompanyinfo_1_end"/>
      <w:bookmarkEnd w:id="54"/>
      <w:r>
        <w:rPr>
          <w:rFonts w:hint="eastAsia"/>
          <w:sz w:val="21"/>
          <w:szCs w:val="21"/>
        </w:rPr>
        <w:t xml:space="preserve">  </w:t>
      </w:r>
    </w:p>
    <w:p>
      <w:pPr>
        <w:pStyle w:val="7"/>
        <w:spacing w:before="0" w:beforeAutospacing="0" w:after="0" w:afterAutospacing="0" w:line="360" w:lineRule="auto"/>
        <w:ind w:firstLine="420"/>
        <w:rPr>
          <w:sz w:val="21"/>
          <w:szCs w:val="21"/>
        </w:rPr>
      </w:pPr>
      <w:bookmarkStart w:id="55" w:name="field_0_trustcontrollawinfo_1_start"/>
      <w:bookmarkEnd w:id="55"/>
      <w:bookmarkStart w:id="56" w:name="chapter_level1_6_55_section_2"/>
      <w:bookmarkEnd w:id="56"/>
      <w:r>
        <w:rPr>
          <w:rFonts w:hint="eastAsia"/>
          <w:sz w:val="21"/>
          <w:szCs w:val="21"/>
        </w:rPr>
        <w:t xml:space="preserve">（四）托管业务的内部控制制度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pPr>
        <w:pStyle w:val="7"/>
        <w:spacing w:before="0" w:beforeAutospacing="0" w:after="0" w:afterAutospacing="0" w:line="360" w:lineRule="auto"/>
        <w:ind w:firstLine="420"/>
        <w:rPr>
          <w:sz w:val="21"/>
          <w:szCs w:val="21"/>
        </w:rPr>
      </w:pPr>
      <w:r>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 </w:t>
      </w:r>
    </w:p>
    <w:p>
      <w:pPr>
        <w:pStyle w:val="7"/>
        <w:spacing w:before="0" w:beforeAutospacing="0" w:after="0" w:afterAutospacing="0" w:line="360" w:lineRule="auto"/>
        <w:ind w:firstLine="420"/>
        <w:rPr>
          <w:sz w:val="21"/>
          <w:szCs w:val="21"/>
        </w:rPr>
      </w:pPr>
      <w:r>
        <w:rPr>
          <w:rFonts w:hint="eastAsia"/>
          <w:sz w:val="21"/>
          <w:szCs w:val="21"/>
        </w:rPr>
        <w:t xml:space="preserve">（五）托管人对管理人运作基金进行监督的方法和程序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7" w:name="chapter_level1_6_55_section_2_end"/>
      <w:bookmarkEnd w:id="57"/>
      <w:r>
        <w:rPr>
          <w:rFonts w:hint="eastAsia"/>
          <w:sz w:val="21"/>
          <w:szCs w:val="21"/>
        </w:rPr>
        <w:t xml:space="preserve">务院证券监督管理机构报告。 </w:t>
      </w:r>
      <w:bookmarkStart w:id="58" w:name="field_0_trustcontrollawinfo_1_end"/>
      <w:bookmarkEnd w:id="5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9" w:name="chapter_level1_7_56"/>
      <w:bookmarkStart w:id="60" w:name="_Toc113632933"/>
      <w:r>
        <w:rPr>
          <w:rFonts w:hint="eastAsia" w:ascii="宋体" w:hAnsi="宋体" w:eastAsia="宋体"/>
          <w:sz w:val="30"/>
        </w:rPr>
        <w:t>第五部分  相关服务机构</w:t>
      </w:r>
      <w:bookmarkEnd w:id="59"/>
      <w:bookmarkEnd w:id="60"/>
    </w:p>
    <w:p>
      <w:pPr>
        <w:pStyle w:val="7"/>
        <w:spacing w:before="0" w:beforeAutospacing="0" w:after="0" w:afterAutospacing="0" w:line="360" w:lineRule="auto"/>
        <w:ind w:firstLine="420"/>
        <w:rPr>
          <w:sz w:val="21"/>
          <w:szCs w:val="21"/>
        </w:rPr>
      </w:pPr>
      <w:bookmarkStart w:id="61" w:name="chapter_level1_7_56_section_1"/>
      <w:bookmarkEnd w:id="61"/>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62" w:name="field_0_marketcompanyinfo_1_start"/>
      <w:bookmarkEnd w:id="62"/>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3" w:name="chapter_level1_7_56_section_1_end"/>
      <w:bookmarkEnd w:id="63"/>
      <w:r>
        <w:rPr>
          <w:rFonts w:hint="eastAsia"/>
          <w:sz w:val="21"/>
          <w:szCs w:val="21"/>
        </w:rPr>
        <w:t xml:space="preserve">博时一线通：95105568（免长途话费） </w:t>
      </w:r>
      <w:bookmarkStart w:id="64" w:name="field_0_marketcompanyinfo_1_end"/>
      <w:bookmarkEnd w:id="64"/>
      <w:r>
        <w:rPr>
          <w:rFonts w:hint="eastAsia"/>
          <w:sz w:val="21"/>
          <w:szCs w:val="21"/>
        </w:rPr>
        <w:t xml:space="preserve">  </w:t>
      </w:r>
    </w:p>
    <w:p>
      <w:pPr>
        <w:pStyle w:val="7"/>
        <w:spacing w:before="0" w:beforeAutospacing="0" w:after="0" w:afterAutospacing="0" w:line="360" w:lineRule="auto"/>
        <w:ind w:firstLine="420"/>
        <w:rPr>
          <w:sz w:val="21"/>
          <w:szCs w:val="21"/>
        </w:rPr>
      </w:pPr>
      <w:bookmarkStart w:id="65" w:name="chapter_level1_7_56_section_2"/>
      <w:bookmarkEnd w:id="65"/>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6" w:name="field_0_allproxysaletables_1_start"/>
      <w:bookmarkEnd w:id="66"/>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(6)兴业银行股份有限公司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吕家进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www.cib.com.cn </w:t>
            </w:r>
          </w:p>
        </w:tc>
      </w:tr>
    </w:tbl>
    <w:p>
      <w:pPr>
        <w:pStyle w:val="7"/>
        <w:spacing w:before="0" w:beforeAutospacing="0" w:after="0" w:afterAutospacing="0" w:line="360" w:lineRule="auto"/>
        <w:ind w:firstLine="420"/>
        <w:rPr>
          <w:sz w:val="21"/>
          <w:szCs w:val="21"/>
        </w:rPr>
      </w:pPr>
      <w:r>
        <w:rPr>
          <w:rFonts w:hint="eastAsia"/>
          <w:b/>
          <w:bCs/>
          <w:sz w:val="21"/>
          <w:szCs w:val="21"/>
        </w:rPr>
        <w:t>(7)中国民生银行股份有限公司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(8)中国邮政储蓄银行股份有限公司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(9)广发银行股份有限公司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(10)平安银行股份有限公司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(11)宁波银行股份有限公司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(12)上海农村商业银行股份有限公司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(13)北京农村商业银行股份有限公司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(14)青岛银行股份有限公司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(15)浙商银行股份有限公司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(16)杭州银行股份有限公司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(17)南京银行股份有限公司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(18)江苏银行股份有限公司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(19)渤海银行股份有限公司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(20)浙江民泰商业银行股份有限公司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(21)重庆银行股份有限公司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(22)东莞农村商业银行股份有限公司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(23)河北银行股份有限公司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(24)嘉兴银行股份有限公司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(25)江苏常熟农村商业银行股份有限公司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(26)广东顺德农村商业银行股份有限公司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(27)江苏苏州农村商业银行股份有限公司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(28)金华银行股份有限公司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(29)江苏江南农村商业银行股份有限公司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(30)长沙银行股份有限公司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长沙市开福区芙蓉中路433号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朱玉国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0731-89736223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0731-96511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www.bankofchangsha.com </w:t>
            </w:r>
          </w:p>
        </w:tc>
      </w:tr>
    </w:tbl>
    <w:p>
      <w:pPr>
        <w:pStyle w:val="7"/>
        <w:spacing w:before="0" w:beforeAutospacing="0" w:after="0" w:afterAutospacing="0" w:line="360" w:lineRule="auto"/>
        <w:ind w:firstLine="420"/>
        <w:rPr>
          <w:sz w:val="21"/>
          <w:szCs w:val="21"/>
        </w:rPr>
      </w:pPr>
      <w:r>
        <w:rPr>
          <w:rFonts w:hint="eastAsia"/>
          <w:b/>
          <w:bCs/>
          <w:sz w:val="21"/>
          <w:szCs w:val="21"/>
        </w:rPr>
        <w:t>(31)郑州银行股份有限公司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郑州市郑东新区商务外环路22号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王天宇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焦明飞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0371-67009698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0371-67009097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http://www.zzbank.cn </w:t>
            </w:r>
          </w:p>
        </w:tc>
      </w:tr>
    </w:tbl>
    <w:p>
      <w:pPr>
        <w:pStyle w:val="7"/>
        <w:spacing w:before="0" w:beforeAutospacing="0" w:after="0" w:afterAutospacing="0" w:line="360" w:lineRule="auto"/>
        <w:ind w:firstLine="420"/>
        <w:rPr>
          <w:sz w:val="21"/>
          <w:szCs w:val="21"/>
        </w:rPr>
      </w:pPr>
      <w:r>
        <w:rPr>
          <w:rFonts w:hint="eastAsia"/>
          <w:b/>
          <w:bCs/>
          <w:sz w:val="21"/>
          <w:szCs w:val="21"/>
        </w:rPr>
        <w:t>(32)广州农村商业银行股份有限公司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广州市天河区珠江新城华夏路1号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广州市天河区珠江新城华夏路1号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王继康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020-28852675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020-28852675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www.grcbank.com </w:t>
            </w:r>
          </w:p>
        </w:tc>
      </w:tr>
    </w:tbl>
    <w:p>
      <w:pPr>
        <w:pStyle w:val="7"/>
        <w:spacing w:before="0" w:beforeAutospacing="0" w:after="0" w:afterAutospacing="0" w:line="360" w:lineRule="auto"/>
        <w:ind w:firstLine="420"/>
        <w:rPr>
          <w:sz w:val="21"/>
          <w:szCs w:val="21"/>
        </w:rPr>
      </w:pPr>
      <w:r>
        <w:rPr>
          <w:rFonts w:hint="eastAsia"/>
          <w:b/>
          <w:bCs/>
          <w:sz w:val="21"/>
          <w:szCs w:val="21"/>
        </w:rPr>
        <w:t>(33)苏州银行股份有限公司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(34)杭州联合农村商业银行股份有限公司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(35)东亚银行（中国）有限公司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中国（上海）自由贸易试验区花园石桥路66号29楼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中国（上海）自由贸易试验区花园石桥路66号29楼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李国宝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021-38663866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021-38663966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www.hkbea.com.cn </w:t>
            </w:r>
          </w:p>
        </w:tc>
      </w:tr>
    </w:tbl>
    <w:p>
      <w:pPr>
        <w:pStyle w:val="7"/>
        <w:spacing w:before="0" w:beforeAutospacing="0" w:after="0" w:afterAutospacing="0" w:line="360" w:lineRule="auto"/>
        <w:ind w:firstLine="420"/>
        <w:rPr>
          <w:sz w:val="21"/>
          <w:szCs w:val="21"/>
        </w:rPr>
      </w:pPr>
      <w:r>
        <w:rPr>
          <w:rFonts w:hint="eastAsia"/>
          <w:b/>
          <w:bCs/>
          <w:sz w:val="21"/>
          <w:szCs w:val="21"/>
        </w:rPr>
        <w:t>(36)渣打银行（中国）有限公司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上海市浦东新区世纪大道201号渣打银行大厦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上海市浦东新区福山路500城建国际中心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张晓蕾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闵成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021-50162731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021-58769989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800-820-8088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https://www.sc.com/cn </w:t>
            </w:r>
          </w:p>
        </w:tc>
      </w:tr>
    </w:tbl>
    <w:p>
      <w:pPr>
        <w:pStyle w:val="7"/>
        <w:spacing w:before="0" w:beforeAutospacing="0" w:after="0" w:afterAutospacing="0" w:line="360" w:lineRule="auto"/>
        <w:ind w:firstLine="420"/>
        <w:rPr>
          <w:sz w:val="21"/>
          <w:szCs w:val="21"/>
        </w:rPr>
      </w:pPr>
      <w:r>
        <w:rPr>
          <w:rFonts w:hint="eastAsia"/>
          <w:b/>
          <w:bCs/>
          <w:sz w:val="21"/>
          <w:szCs w:val="21"/>
        </w:rPr>
        <w:t>(37)晋商银行股份有限公司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山西省太原市万柏林区长风西街一号丽华大厦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阎俊生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董嘉文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0351-6819926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95105588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http://www.jshbank.com </w:t>
            </w:r>
          </w:p>
        </w:tc>
      </w:tr>
    </w:tbl>
    <w:p>
      <w:pPr>
        <w:pStyle w:val="7"/>
        <w:spacing w:before="0" w:beforeAutospacing="0" w:after="0" w:afterAutospacing="0" w:line="360" w:lineRule="auto"/>
        <w:ind w:firstLine="420"/>
        <w:rPr>
          <w:sz w:val="21"/>
          <w:szCs w:val="21"/>
        </w:rPr>
      </w:pPr>
      <w:r>
        <w:rPr>
          <w:rFonts w:hint="eastAsia"/>
          <w:b/>
          <w:bCs/>
          <w:sz w:val="21"/>
          <w:szCs w:val="21"/>
        </w:rPr>
        <w:t>(38)浙江绍兴瑞丰农村商业银行股份有限公司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(39)鼎信汇金（北京）投资管理有限公司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www.9ifund.com </w:t>
            </w:r>
          </w:p>
        </w:tc>
      </w:tr>
    </w:tbl>
    <w:p>
      <w:pPr>
        <w:pStyle w:val="7"/>
        <w:spacing w:before="0" w:beforeAutospacing="0" w:after="0" w:afterAutospacing="0" w:line="360" w:lineRule="auto"/>
        <w:ind w:firstLine="420"/>
        <w:rPr>
          <w:sz w:val="21"/>
          <w:szCs w:val="21"/>
        </w:rPr>
      </w:pPr>
      <w:r>
        <w:rPr>
          <w:rFonts w:hint="eastAsia"/>
          <w:b/>
          <w:bCs/>
          <w:sz w:val="21"/>
          <w:szCs w:val="21"/>
        </w:rPr>
        <w:t>(40)深圳市新兰德证券投资咨询有限公司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(41)和讯信息科技有限公司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(42)厦门市鑫鼎盛控股有限公司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(43)江苏天鼎证券投资咨询有限公司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(44)上海挖财基金销售有限公司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(45)大河财富基金销售有限公司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(46)腾安基金销售（深圳）有限公司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(47)民商基金销售（上海）有限公司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(48)北京度小满基金销售有限公司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(49)博时财富基金销售有限公司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(50)诺亚正行基金销售有限公司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(51)深圳众禄基金销售股份有限公司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(52)上海天天基金销售有限公司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(53)上海好买基金销售有限公司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(54)蚂蚁（杭州）基金销售有限公司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(55)上海长量基金销售有限公司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(56)浙江同花顺基金销售有限公司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(57)北京展恒基金销售股份有限公司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(58)上海利得基金销售有限公司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(59)嘉实财富管理有限公司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(60)乾道金融信息服务（北京）有限公司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(61)泛华普益基金销售有限公司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(62)宜信普泽（北京）基金销售有限公司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(63)南京苏宁基金销售有限公司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(64)浦领基金销售有限公司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(65)北京中植基金销售有限公司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(66)北京汇成基金销售有限公司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(67)一路财富（北京）基金销售股份有限公司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(68)北京钱景基金销售有限公司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(69)上海万得基金销售有限公司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(70)凤凰金信（海口）基金销售有限公司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(71)上海联泰基金销售有限公司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(72)深圳市金海九州基金销售有限公司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(73)北京坤元基金销售有限公司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(74)上海基煜基金销售有限公司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(75)上海中正达广基金销售有限公司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(76)深圳新华信通基金销售有限公司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(77)上海陆金所基金销售有限公司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(78)珠海盈米基金销售有限公司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(79)和耕传承基金销售有限公司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(80)南京途牛基金销售有限公司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(81)京东肯特瑞基金销售有限公司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(82)大连网金基金销售有限公司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(83)深圳市金斧子基金销售有限公司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(84)北京雪球基金销售有限公司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(85)深圳前海财厚基金销售有限公司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(86)万家财富基金销售（天津）有限公司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(87)洪泰财富（青岛）基金销售有限责任公司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(88)中信期货有限公司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(89)弘业期货股份有限公司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(90)和合期货有限公司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(91)国泰君安证券股份有限公司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(92)中信建投证券股份有限公司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(93)国信证券股份有限公司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(94)招商证券股份有限公司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(95)广发证券股份有限公司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(96)中信证券股份有限公司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(97)中国银河证券股份有限公司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(98)海通证券股份有限公司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(99)申万宏源证券有限公司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(100)兴业证券股份有限公司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(101)长江证券股份有限公司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(102)安信证券股份有限公司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(103)西南证券股份有限公司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(104)民生证券股份有限公司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北京市东城区建国门内大街28号民生金融中心A座16-18层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北京市东城区建国门内大街28号民生金融中心A座16-20层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余政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010-85127622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010-85127917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www.mszq.com </w:t>
            </w:r>
          </w:p>
        </w:tc>
      </w:tr>
    </w:tbl>
    <w:p>
      <w:pPr>
        <w:pStyle w:val="7"/>
        <w:spacing w:before="0" w:beforeAutospacing="0" w:after="0" w:afterAutospacing="0" w:line="360" w:lineRule="auto"/>
        <w:ind w:firstLine="420"/>
        <w:rPr>
          <w:sz w:val="21"/>
          <w:szCs w:val="21"/>
        </w:rPr>
      </w:pPr>
      <w:r>
        <w:rPr>
          <w:rFonts w:hint="eastAsia"/>
          <w:b/>
          <w:bCs/>
          <w:sz w:val="21"/>
          <w:szCs w:val="21"/>
        </w:rPr>
        <w:t>(105)华泰证券股份有限公司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(106)山西证券股份有限公司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(107)中信证券（山东）有限责任公司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(108)东兴证券股份有限公司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(109)东吴证券股份有限公司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(110)信达证券股份有限公司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(111)方正证券股份有限公司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(112)光大证券股份有限公司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(113)中信证券华南股份有限公司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(114)东北证券股份有限公司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(115)南京证券股份有限公司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(116)大同证券有限责任公司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(117)平安证券股份有限公司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(118)东莞证券有限责任公司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(119)国都证券股份有限公司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北京市东城区东直门南大街3号国华投资大厦9层10层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翁振杰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010-84183333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010-84183311-3389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400-818-8118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http://www.guodu.com </w:t>
            </w:r>
          </w:p>
        </w:tc>
      </w:tr>
    </w:tbl>
    <w:p>
      <w:pPr>
        <w:pStyle w:val="7"/>
        <w:spacing w:before="0" w:beforeAutospacing="0" w:after="0" w:afterAutospacing="0" w:line="360" w:lineRule="auto"/>
        <w:ind w:firstLine="420"/>
        <w:rPr>
          <w:sz w:val="21"/>
          <w:szCs w:val="21"/>
        </w:rPr>
      </w:pPr>
      <w:r>
        <w:rPr>
          <w:rFonts w:hint="eastAsia"/>
          <w:b/>
          <w:bCs/>
          <w:sz w:val="21"/>
          <w:szCs w:val="21"/>
        </w:rPr>
        <w:t>(120)东海证券股份有限公司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(121)中银国际证券股份有限公司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(122)恒泰证券股份有限公司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(123)华西证券股份有限公司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(124)申万宏源西部证券有限公司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(125)中泰证券股份有限公司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(126)第一创业证券股份有限公司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(127)德邦证券股份有限公司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(128)中国国际金融股份有限公司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(129)中国中金财富证券有限公司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(130)东方财富证券股份有限公司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(131)粤开证券股份有限公司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(132)江海证券有限公司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(133)九州证券股份有限公司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(134)国金证券股份有限公司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(135)天风证券股份有限公司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湖北省武汉市武昌区中南路99号保利广场A座37楼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余磊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王雅薇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027-87107535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400-800-5000/ 95391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http://www.tfzq.com/ </w:t>
            </w:r>
          </w:p>
        </w:tc>
      </w:tr>
    </w:tbl>
    <w:p>
      <w:pPr>
        <w:pStyle w:val="7"/>
        <w:spacing w:before="0" w:beforeAutospacing="0" w:after="0" w:afterAutospacing="0" w:line="360" w:lineRule="auto"/>
        <w:ind w:firstLine="420"/>
        <w:rPr>
          <w:sz w:val="21"/>
          <w:szCs w:val="21"/>
        </w:rPr>
      </w:pPr>
      <w:r>
        <w:rPr>
          <w:rFonts w:hint="eastAsia"/>
          <w:b/>
          <w:bCs/>
          <w:sz w:val="21"/>
          <w:szCs w:val="21"/>
        </w:rPr>
        <w:t>(136)华创证券有限责任公司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贵州省贵阳市中华北路216号华创大厦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陶永泽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郭佳来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021-60762618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021-60762700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4008666689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http://www.hczq.com/ </w:t>
            </w:r>
          </w:p>
        </w:tc>
      </w:tr>
    </w:tbl>
    <w:p>
      <w:pPr>
        <w:pStyle w:val="7"/>
        <w:spacing w:before="0" w:beforeAutospacing="0" w:after="0" w:afterAutospacing="0" w:line="360" w:lineRule="auto"/>
        <w:ind w:firstLine="420"/>
        <w:rPr>
          <w:sz w:val="21"/>
          <w:szCs w:val="21"/>
        </w:rPr>
      </w:pPr>
      <w:r>
        <w:rPr>
          <w:rFonts w:hint="eastAsia"/>
          <w:b/>
          <w:bCs/>
          <w:sz w:val="21"/>
          <w:szCs w:val="21"/>
        </w:rPr>
        <w:t>(137)开源证券股份有限公司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029-88365809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86-29-88365835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95325 /400-860-8866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http://www.kysec.cn/ </w:t>
            </w:r>
          </w:p>
        </w:tc>
      </w:tr>
    </w:tbl>
    <w:p>
      <w:pPr>
        <w:pStyle w:val="7"/>
        <w:spacing w:before="0" w:beforeAutospacing="0" w:after="0" w:afterAutospacing="0" w:line="360" w:lineRule="auto"/>
        <w:ind w:firstLine="420"/>
        <w:rPr>
          <w:sz w:val="21"/>
          <w:szCs w:val="21"/>
        </w:rPr>
      </w:pPr>
      <w:r>
        <w:rPr>
          <w:rFonts w:hint="eastAsia"/>
          <w:b/>
          <w:bCs/>
          <w:sz w:val="21"/>
          <w:szCs w:val="21"/>
        </w:rPr>
        <w:t>(138)联储证券有限责任公司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(139)华瑞保险销售有限公司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(140)玄元保险代理有限公司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(141)阳光人寿保险股份有限公司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(142)中国人寿保险股份有限公司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(143)泉州银行股份有限公司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(144)华融湘江银行股份有限公司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湖南省长沙市天心区芙蓉南路一段828号鑫远-杰座大厦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刘永生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张鹏君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0731-89828806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0731-96599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www.hrxjbank.com.cn </w:t>
            </w:r>
          </w:p>
        </w:tc>
      </w:tr>
    </w:tbl>
    <w:p>
      <w:pPr>
        <w:pStyle w:val="7"/>
        <w:spacing w:before="0" w:beforeAutospacing="0" w:after="0" w:afterAutospacing="0" w:line="360" w:lineRule="auto"/>
        <w:ind w:firstLine="420"/>
        <w:rPr>
          <w:sz w:val="21"/>
          <w:szCs w:val="21"/>
        </w:rPr>
      </w:pPr>
      <w:r>
        <w:rPr>
          <w:rFonts w:hint="eastAsia"/>
          <w:b/>
          <w:bCs/>
          <w:sz w:val="21"/>
          <w:szCs w:val="21"/>
        </w:rPr>
        <w:t>(145)广东南粤银行股份有限公司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湛江经济技术开发区乐山路27号财富汇金融中心1层01、02号商铺、2层01号商铺、3层01号商铺、39-45层办公室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湛江经济技术开发区乐山大道60号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蒋丹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莫振辉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18617326417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www.gdnybank.com </w:t>
            </w:r>
          </w:p>
        </w:tc>
      </w:tr>
    </w:tbl>
    <w:p>
      <w:pPr>
        <w:pStyle w:val="7"/>
        <w:spacing w:before="0" w:beforeAutospacing="0" w:after="0" w:afterAutospacing="0" w:line="360" w:lineRule="auto"/>
        <w:ind w:firstLine="420"/>
        <w:rPr>
          <w:sz w:val="21"/>
          <w:szCs w:val="21"/>
        </w:rPr>
      </w:pPr>
      <w:r>
        <w:rPr>
          <w:rFonts w:hint="eastAsia"/>
          <w:b/>
          <w:bCs/>
          <w:sz w:val="21"/>
          <w:szCs w:val="21"/>
        </w:rPr>
        <w:t>(146)龙江银行股份有限公司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(147)青岛农村商业银行股份有限公司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(148)深圳前海微众银行股份有限公司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(149)桂林银行股份有限公司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(150)云南红塔银行股份有限公司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云南省玉溪市东风南路2号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云南省昆明市盘龙区世博路低碳中心A座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李光林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0871-65236624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0871-65236614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0877-96522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www.ynhtbank.com </w:t>
            </w:r>
          </w:p>
        </w:tc>
      </w:tr>
    </w:tbl>
    <w:p>
      <w:pPr>
        <w:pStyle w:val="7"/>
        <w:spacing w:before="0" w:beforeAutospacing="0" w:after="0" w:afterAutospacing="0" w:line="360" w:lineRule="auto"/>
        <w:ind w:firstLine="420"/>
        <w:rPr>
          <w:sz w:val="21"/>
          <w:szCs w:val="21"/>
        </w:rPr>
      </w:pPr>
      <w:r>
        <w:rPr>
          <w:rFonts w:hint="eastAsia"/>
          <w:b/>
          <w:bCs/>
          <w:sz w:val="21"/>
          <w:szCs w:val="21"/>
        </w:rPr>
        <w:t>(151)兰州银行股份有限公司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(152)浙江温州瓯海农村商业银行股份有限公司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浙江省温州市瓯海区瓯海大道989号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浙江省温州市瓯海区瓯海大道989号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黄定表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夏娇容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0577-88330290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(153)九江银行股份有限公司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江西省九江市濂溪区长虹大道619号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江西省九江市濂溪区长虹大道619号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刘羡庭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刘心皓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0792-2190262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0792-8325029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www.jjccb.com </w:t>
            </w:r>
          </w:p>
        </w:tc>
      </w:tr>
    </w:tbl>
    <w:p>
      <w:pPr>
        <w:pStyle w:val="7"/>
        <w:spacing w:before="0" w:beforeAutospacing="0" w:after="0" w:afterAutospacing="0" w:line="360" w:lineRule="auto"/>
        <w:ind w:firstLine="420"/>
        <w:rPr>
          <w:sz w:val="21"/>
          <w:szCs w:val="21"/>
        </w:rPr>
      </w:pPr>
      <w:r>
        <w:rPr>
          <w:rFonts w:hint="eastAsia"/>
          <w:b/>
          <w:bCs/>
          <w:sz w:val="21"/>
          <w:szCs w:val="21"/>
        </w:rPr>
        <w:t>(154)厦门国际银行股份有限公司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(155)湖北银行股份有限公司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陈大林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李昕雅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027-87139129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027-87135931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（湖北）96599（全国）400-85-96599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http://www.hubeibank.cn </w:t>
            </w:r>
          </w:p>
        </w:tc>
      </w:tr>
    </w:tbl>
    <w:p>
      <w:pPr>
        <w:pStyle w:val="7"/>
        <w:spacing w:before="0" w:beforeAutospacing="0" w:after="0" w:afterAutospacing="0" w:line="360" w:lineRule="auto"/>
        <w:ind w:firstLine="420"/>
        <w:rPr>
          <w:sz w:val="21"/>
          <w:szCs w:val="21"/>
        </w:rPr>
      </w:pPr>
      <w:r>
        <w:rPr>
          <w:rFonts w:hint="eastAsia"/>
          <w:b/>
          <w:bCs/>
          <w:sz w:val="21"/>
          <w:szCs w:val="21"/>
        </w:rPr>
        <w:t>(156)宁波鄞州农村商业银行股份有限公司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宁波市鄞州区民惠西路88号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宁波市鄞州区民惠西路88号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周建斌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0574-87412988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0574-87412989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0574-956058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www.beeb.com.cn </w:t>
            </w:r>
          </w:p>
        </w:tc>
      </w:tr>
    </w:tbl>
    <w:p>
      <w:pPr>
        <w:pStyle w:val="7"/>
        <w:spacing w:before="0" w:beforeAutospacing="0" w:after="0" w:afterAutospacing="0" w:line="360" w:lineRule="auto"/>
        <w:ind w:firstLine="420"/>
        <w:rPr>
          <w:sz w:val="21"/>
          <w:szCs w:val="21"/>
        </w:rPr>
      </w:pPr>
      <w:r>
        <w:rPr>
          <w:rFonts w:hint="eastAsia"/>
          <w:b/>
          <w:bCs/>
          <w:sz w:val="21"/>
          <w:szCs w:val="21"/>
        </w:rPr>
        <w:t>(157)贵州银行股份有限公司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www.bgzchina.com </w:t>
            </w:r>
          </w:p>
        </w:tc>
      </w:tr>
    </w:tbl>
    <w:p>
      <w:pPr>
        <w:pStyle w:val="7"/>
        <w:spacing w:before="0" w:beforeAutospacing="0" w:after="0" w:afterAutospacing="0" w:line="360" w:lineRule="auto"/>
        <w:ind w:firstLine="420"/>
        <w:rPr>
          <w:sz w:val="21"/>
          <w:szCs w:val="21"/>
        </w:rPr>
      </w:pPr>
      <w:r>
        <w:rPr>
          <w:rFonts w:hint="eastAsia"/>
          <w:b/>
          <w:bCs/>
          <w:sz w:val="21"/>
          <w:szCs w:val="21"/>
        </w:rPr>
        <w:t>(158)中信百信银行股份有限公司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www.aibank.com </w:t>
            </w:r>
          </w:p>
        </w:tc>
      </w:tr>
    </w:tbl>
    <w:p>
      <w:pPr>
        <w:pStyle w:val="7"/>
        <w:spacing w:before="0" w:beforeAutospacing="0" w:after="0" w:afterAutospacing="0" w:line="360" w:lineRule="auto"/>
        <w:ind w:firstLine="420"/>
        <w:rPr>
          <w:sz w:val="21"/>
          <w:szCs w:val="21"/>
        </w:rPr>
      </w:pPr>
      <w:bookmarkStart w:id="67" w:name="field_0_allproxysaletables_1_end"/>
      <w:bookmarkEnd w:id="67"/>
      <w:r>
        <w:rPr>
          <w:rFonts w:hint="eastAsia"/>
          <w:sz w:val="21"/>
          <w:szCs w:val="21"/>
        </w:rPr>
        <w:t>基金管理人可根据有关法律法规，变更、增减发售本基金的销售机构，并在基金管理人</w:t>
      </w:r>
      <w:bookmarkStart w:id="68" w:name="chapter_level1_7_56_section_2_end"/>
      <w:bookmarkEnd w:id="68"/>
      <w:r>
        <w:rPr>
          <w:rFonts w:hint="eastAsia"/>
          <w:sz w:val="21"/>
          <w:szCs w:val="21"/>
        </w:rPr>
        <w:t xml:space="preserve">网站公示。 </w:t>
      </w:r>
    </w:p>
    <w:p>
      <w:pPr>
        <w:pStyle w:val="7"/>
        <w:spacing w:before="0" w:beforeAutospacing="0" w:after="0" w:afterAutospacing="0" w:line="360" w:lineRule="auto"/>
        <w:ind w:firstLine="420"/>
        <w:rPr>
          <w:sz w:val="21"/>
          <w:szCs w:val="21"/>
        </w:rPr>
      </w:pPr>
      <w:bookmarkStart w:id="69" w:name="chapter_level1_7_56_section_3"/>
      <w:bookmarkEnd w:id="69"/>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70" w:name="field_0_registercompanyinfo_1_start"/>
      <w:bookmarkEnd w:id="70"/>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71" w:name="field_0_registercompanyinfo_1_end"/>
      <w:bookmarkEnd w:id="71"/>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 （021）31358666 </w:t>
      </w:r>
    </w:p>
    <w:p>
      <w:pPr>
        <w:pStyle w:val="7"/>
        <w:spacing w:before="0" w:beforeAutospacing="0" w:after="0" w:afterAutospacing="0" w:line="360" w:lineRule="auto"/>
        <w:ind w:firstLine="420"/>
        <w:rPr>
          <w:sz w:val="21"/>
          <w:szCs w:val="21"/>
        </w:rPr>
      </w:pPr>
      <w:r>
        <w:rPr>
          <w:rFonts w:hint="eastAsia"/>
          <w:sz w:val="21"/>
          <w:szCs w:val="21"/>
        </w:rPr>
        <w:t xml:space="preserve">传真： （021）31358600 </w:t>
      </w:r>
    </w:p>
    <w:p>
      <w:pPr>
        <w:pStyle w:val="7"/>
        <w:spacing w:before="0" w:beforeAutospacing="0" w:after="0" w:afterAutospacing="0" w:line="360" w:lineRule="auto"/>
        <w:ind w:firstLine="420"/>
        <w:rPr>
          <w:sz w:val="21"/>
          <w:szCs w:val="21"/>
        </w:rPr>
      </w:pPr>
      <w:r>
        <w:rPr>
          <w:rFonts w:hint="eastAsia"/>
          <w:sz w:val="21"/>
          <w:szCs w:val="21"/>
        </w:rPr>
        <w:t xml:space="preserve">负责人：俞卫锋 </w:t>
      </w:r>
    </w:p>
    <w:p>
      <w:pPr>
        <w:pStyle w:val="7"/>
        <w:spacing w:before="0" w:beforeAutospacing="0" w:after="0" w:afterAutospacing="0" w:line="360" w:lineRule="auto"/>
        <w:ind w:firstLine="420"/>
        <w:rPr>
          <w:sz w:val="21"/>
          <w:szCs w:val="21"/>
        </w:rPr>
      </w:pPr>
      <w:r>
        <w:rPr>
          <w:rFonts w:hint="eastAsia"/>
          <w:sz w:val="21"/>
          <w:szCs w:val="21"/>
        </w:rPr>
        <w:t xml:space="preserve">联系人：陆奇 </w:t>
      </w:r>
    </w:p>
    <w:p>
      <w:pPr>
        <w:pStyle w:val="7"/>
        <w:spacing w:before="0" w:beforeAutospacing="0" w:after="0" w:afterAutospacing="0" w:line="360" w:lineRule="auto"/>
        <w:ind w:firstLine="420"/>
        <w:rPr>
          <w:sz w:val="21"/>
          <w:szCs w:val="21"/>
        </w:rPr>
      </w:pPr>
      <w:r>
        <w:rPr>
          <w:rFonts w:hint="eastAsia"/>
          <w:sz w:val="21"/>
          <w:szCs w:val="21"/>
        </w:rPr>
        <w:t xml:space="preserve">经办律师：安冬、陆奇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72" w:name="field_0_accountingcompanyinfo_1_start"/>
      <w:bookmarkEnd w:id="72"/>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3" w:name="chapter_level1_7_56_section_3_end"/>
      <w:bookmarkEnd w:id="73"/>
      <w:r>
        <w:rPr>
          <w:rFonts w:hint="eastAsia"/>
          <w:sz w:val="21"/>
          <w:szCs w:val="21"/>
        </w:rPr>
        <w:t xml:space="preserve">经办注册会计师：薛竞、沈兆杰 </w:t>
      </w:r>
      <w:bookmarkStart w:id="74" w:name="field_0_accountingcompanyinfo_1_end"/>
      <w:bookmarkEnd w:id="7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5" w:name="_Toc113632934"/>
      <w:bookmarkStart w:id="76" w:name="chapter_level1_9_58"/>
      <w:r>
        <w:rPr>
          <w:rFonts w:hint="eastAsia" w:ascii="宋体" w:hAnsi="宋体" w:eastAsia="宋体"/>
          <w:sz w:val="30"/>
        </w:rPr>
        <w:t>第六部分 基金的募集与基金合同的生效</w:t>
      </w:r>
      <w:bookmarkEnd w:id="75"/>
      <w:bookmarkEnd w:id="76"/>
    </w:p>
    <w:p>
      <w:pPr>
        <w:pStyle w:val="7"/>
        <w:spacing w:before="0" w:beforeAutospacing="0" w:after="0" w:afterAutospacing="0" w:line="360" w:lineRule="auto"/>
        <w:ind w:firstLine="420"/>
        <w:rPr>
          <w:sz w:val="21"/>
          <w:szCs w:val="21"/>
        </w:rPr>
      </w:pPr>
      <w:bookmarkStart w:id="77" w:name="chapter_level1_9_58_section_1"/>
      <w:bookmarkEnd w:id="77"/>
      <w:r>
        <w:rPr>
          <w:rStyle w:val="11"/>
          <w:rFonts w:hint="eastAsia"/>
          <w:sz w:val="21"/>
          <w:szCs w:val="21"/>
        </w:rPr>
        <w:t>一、 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8" w:name="field_2343_approveddate_2"/>
      <w:r>
        <w:rPr>
          <w:sz w:val="21"/>
          <w:szCs w:val="21"/>
        </w:rPr>
        <w:t>2015年11月2日</w:t>
      </w:r>
      <w:bookmarkEnd w:id="78"/>
      <w:r>
        <w:rPr>
          <w:rFonts w:hint="eastAsia"/>
          <w:sz w:val="21"/>
          <w:szCs w:val="21"/>
        </w:rPr>
        <w:t>证监许可</w:t>
      </w:r>
      <w:bookmarkStart w:id="79" w:name="field_2343_lotnumber_2"/>
      <w:r>
        <w:rPr>
          <w:sz w:val="21"/>
          <w:szCs w:val="21"/>
        </w:rPr>
        <w:t>[2015]2443</w:t>
      </w:r>
      <w:bookmarkEnd w:id="79"/>
      <w:r>
        <w:rPr>
          <w:rFonts w:hint="eastAsia"/>
          <w:sz w:val="21"/>
          <w:szCs w:val="21"/>
        </w:rPr>
        <w:t xml:space="preserve">号文准予注册募集。 </w:t>
      </w:r>
    </w:p>
    <w:p>
      <w:pPr>
        <w:pStyle w:val="7"/>
        <w:spacing w:before="0" w:beforeAutospacing="0" w:after="0" w:afterAutospacing="0" w:line="360" w:lineRule="auto"/>
        <w:ind w:firstLine="420"/>
        <w:rPr>
          <w:sz w:val="21"/>
          <w:szCs w:val="21"/>
        </w:rPr>
      </w:pPr>
      <w:r>
        <w:rPr>
          <w:rFonts w:hint="eastAsia"/>
          <w:sz w:val="21"/>
          <w:szCs w:val="21"/>
        </w:rPr>
        <w:t>本基金募集期从</w:t>
      </w:r>
      <w:bookmarkStart w:id="80" w:name="field_58_raisebegindate_1"/>
      <w:r>
        <w:rPr>
          <w:sz w:val="21"/>
          <w:szCs w:val="21"/>
        </w:rPr>
        <w:t>2017年3月21日</w:t>
      </w:r>
      <w:bookmarkEnd w:id="80"/>
      <w:r>
        <w:rPr>
          <w:rFonts w:hint="eastAsia"/>
          <w:sz w:val="21"/>
          <w:szCs w:val="21"/>
        </w:rPr>
        <w:t>起至</w:t>
      </w:r>
      <w:bookmarkStart w:id="81" w:name="field_58_raiseenddate_1"/>
      <w:r>
        <w:rPr>
          <w:sz w:val="21"/>
          <w:szCs w:val="21"/>
        </w:rPr>
        <w:t>2017年5月26日</w:t>
      </w:r>
      <w:bookmarkEnd w:id="81"/>
      <w:r>
        <w:rPr>
          <w:rFonts w:hint="eastAsia"/>
          <w:sz w:val="21"/>
          <w:szCs w:val="21"/>
        </w:rPr>
        <w:t>止，共募集</w:t>
      </w:r>
      <w:bookmarkStart w:id="82" w:name="field_58_raisetotal_1"/>
      <w:r>
        <w:rPr>
          <w:sz w:val="21"/>
          <w:szCs w:val="21"/>
        </w:rPr>
        <w:t>207,364,454.65</w:t>
      </w:r>
      <w:bookmarkEnd w:id="82"/>
      <w:r>
        <w:rPr>
          <w:rFonts w:hint="eastAsia"/>
          <w:sz w:val="21"/>
          <w:szCs w:val="21"/>
        </w:rPr>
        <w:t>份（含利息结转的份额），有效认购户数为</w:t>
      </w:r>
      <w:bookmarkStart w:id="83" w:name="field_58_effectivetotal_1"/>
      <w:r>
        <w:rPr>
          <w:sz w:val="21"/>
          <w:szCs w:val="21"/>
        </w:rPr>
        <w:t>697</w:t>
      </w:r>
      <w:bookmarkEnd w:id="83"/>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84" w:name="field_58_operation_1"/>
      <w:r>
        <w:rPr>
          <w:rFonts w:hint="eastAsia"/>
          <w:sz w:val="21"/>
          <w:szCs w:val="21"/>
        </w:rPr>
        <w:t>契约型开放式</w:t>
      </w:r>
      <w:bookmarkEnd w:id="84"/>
      <w:r>
        <w:rPr>
          <w:rFonts w:hint="eastAsia"/>
          <w:sz w:val="21"/>
          <w:szCs w:val="21"/>
        </w:rPr>
        <w:t>，存续期间为</w:t>
      </w:r>
      <w:bookmarkStart w:id="85" w:name="field_58_duration_1"/>
      <w:r>
        <w:rPr>
          <w:rFonts w:hint="eastAsia"/>
          <w:sz w:val="21"/>
          <w:szCs w:val="21"/>
        </w:rPr>
        <w:t>不定期</w:t>
      </w:r>
      <w:bookmarkEnd w:id="8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6" w:name="chapter_level1_9_58_section_1_end"/>
      <w:bookmarkEnd w:id="86"/>
      <w:r>
        <w:rPr>
          <w:rFonts w:hint="eastAsia"/>
          <w:sz w:val="21"/>
          <w:szCs w:val="21"/>
        </w:rPr>
        <w:t>本基金的基金合同已于</w:t>
      </w:r>
      <w:bookmarkStart w:id="87" w:name="field_0_foundday_1"/>
      <w:r>
        <w:rPr>
          <w:sz w:val="21"/>
          <w:szCs w:val="21"/>
        </w:rPr>
        <w:t>2017年6月5日</w:t>
      </w:r>
      <w:bookmarkEnd w:id="87"/>
      <w:r>
        <w:rPr>
          <w:rFonts w:hint="eastAsia"/>
          <w:sz w:val="21"/>
          <w:szCs w:val="21"/>
        </w:rPr>
        <w:t xml:space="preserve">生效 </w:t>
      </w:r>
    </w:p>
    <w:p>
      <w:pPr>
        <w:pStyle w:val="7"/>
        <w:spacing w:before="0" w:beforeAutospacing="0" w:after="0" w:afterAutospacing="0" w:line="360" w:lineRule="auto"/>
        <w:ind w:firstLine="420"/>
        <w:rPr>
          <w:sz w:val="21"/>
          <w:szCs w:val="21"/>
        </w:rPr>
      </w:pPr>
      <w:bookmarkStart w:id="88" w:name="chapter_level1_9_58_section_2"/>
      <w:bookmarkEnd w:id="88"/>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合同》生效后，若连续二十个工作日出现基金份额持有人数量不满200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pPr>
        <w:pStyle w:val="7"/>
        <w:spacing w:before="0" w:beforeAutospacing="0" w:after="0" w:afterAutospacing="0" w:line="360" w:lineRule="auto"/>
        <w:ind w:firstLine="420"/>
        <w:rPr>
          <w:sz w:val="21"/>
          <w:szCs w:val="21"/>
        </w:rPr>
      </w:pPr>
      <w:bookmarkStart w:id="89" w:name="chapter_level1_9_58_section_2_end"/>
      <w:bookmarkEnd w:id="89"/>
      <w:r>
        <w:rPr>
          <w:rFonts w:hint="eastAsia"/>
          <w:sz w:val="21"/>
          <w:szCs w:val="21"/>
        </w:rPr>
        <w:t xml:space="preserve">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0" w:name="chapter_level1_10_59"/>
      <w:bookmarkStart w:id="91" w:name="_Toc113632935"/>
      <w:r>
        <w:rPr>
          <w:rFonts w:hint="eastAsia" w:ascii="宋体" w:hAnsi="宋体" w:eastAsia="宋体"/>
          <w:sz w:val="30"/>
        </w:rPr>
        <w:t>第七部分  基金份额的申购与赎回</w:t>
      </w:r>
      <w:bookmarkEnd w:id="90"/>
      <w:bookmarkEnd w:id="91"/>
    </w:p>
    <w:p>
      <w:pPr>
        <w:pStyle w:val="7"/>
        <w:spacing w:before="0" w:beforeAutospacing="0" w:after="0" w:afterAutospacing="0" w:line="360" w:lineRule="auto"/>
        <w:ind w:firstLine="420"/>
        <w:rPr>
          <w:sz w:val="21"/>
          <w:szCs w:val="21"/>
        </w:rPr>
      </w:pPr>
      <w:bookmarkStart w:id="92" w:name="chapter_level1_10_59_section_1"/>
      <w:bookmarkEnd w:id="92"/>
      <w:r>
        <w:rPr>
          <w:rStyle w:val="11"/>
          <w:rFonts w:hint="eastAsia"/>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w:t>
      </w:r>
      <w:bookmarkStart w:id="93" w:name="chapter_level1_10_59_section_1_end"/>
      <w:bookmarkEnd w:id="93"/>
      <w:r>
        <w:rPr>
          <w:rFonts w:hint="eastAsia"/>
          <w:sz w:val="21"/>
          <w:szCs w:val="21"/>
        </w:rPr>
        <w:t xml:space="preserve">额的申购与赎回。 </w:t>
      </w:r>
    </w:p>
    <w:p>
      <w:pPr>
        <w:pStyle w:val="7"/>
        <w:spacing w:before="0" w:beforeAutospacing="0" w:after="0" w:afterAutospacing="0" w:line="360" w:lineRule="auto"/>
        <w:ind w:firstLine="420"/>
        <w:rPr>
          <w:sz w:val="21"/>
          <w:szCs w:val="21"/>
        </w:rPr>
      </w:pPr>
      <w:bookmarkStart w:id="94" w:name="chapter_level1_10_59_section_2"/>
      <w:bookmarkEnd w:id="94"/>
      <w:r>
        <w:rPr>
          <w:rStyle w:val="11"/>
          <w:rFonts w:hint="eastAsia"/>
          <w:sz w:val="21"/>
          <w:szCs w:val="21"/>
        </w:rPr>
        <w:t>二、申购、赎回开放日及业务办理时间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本基金已于2017年7月28日起开始办理申购赎回业务。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5" w:name="chapter_level1_10_59_section_2_end"/>
      <w:bookmarkEnd w:id="95"/>
      <w:r>
        <w:rPr>
          <w:rFonts w:hint="eastAsia"/>
          <w:sz w:val="21"/>
          <w:szCs w:val="21"/>
        </w:rPr>
        <w:t xml:space="preserve">受的，其基金份额申购、赎回价格为下一开放日该类基金份额申购、赎回的价格。 </w:t>
      </w:r>
    </w:p>
    <w:p>
      <w:pPr>
        <w:pStyle w:val="7"/>
        <w:spacing w:before="0" w:beforeAutospacing="0" w:after="0" w:afterAutospacing="0" w:line="360" w:lineRule="auto"/>
        <w:ind w:firstLine="420"/>
        <w:rPr>
          <w:sz w:val="21"/>
          <w:szCs w:val="21"/>
        </w:rPr>
      </w:pPr>
      <w:bookmarkStart w:id="96" w:name="chapter_level1_10_59_section_3"/>
      <w:bookmarkEnd w:id="96"/>
      <w:r>
        <w:rPr>
          <w:rFonts w:hint="eastAsia"/>
          <w:b/>
          <w:bCs/>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1、投资者通过代销机构申购的，首次申购本基金份额的最低金额为</w:t>
      </w:r>
      <w:bookmarkStart w:id="97" w:name="field_59_dealerfirstpurminamount_1"/>
      <w:r>
        <w:rPr>
          <w:sz w:val="21"/>
          <w:szCs w:val="21"/>
        </w:rPr>
        <w:t>1</w:t>
      </w:r>
      <w:bookmarkEnd w:id="97"/>
      <w:r>
        <w:rPr>
          <w:rFonts w:hint="eastAsia"/>
          <w:sz w:val="21"/>
          <w:szCs w:val="21"/>
        </w:rPr>
        <w:t>元，追加申购最低金额为</w:t>
      </w:r>
      <w:bookmarkStart w:id="98" w:name="field_59_dealerfirstpurminamount_2"/>
      <w:r>
        <w:rPr>
          <w:sz w:val="21"/>
          <w:szCs w:val="21"/>
        </w:rPr>
        <w:t>1</w:t>
      </w:r>
      <w:bookmarkEnd w:id="98"/>
      <w:r>
        <w:rPr>
          <w:rFonts w:hint="eastAsia"/>
          <w:sz w:val="21"/>
          <w:szCs w:val="21"/>
        </w:rPr>
        <w:t>元；投资者通过基金管理人直销机构申购的，首次申购本基金份额的最低金额为</w:t>
      </w:r>
      <w:bookmarkStart w:id="99" w:name="field_59_dealerfirstpurminamount_3"/>
      <w:r>
        <w:rPr>
          <w:sz w:val="21"/>
          <w:szCs w:val="21"/>
        </w:rPr>
        <w:t>1</w:t>
      </w:r>
      <w:bookmarkEnd w:id="99"/>
      <w:r>
        <w:rPr>
          <w:rFonts w:hint="eastAsia"/>
          <w:sz w:val="21"/>
          <w:szCs w:val="21"/>
        </w:rPr>
        <w:t>元，追加申购最低金额为</w:t>
      </w:r>
      <w:bookmarkStart w:id="100" w:name="field_59_dealerfirstpurminamount_4"/>
      <w:r>
        <w:rPr>
          <w:sz w:val="21"/>
          <w:szCs w:val="21"/>
        </w:rPr>
        <w:t>1</w:t>
      </w:r>
      <w:bookmarkEnd w:id="100"/>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 xml:space="preserve">各代销机构在不低于上述规定的前提下，可根据自己的情况调整首次最低申购金额和追加最低申购金额限制，具体以各代销机构的规定为准；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1" w:name="field_59_minholdshare_1"/>
      <w:r>
        <w:rPr>
          <w:sz w:val="21"/>
          <w:szCs w:val="21"/>
        </w:rPr>
        <w:t>1</w:t>
      </w:r>
      <w:bookmarkEnd w:id="101"/>
      <w:r>
        <w:rPr>
          <w:rFonts w:hint="eastAsia"/>
          <w:sz w:val="21"/>
          <w:szCs w:val="21"/>
        </w:rPr>
        <w:t>份，若某笔赎回导致单个交易账户的基金份额余额少于</w:t>
      </w:r>
      <w:bookmarkStart w:id="102" w:name="field_59_minholdshare_2"/>
      <w:r>
        <w:rPr>
          <w:sz w:val="21"/>
          <w:szCs w:val="21"/>
        </w:rPr>
        <w:t>1</w:t>
      </w:r>
      <w:bookmarkEnd w:id="102"/>
      <w:r>
        <w:rPr>
          <w:rFonts w:hint="eastAsia"/>
          <w:sz w:val="21"/>
          <w:szCs w:val="21"/>
        </w:rPr>
        <w:t xml:space="preserve">份时，余额部分基金份额必须一同赎回；投资者须遵循各销售机构有关扣款日期的规定，定投金额每次不少于人民币10元（含100元）。  </w:t>
      </w:r>
    </w:p>
    <w:p>
      <w:pPr>
        <w:pStyle w:val="7"/>
        <w:spacing w:before="0" w:beforeAutospacing="0" w:after="0" w:afterAutospacing="0" w:line="360" w:lineRule="auto"/>
        <w:ind w:firstLine="420"/>
        <w:rPr>
          <w:sz w:val="21"/>
          <w:szCs w:val="21"/>
        </w:rPr>
      </w:pPr>
      <w:r>
        <w:rPr>
          <w:rFonts w:hint="eastAsia"/>
          <w:sz w:val="21"/>
          <w:szCs w:val="21"/>
        </w:rPr>
        <w:t xml:space="preserve">3、基金管理人可以规定单个投资人累计持有的基金份额上限，具体规定请参见更新的招募说明书或相关公告。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5、基金管理人可以根据市场情况，在法律法规允许的情况下，调整上述规定申购金额和赎回份额的数量限制。基金管理人必须在调整实施前依照《信息披露办法》的有关规定公告。 </w:t>
      </w:r>
    </w:p>
    <w:p>
      <w:pPr>
        <w:pStyle w:val="7"/>
        <w:spacing w:before="0" w:beforeAutospacing="0" w:after="0" w:afterAutospacing="0" w:line="360" w:lineRule="auto"/>
        <w:ind w:firstLine="420"/>
        <w:rPr>
          <w:sz w:val="21"/>
          <w:szCs w:val="21"/>
        </w:rPr>
      </w:pPr>
      <w:r>
        <w:rPr>
          <w:rFonts w:hint="eastAsia"/>
          <w:b/>
          <w:bCs/>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1、“未知价”原则，即申购、赎回价格以申请当日收市后计算的该类基金份额净值为基准进行计算；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基金管理人可在法律法规允许的情况下，对上述原则进行调整。基金管理人必须在新规则开始实施前依照《信息披露办法》的有关规定进行公告。 </w:t>
      </w:r>
    </w:p>
    <w:p>
      <w:pPr>
        <w:pStyle w:val="7"/>
        <w:spacing w:before="0" w:beforeAutospacing="0" w:after="0" w:afterAutospacing="0" w:line="360" w:lineRule="auto"/>
        <w:ind w:firstLine="420"/>
        <w:rPr>
          <w:sz w:val="21"/>
          <w:szCs w:val="21"/>
        </w:rPr>
      </w:pPr>
      <w:r>
        <w:rPr>
          <w:rFonts w:hint="eastAsia"/>
          <w:b/>
          <w:bCs/>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投资人申购基金份额时，必须全额交付申购款项，投资人全额交付申购款项，申购申请成立；登记机构确认基金份额时，申购生效。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基金份额持有人递交赎回申请，赎回成立；登记机构确认赎回时，赎回生效。 </w:t>
      </w:r>
    </w:p>
    <w:p>
      <w:pPr>
        <w:pStyle w:val="7"/>
        <w:spacing w:before="0" w:beforeAutospacing="0" w:after="0" w:afterAutospacing="0" w:line="360" w:lineRule="auto"/>
        <w:ind w:firstLine="420"/>
        <w:rPr>
          <w:sz w:val="21"/>
          <w:szCs w:val="21"/>
        </w:rPr>
      </w:pPr>
      <w:r>
        <w:rPr>
          <w:rFonts w:hint="eastAsia"/>
          <w:b/>
          <w:bCs/>
          <w:sz w:val="21"/>
          <w:szCs w:val="21"/>
        </w:rPr>
        <w:t>六、申购费用、赎回费用</w:t>
      </w:r>
    </w:p>
    <w:p>
      <w:pPr>
        <w:pStyle w:val="7"/>
        <w:spacing w:before="0" w:beforeAutospacing="0" w:after="0" w:afterAutospacing="0" w:line="360" w:lineRule="auto"/>
        <w:ind w:firstLine="420"/>
        <w:rPr>
          <w:sz w:val="21"/>
          <w:szCs w:val="21"/>
        </w:rPr>
      </w:pPr>
      <w:r>
        <w:rPr>
          <w:rFonts w:hint="eastAsia"/>
          <w:sz w:val="21"/>
          <w:szCs w:val="21"/>
        </w:rPr>
        <w:t xml:space="preserve">1、申购赎回费率 </w:t>
      </w:r>
    </w:p>
    <w:p>
      <w:pPr>
        <w:pStyle w:val="7"/>
        <w:spacing w:before="0" w:beforeAutospacing="0" w:after="0" w:afterAutospacing="0" w:line="360" w:lineRule="auto"/>
        <w:ind w:firstLine="420"/>
        <w:jc w:val="center"/>
        <w:rPr>
          <w:sz w:val="21"/>
          <w:szCs w:val="21"/>
        </w:rPr>
      </w:pPr>
      <w:r>
        <w:rPr>
          <w:rFonts w:hint="eastAsia"/>
          <w:sz w:val="21"/>
          <w:szCs w:val="21"/>
        </w:rPr>
        <w:t xml:space="preserve">表2：本基金的申购费率结构表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4"/>
        <w:gridCol w:w="313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pct"/>
            <w:shd w:val="clear" w:color="auto" w:fill="auto"/>
          </w:tcPr>
          <w:p>
            <w:pPr>
              <w:pStyle w:val="7"/>
              <w:jc w:val="center"/>
            </w:pPr>
            <w:r>
              <w:rPr>
                <w:rFonts w:hint="eastAsia"/>
              </w:rPr>
              <w:t xml:space="preserve">申购金额（M）  </w:t>
            </w:r>
          </w:p>
        </w:tc>
        <w:tc>
          <w:tcPr>
            <w:tcW w:w="1839" w:type="pct"/>
            <w:shd w:val="clear" w:color="auto" w:fill="auto"/>
          </w:tcPr>
          <w:p>
            <w:pPr>
              <w:pStyle w:val="7"/>
              <w:jc w:val="center"/>
            </w:pPr>
            <w:r>
              <w:rPr>
                <w:rFonts w:hint="eastAsia"/>
              </w:rPr>
              <w:t xml:space="preserve">A类基金份额申购费率  </w:t>
            </w:r>
          </w:p>
        </w:tc>
        <w:tc>
          <w:tcPr>
            <w:tcW w:w="1191" w:type="pct"/>
            <w:shd w:val="clear" w:color="auto" w:fill="auto"/>
          </w:tcPr>
          <w:p>
            <w:pPr>
              <w:pStyle w:val="7"/>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9" w:type="pct"/>
            <w:shd w:val="clear" w:color="auto" w:fill="auto"/>
          </w:tcPr>
          <w:p>
            <w:pPr>
              <w:pStyle w:val="7"/>
              <w:jc w:val="center"/>
            </w:pPr>
            <w:r>
              <w:rPr>
                <w:rFonts w:hint="eastAsia"/>
              </w:rPr>
              <w:t xml:space="preserve">M &lt; 50万元  </w:t>
            </w:r>
          </w:p>
        </w:tc>
        <w:tc>
          <w:tcPr>
            <w:tcW w:w="1839" w:type="pct"/>
            <w:shd w:val="clear" w:color="auto" w:fill="auto"/>
          </w:tcPr>
          <w:p>
            <w:pPr>
              <w:pStyle w:val="7"/>
              <w:jc w:val="center"/>
            </w:pPr>
            <w:r>
              <w:rPr>
                <w:rFonts w:hint="eastAsia"/>
              </w:rPr>
              <w:t xml:space="preserve">1.50%  </w:t>
            </w:r>
          </w:p>
        </w:tc>
        <w:tc>
          <w:tcPr>
            <w:tcW w:w="1191" w:type="pct"/>
            <w:vMerge w:val="restart"/>
            <w:shd w:val="clear" w:color="auto" w:fill="auto"/>
          </w:tcPr>
          <w:p>
            <w:pPr>
              <w:pStyle w:val="7"/>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pct"/>
            <w:shd w:val="clear" w:color="auto" w:fill="auto"/>
          </w:tcPr>
          <w:p>
            <w:pPr>
              <w:pStyle w:val="7"/>
              <w:jc w:val="center"/>
            </w:pPr>
            <w:r>
              <w:rPr>
                <w:rFonts w:hint="eastAsia"/>
              </w:rPr>
              <w:t xml:space="preserve">50万元≤ M &lt;100万元  </w:t>
            </w:r>
          </w:p>
        </w:tc>
        <w:tc>
          <w:tcPr>
            <w:tcW w:w="1839" w:type="pct"/>
            <w:shd w:val="clear" w:color="auto" w:fill="auto"/>
          </w:tcPr>
          <w:p>
            <w:pPr>
              <w:pStyle w:val="7"/>
              <w:jc w:val="center"/>
            </w:pPr>
            <w:r>
              <w:rPr>
                <w:rFonts w:hint="eastAsia"/>
              </w:rPr>
              <w:t xml:space="preserve">1.00%  </w:t>
            </w:r>
          </w:p>
        </w:tc>
        <w:tc>
          <w:tcPr>
            <w:tcW w:w="1191"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pct"/>
            <w:shd w:val="clear" w:color="auto" w:fill="auto"/>
          </w:tcPr>
          <w:p>
            <w:pPr>
              <w:pStyle w:val="7"/>
              <w:jc w:val="center"/>
            </w:pPr>
            <w:r>
              <w:rPr>
                <w:rFonts w:hint="eastAsia"/>
              </w:rPr>
              <w:t xml:space="preserve">100万元≤ M &lt;1000万元  </w:t>
            </w:r>
          </w:p>
        </w:tc>
        <w:tc>
          <w:tcPr>
            <w:tcW w:w="1839" w:type="pct"/>
            <w:shd w:val="clear" w:color="auto" w:fill="auto"/>
          </w:tcPr>
          <w:p>
            <w:pPr>
              <w:pStyle w:val="7"/>
              <w:jc w:val="center"/>
            </w:pPr>
            <w:r>
              <w:rPr>
                <w:rFonts w:hint="eastAsia"/>
              </w:rPr>
              <w:t xml:space="preserve">0.80%  </w:t>
            </w:r>
          </w:p>
        </w:tc>
        <w:tc>
          <w:tcPr>
            <w:tcW w:w="1191"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9" w:type="pct"/>
            <w:shd w:val="clear" w:color="auto" w:fill="auto"/>
          </w:tcPr>
          <w:p>
            <w:pPr>
              <w:pStyle w:val="7"/>
              <w:jc w:val="center"/>
            </w:pPr>
            <w:r>
              <w:rPr>
                <w:rFonts w:hint="eastAsia"/>
              </w:rPr>
              <w:t xml:space="preserve">M ≥1000万元  </w:t>
            </w:r>
          </w:p>
        </w:tc>
        <w:tc>
          <w:tcPr>
            <w:tcW w:w="1839" w:type="pct"/>
            <w:shd w:val="clear" w:color="auto" w:fill="auto"/>
          </w:tcPr>
          <w:p>
            <w:pPr>
              <w:pStyle w:val="7"/>
              <w:jc w:val="center"/>
            </w:pPr>
            <w:r>
              <w:rPr>
                <w:rFonts w:hint="eastAsia"/>
              </w:rPr>
              <w:t xml:space="preserve">收取固定费用1000元/笔  </w:t>
            </w:r>
          </w:p>
        </w:tc>
        <w:tc>
          <w:tcPr>
            <w:tcW w:w="1191" w:type="pct"/>
            <w:vMerge w:val="continue"/>
            <w:shd w:val="clear" w:color="auto" w:fill="auto"/>
          </w:tcPr>
          <w:p>
            <w:pPr>
              <w:rPr>
                <w:rFonts w:ascii="宋体" w:hAnsi="宋体" w:eastAsia="宋体" w:cs="宋体"/>
                <w:sz w:val="24"/>
                <w:szCs w:val="24"/>
              </w:rPr>
            </w:pPr>
          </w:p>
        </w:tc>
      </w:tr>
    </w:tbl>
    <w:p>
      <w:pPr>
        <w:spacing w:line="360" w:lineRule="auto"/>
        <w:ind w:firstLine="420"/>
        <w:rPr>
          <w:rFonts w:ascii="宋体" w:hAnsi="宋体" w:eastAsia="宋体"/>
          <w:szCs w:val="21"/>
        </w:rPr>
      </w:pPr>
      <w:r>
        <w:rPr>
          <w:rFonts w:hint="eastAsia" w:ascii="宋体" w:hAnsi="宋体" w:eastAsia="宋体"/>
          <w:szCs w:val="21"/>
        </w:rPr>
        <w:t xml:space="preserve">来源：博时基金  </w:t>
      </w:r>
    </w:p>
    <w:p>
      <w:pPr>
        <w:pStyle w:val="7"/>
        <w:spacing w:before="0" w:beforeAutospacing="0" w:after="0" w:afterAutospacing="0" w:line="360" w:lineRule="auto"/>
        <w:ind w:firstLine="420"/>
        <w:jc w:val="center"/>
        <w:rPr>
          <w:sz w:val="21"/>
          <w:szCs w:val="21"/>
        </w:rPr>
      </w:pPr>
      <w:r>
        <w:rPr>
          <w:rFonts w:hint="eastAsia"/>
          <w:sz w:val="21"/>
          <w:szCs w:val="21"/>
        </w:rPr>
        <w:t xml:space="preserve">表3：本基金的赎回费率结构表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2909"/>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持有基金份额期限（Y）  </w:t>
            </w:r>
          </w:p>
        </w:tc>
        <w:tc>
          <w:tcPr>
            <w:tcW w:w="1708" w:type="pct"/>
            <w:shd w:val="clear" w:color="auto" w:fill="auto"/>
          </w:tcPr>
          <w:p>
            <w:pPr>
              <w:pStyle w:val="7"/>
              <w:jc w:val="center"/>
            </w:pPr>
            <w:r>
              <w:rPr>
                <w:rFonts w:hint="eastAsia"/>
              </w:rPr>
              <w:t xml:space="preserve">A类基金份额赎回费率  </w:t>
            </w:r>
          </w:p>
        </w:tc>
        <w:tc>
          <w:tcPr>
            <w:tcW w:w="1464" w:type="pct"/>
            <w:shd w:val="clear" w:color="auto" w:fill="auto"/>
          </w:tcPr>
          <w:p>
            <w:pPr>
              <w:pStyle w:val="7"/>
              <w:jc w:val="center"/>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Y &lt; 7日  </w:t>
            </w:r>
          </w:p>
        </w:tc>
        <w:tc>
          <w:tcPr>
            <w:tcW w:w="1708" w:type="pct"/>
            <w:shd w:val="clear" w:color="auto" w:fill="auto"/>
          </w:tcPr>
          <w:p>
            <w:pPr>
              <w:pStyle w:val="7"/>
              <w:jc w:val="center"/>
            </w:pPr>
            <w:r>
              <w:rPr>
                <w:rFonts w:hint="eastAsia"/>
              </w:rPr>
              <w:t xml:space="preserve">1.50%  </w:t>
            </w:r>
          </w:p>
        </w:tc>
        <w:tc>
          <w:tcPr>
            <w:tcW w:w="1464" w:type="pct"/>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7日≤ Y &lt;30日  </w:t>
            </w:r>
          </w:p>
        </w:tc>
        <w:tc>
          <w:tcPr>
            <w:tcW w:w="1708" w:type="pct"/>
            <w:shd w:val="clear" w:color="auto" w:fill="auto"/>
          </w:tcPr>
          <w:p>
            <w:pPr>
              <w:pStyle w:val="7"/>
              <w:jc w:val="center"/>
            </w:pPr>
            <w:r>
              <w:rPr>
                <w:rFonts w:hint="eastAsia"/>
              </w:rPr>
              <w:t xml:space="preserve">0.75%  </w:t>
            </w:r>
          </w:p>
        </w:tc>
        <w:tc>
          <w:tcPr>
            <w:tcW w:w="1464" w:type="pct"/>
            <w:shd w:val="clear" w:color="auto" w:fill="auto"/>
          </w:tcPr>
          <w:p>
            <w:pPr>
              <w:pStyle w:val="7"/>
              <w:jc w:val="center"/>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30日≤ Y &lt;2年  </w:t>
            </w:r>
          </w:p>
        </w:tc>
        <w:tc>
          <w:tcPr>
            <w:tcW w:w="1708" w:type="pct"/>
            <w:shd w:val="clear" w:color="auto" w:fill="auto"/>
          </w:tcPr>
          <w:p>
            <w:pPr>
              <w:pStyle w:val="7"/>
              <w:jc w:val="center"/>
            </w:pPr>
            <w:r>
              <w:rPr>
                <w:rFonts w:hint="eastAsia"/>
              </w:rPr>
              <w:t xml:space="preserve">0.50%  </w:t>
            </w:r>
          </w:p>
        </w:tc>
        <w:tc>
          <w:tcPr>
            <w:tcW w:w="1464" w:type="pct"/>
            <w:vMerge w:val="restart"/>
            <w:shd w:val="clear" w:color="auto" w:fill="auto"/>
          </w:tcPr>
          <w:p>
            <w:pPr>
              <w:pStyle w:val="7"/>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2年≤ Y &lt;3年  </w:t>
            </w:r>
          </w:p>
        </w:tc>
        <w:tc>
          <w:tcPr>
            <w:tcW w:w="1708" w:type="pct"/>
            <w:shd w:val="clear" w:color="auto" w:fill="auto"/>
          </w:tcPr>
          <w:p>
            <w:pPr>
              <w:pStyle w:val="7"/>
              <w:jc w:val="center"/>
            </w:pPr>
            <w:r>
              <w:rPr>
                <w:rFonts w:hint="eastAsia"/>
              </w:rPr>
              <w:t xml:space="preserve">0.25%  </w:t>
            </w:r>
          </w:p>
        </w:tc>
        <w:tc>
          <w:tcPr>
            <w:tcW w:w="1464"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pct"/>
            <w:shd w:val="clear" w:color="auto" w:fill="auto"/>
          </w:tcPr>
          <w:p>
            <w:pPr>
              <w:pStyle w:val="7"/>
              <w:jc w:val="center"/>
            </w:pPr>
            <w:r>
              <w:rPr>
                <w:rFonts w:hint="eastAsia"/>
              </w:rPr>
              <w:t xml:space="preserve">Y ≥ 3年  </w:t>
            </w:r>
          </w:p>
        </w:tc>
        <w:tc>
          <w:tcPr>
            <w:tcW w:w="1708" w:type="pct"/>
            <w:shd w:val="clear" w:color="auto" w:fill="auto"/>
          </w:tcPr>
          <w:p>
            <w:pPr>
              <w:pStyle w:val="7"/>
              <w:jc w:val="center"/>
            </w:pPr>
            <w:r>
              <w:rPr>
                <w:rFonts w:hint="eastAsia"/>
              </w:rPr>
              <w:t xml:space="preserve">0.00%  </w:t>
            </w:r>
          </w:p>
        </w:tc>
        <w:tc>
          <w:tcPr>
            <w:tcW w:w="1464" w:type="pct"/>
            <w:vMerge w:val="continue"/>
            <w:shd w:val="clear" w:color="auto" w:fill="auto"/>
          </w:tcPr>
          <w:p>
            <w:pPr>
              <w:rPr>
                <w:rFonts w:ascii="宋体" w:hAnsi="宋体" w:eastAsia="宋体" w:cs="宋体"/>
                <w:sz w:val="24"/>
                <w:szCs w:val="24"/>
              </w:rPr>
            </w:pPr>
          </w:p>
        </w:tc>
      </w:tr>
    </w:tbl>
    <w:p>
      <w:pPr>
        <w:spacing w:line="360" w:lineRule="auto"/>
        <w:ind w:firstLine="420"/>
        <w:rPr>
          <w:rFonts w:ascii="宋体" w:hAnsi="宋体" w:eastAsia="宋体"/>
          <w:szCs w:val="21"/>
        </w:rPr>
      </w:pPr>
      <w:r>
        <w:rPr>
          <w:rFonts w:hint="eastAsia" w:ascii="宋体" w:hAnsi="宋体" w:eastAsia="宋体"/>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注：1年等于365日，1个月等于30日 </w:t>
      </w:r>
    </w:p>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本基金的申购费用由投资人承担，不列入基金资产，申购费主要用于本基金的市场推广和销售、登记等各项费用。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本基金赎回费用由赎回基金份额的基金份额持有人承担，在基金份额持有人赎回基金份额时收取。对于A类基金份额，本基金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对持续持有期不少于6个月的投资人收取的赎回费总额的25%计入基金财产。对于C类基金份额，对持续持有期少于30日的投资人收取的赎回费全额计入基金财产。赎回费未归入基金财产的部分用于支付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基金管理人可以在基金合同约定的范围内调整费率或收费方式，并最迟应于新的费率或收费方式实施日前依照《信息披露办法》的有关规定进行公告。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基金赎回费率和销售服务费率，并进行公告。 </w:t>
      </w:r>
    </w:p>
    <w:p>
      <w:pPr>
        <w:pStyle w:val="7"/>
        <w:spacing w:before="0" w:beforeAutospacing="0" w:after="0" w:afterAutospacing="0" w:line="360" w:lineRule="auto"/>
        <w:ind w:firstLine="420"/>
        <w:rPr>
          <w:sz w:val="21"/>
          <w:szCs w:val="21"/>
        </w:rPr>
      </w:pPr>
      <w:r>
        <w:rPr>
          <w:rFonts w:hint="eastAsia"/>
          <w:b/>
          <w:bCs/>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jc w:val="both"/>
        <w:rPr>
          <w:sz w:val="21"/>
          <w:szCs w:val="21"/>
        </w:rPr>
      </w:pPr>
      <w:r>
        <w:rPr>
          <w:rFonts w:hint="eastAsia"/>
          <w:sz w:val="21"/>
          <w:szCs w:val="21"/>
        </w:rPr>
        <w:t xml:space="preserve">（1）A类基金份额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申购费用适用比例费率的情形下：  </w:t>
      </w:r>
    </w:p>
    <w:p>
      <w:pPr>
        <w:pStyle w:val="7"/>
        <w:spacing w:before="0" w:beforeAutospacing="0" w:after="0" w:afterAutospacing="0" w:line="360" w:lineRule="auto"/>
        <w:ind w:firstLine="420"/>
        <w:jc w:val="both"/>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jc w:val="both"/>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申购费用适用固定金额的情形下：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jc w:val="both"/>
        <w:rPr>
          <w:sz w:val="21"/>
          <w:szCs w:val="21"/>
        </w:rPr>
      </w:pPr>
      <w:r>
        <w:rPr>
          <w:rFonts w:hint="eastAsia"/>
          <w:sz w:val="21"/>
          <w:szCs w:val="21"/>
        </w:rPr>
        <w:t xml:space="preserve">净申购金额=申购金额-申购费用  </w:t>
      </w:r>
    </w:p>
    <w:p>
      <w:pPr>
        <w:pStyle w:val="7"/>
        <w:spacing w:before="0" w:beforeAutospacing="0" w:after="0" w:afterAutospacing="0" w:line="360" w:lineRule="auto"/>
        <w:ind w:firstLine="420"/>
        <w:jc w:val="both"/>
        <w:rPr>
          <w:sz w:val="21"/>
          <w:szCs w:val="21"/>
        </w:rPr>
      </w:pPr>
      <w:r>
        <w:rPr>
          <w:rFonts w:hint="eastAsia"/>
          <w:sz w:val="21"/>
          <w:szCs w:val="21"/>
        </w:rPr>
        <w:t xml:space="preserve">申购份额=净申购金额/T日A类基金份额净值  </w:t>
      </w:r>
    </w:p>
    <w:p>
      <w:pPr>
        <w:pStyle w:val="7"/>
        <w:spacing w:before="0" w:beforeAutospacing="0" w:after="0" w:afterAutospacing="0" w:line="360" w:lineRule="auto"/>
        <w:ind w:firstLine="420"/>
        <w:jc w:val="both"/>
        <w:rPr>
          <w:sz w:val="21"/>
          <w:szCs w:val="21"/>
        </w:rPr>
      </w:pPr>
      <w:r>
        <w:rPr>
          <w:rFonts w:hint="eastAsia"/>
          <w:sz w:val="21"/>
          <w:szCs w:val="21"/>
        </w:rPr>
        <w:t xml:space="preserve">例1：假定T日A类基金份额净值为1.056元，某投资人申购本基金A类基金份额40万元，对应的申购费率为1.50%，该投资人可得到的A类基金份额为：  </w:t>
      </w:r>
    </w:p>
    <w:p>
      <w:pPr>
        <w:pStyle w:val="7"/>
        <w:spacing w:before="0" w:beforeAutospacing="0" w:after="0" w:afterAutospacing="0" w:line="360" w:lineRule="auto"/>
        <w:ind w:firstLine="420"/>
        <w:jc w:val="both"/>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jc w:val="both"/>
        <w:rPr>
          <w:sz w:val="21"/>
          <w:szCs w:val="21"/>
        </w:rPr>
      </w:pPr>
      <w:r>
        <w:rPr>
          <w:rFonts w:hint="eastAsia"/>
          <w:sz w:val="21"/>
          <w:szCs w:val="21"/>
        </w:rPr>
        <w:t xml:space="preserve">申购份额=394,088.67/1.056＝373,190.03份  </w:t>
      </w:r>
    </w:p>
    <w:p>
      <w:pPr>
        <w:pStyle w:val="7"/>
        <w:spacing w:before="0" w:beforeAutospacing="0" w:after="0" w:afterAutospacing="0" w:line="360" w:lineRule="auto"/>
        <w:ind w:firstLine="420"/>
        <w:jc w:val="both"/>
        <w:rPr>
          <w:sz w:val="21"/>
          <w:szCs w:val="21"/>
        </w:rPr>
      </w:pPr>
      <w:r>
        <w:rPr>
          <w:rFonts w:hint="eastAsia"/>
          <w:sz w:val="21"/>
          <w:szCs w:val="21"/>
        </w:rPr>
        <w:t xml:space="preserve">即：该投资人投资40万元申购本基金A类基金份额，假定申购当日A类基金份额净值为1.056元，可得到373,190.03份A类基金份额。  </w:t>
      </w:r>
    </w:p>
    <w:p>
      <w:pPr>
        <w:pStyle w:val="7"/>
        <w:spacing w:before="0" w:beforeAutospacing="0" w:after="0" w:afterAutospacing="0" w:line="360" w:lineRule="auto"/>
        <w:ind w:firstLine="420"/>
        <w:jc w:val="both"/>
        <w:rPr>
          <w:sz w:val="21"/>
          <w:szCs w:val="21"/>
        </w:rPr>
      </w:pPr>
      <w:r>
        <w:rPr>
          <w:rFonts w:hint="eastAsia"/>
          <w:sz w:val="21"/>
          <w:szCs w:val="21"/>
        </w:rPr>
        <w:t xml:space="preserve">例2：假定T日A类基金份额净值为1.056元，某投资人投资600万元申购本基金A类基金份额，其对应的申购费用为1000元，则其可得到的申购份额为：  </w:t>
      </w:r>
    </w:p>
    <w:p>
      <w:pPr>
        <w:pStyle w:val="7"/>
        <w:spacing w:before="0" w:beforeAutospacing="0" w:after="0" w:afterAutospacing="0" w:line="360" w:lineRule="auto"/>
        <w:ind w:firstLine="420"/>
        <w:jc w:val="both"/>
        <w:rPr>
          <w:sz w:val="21"/>
          <w:szCs w:val="21"/>
        </w:rPr>
      </w:pPr>
      <w:r>
        <w:rPr>
          <w:rFonts w:hint="eastAsia"/>
          <w:sz w:val="21"/>
          <w:szCs w:val="21"/>
        </w:rPr>
        <w:t xml:space="preserve">申购费用＝1,000元  </w:t>
      </w:r>
    </w:p>
    <w:p>
      <w:pPr>
        <w:pStyle w:val="7"/>
        <w:spacing w:before="0" w:beforeAutospacing="0" w:after="0" w:afterAutospacing="0" w:line="360" w:lineRule="auto"/>
        <w:ind w:firstLine="420"/>
        <w:jc w:val="both"/>
        <w:rPr>
          <w:sz w:val="21"/>
          <w:szCs w:val="21"/>
        </w:rPr>
      </w:pPr>
      <w:r>
        <w:rPr>
          <w:rFonts w:hint="eastAsia"/>
          <w:sz w:val="21"/>
          <w:szCs w:val="21"/>
        </w:rPr>
        <w:t xml:space="preserve">净申购金额＝6,000,000－1,000＝5,999,000.00元  </w:t>
      </w:r>
    </w:p>
    <w:p>
      <w:pPr>
        <w:pStyle w:val="7"/>
        <w:spacing w:before="0" w:beforeAutospacing="0" w:after="0" w:afterAutospacing="0" w:line="360" w:lineRule="auto"/>
        <w:ind w:firstLine="420"/>
        <w:jc w:val="both"/>
        <w:rPr>
          <w:sz w:val="21"/>
          <w:szCs w:val="21"/>
        </w:rPr>
      </w:pPr>
      <w:r>
        <w:rPr>
          <w:rFonts w:hint="eastAsia"/>
          <w:sz w:val="21"/>
          <w:szCs w:val="21"/>
        </w:rPr>
        <w:t xml:space="preserve">申购份额＝5,999,000/1.056＝5,680,871.21份  </w:t>
      </w:r>
    </w:p>
    <w:p>
      <w:pPr>
        <w:pStyle w:val="7"/>
        <w:spacing w:before="0" w:beforeAutospacing="0" w:after="0" w:afterAutospacing="0" w:line="360" w:lineRule="auto"/>
        <w:ind w:firstLine="420"/>
        <w:jc w:val="both"/>
        <w:rPr>
          <w:sz w:val="21"/>
          <w:szCs w:val="21"/>
        </w:rPr>
      </w:pPr>
      <w:r>
        <w:rPr>
          <w:rFonts w:hint="eastAsia"/>
          <w:sz w:val="21"/>
          <w:szCs w:val="21"/>
        </w:rPr>
        <w:t xml:space="preserve">即，该投资人投资600万元申购本基金A类基金份额，假定申购当日A类基金份额净值为1.056元，可得到5,680,871.21份A类基金份额。  </w:t>
      </w:r>
    </w:p>
    <w:p>
      <w:pPr>
        <w:pStyle w:val="7"/>
        <w:spacing w:before="0" w:beforeAutospacing="0" w:after="0" w:afterAutospacing="0" w:line="360" w:lineRule="auto"/>
        <w:ind w:firstLine="420"/>
        <w:rPr>
          <w:sz w:val="21"/>
          <w:szCs w:val="21"/>
        </w:rPr>
      </w:pPr>
      <w:r>
        <w:rPr>
          <w:rFonts w:hint="eastAsia"/>
          <w:sz w:val="21"/>
          <w:szCs w:val="21"/>
        </w:rPr>
        <w:t xml:space="preserve">（2）C类基金份额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pPr>
        <w:pStyle w:val="7"/>
        <w:spacing w:before="0" w:beforeAutospacing="0" w:after="0" w:afterAutospacing="0" w:line="360" w:lineRule="auto"/>
        <w:ind w:firstLine="420"/>
        <w:rPr>
          <w:sz w:val="21"/>
          <w:szCs w:val="21"/>
        </w:rPr>
      </w:pPr>
      <w:r>
        <w:rPr>
          <w:rFonts w:hint="eastAsia"/>
          <w:sz w:val="21"/>
          <w:szCs w:val="21"/>
        </w:rPr>
        <w:t xml:space="preserve">例：假设某投资者投资10万元申购本基金C类基金份额，申购当日本基金C类基金份额净值为1.060元，则可得到的申购份额为：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申购份额＝100,000/1.060＝94,339.62份  </w:t>
      </w:r>
    </w:p>
    <w:p>
      <w:pPr>
        <w:pStyle w:val="7"/>
        <w:spacing w:before="0" w:beforeAutospacing="0" w:after="0" w:afterAutospacing="0" w:line="360" w:lineRule="auto"/>
        <w:ind w:firstLine="420"/>
        <w:rPr>
          <w:sz w:val="21"/>
          <w:szCs w:val="21"/>
        </w:rPr>
      </w:pPr>
      <w:r>
        <w:rPr>
          <w:sz w:val="21"/>
          <w:szCs w:val="21"/>
        </w:rPr>
        <w:t xml:space="preserve">即：投资者投资10万元申购本基金C类基金份额，假设申购当日本基金C类基金份额净值为1.060元，则其可得到94,339.62份C类基金份额。 </w:t>
      </w:r>
    </w:p>
    <w:p>
      <w:pPr>
        <w:pStyle w:val="7"/>
        <w:spacing w:before="0" w:beforeAutospacing="0" w:after="0" w:afterAutospacing="0" w:line="360" w:lineRule="auto"/>
        <w:ind w:firstLine="420"/>
        <w:rPr>
          <w:sz w:val="21"/>
          <w:szCs w:val="21"/>
        </w:rPr>
      </w:pPr>
      <w:r>
        <w:rPr>
          <w:rFonts w:hint="eastAsia"/>
          <w:sz w:val="21"/>
          <w:szCs w:val="21"/>
        </w:rPr>
        <w:t xml:space="preserve">2、 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赎回总金额=赎回份额×T日该类基金份额净值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例：某投资者赎回本基金1万份A类基金份额，持有时间为三年，对应的赎回费率为0%，假设赎回当日A类基金份额净值是1.250元，则其可得到的赎回金额为：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赎回总金额=10,000×1.250=12,500.00元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净赎回金额=12,500-0=12,500.00元  </w:t>
      </w:r>
    </w:p>
    <w:p>
      <w:pPr>
        <w:pStyle w:val="7"/>
        <w:spacing w:before="0" w:beforeAutospacing="0" w:after="0" w:afterAutospacing="0" w:line="360" w:lineRule="auto"/>
        <w:ind w:firstLine="420"/>
        <w:rPr>
          <w:sz w:val="21"/>
          <w:szCs w:val="21"/>
        </w:rPr>
      </w:pPr>
      <w:r>
        <w:rPr>
          <w:sz w:val="21"/>
          <w:szCs w:val="21"/>
        </w:rPr>
        <w:t xml:space="preserve">即：投资者赎回本基金1万份A类基金份额，持有时间为三年，假设赎回当日A类基金份额净值是1.250元，则其可得到的赎回金额为12,500.00元。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各类基金份额净值的计算，均保留到小数点后3位，小数点后第4位四舍五入，由此产生的收益或损失由基金财产承担。T日的各类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b/>
          <w:bCs/>
          <w:sz w:val="21"/>
          <w:szCs w:val="21"/>
        </w:rPr>
        <w:t>八、申购与赎回的登记业务</w:t>
      </w:r>
    </w:p>
    <w:p>
      <w:pPr>
        <w:pStyle w:val="7"/>
        <w:spacing w:before="0" w:beforeAutospacing="0" w:after="0" w:afterAutospacing="0" w:line="360" w:lineRule="auto"/>
        <w:ind w:firstLine="420"/>
        <w:rPr>
          <w:sz w:val="21"/>
          <w:szCs w:val="21"/>
        </w:rPr>
      </w:pPr>
      <w:r>
        <w:rPr>
          <w:rFonts w:hint="eastAsia"/>
          <w:sz w:val="21"/>
          <w:szCs w:val="21"/>
        </w:rPr>
        <w:t xml:space="preserve">1、投资人申购基金成功后，在正常情况下，基金登记机构在T+1日为投资者登记权益并办理登记手续，投资者自T+2日（含该日）后有权赎回该部分基金份额。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2、投资人赎回基金成功后，在正常情况下，基金登记机构在T+1日为投资者办理扣除权益的登记手续。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pPr>
        <w:pStyle w:val="7"/>
        <w:spacing w:before="0" w:beforeAutospacing="0" w:after="0" w:afterAutospacing="0" w:line="360" w:lineRule="auto"/>
        <w:ind w:firstLine="420"/>
        <w:rPr>
          <w:sz w:val="21"/>
          <w:szCs w:val="21"/>
        </w:rPr>
      </w:pPr>
      <w:r>
        <w:rPr>
          <w:rFonts w:hint="eastAsia"/>
          <w:b/>
          <w:bCs/>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6、基金管理人、基金托管人、基金销售机构或登记机构的异常情况导致基金销售系统、基金登记系统或基金会计系统无法正常运行。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申购申请时，基金管理人应当根据有关规定进行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Fonts w:hint="eastAsia"/>
          <w:b/>
          <w:bCs/>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5、发生继续接受赎回申请将损害现有基金份额持有人利益的情形时，基金管理人可暂停接受投资人的赎回申请。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Fonts w:hint="eastAsia"/>
          <w:b/>
          <w:bCs/>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2"/>
      <w:r>
        <w:rPr>
          <w:sz w:val="21"/>
          <w:szCs w:val="21"/>
        </w:rPr>
        <w:t>10</w:t>
      </w:r>
      <w:bookmarkEnd w:id="103"/>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4" w:name="field_49_mintredeemscale_3"/>
      <w:r>
        <w:rPr>
          <w:sz w:val="21"/>
          <w:szCs w:val="21"/>
        </w:rPr>
        <w:t>10</w:t>
      </w:r>
      <w:bookmarkEnd w:id="104"/>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5" w:name="field_49_mintredeemscale_4"/>
      <w:r>
        <w:rPr>
          <w:sz w:val="21"/>
          <w:szCs w:val="21"/>
        </w:rPr>
        <w:t>10</w:t>
      </w:r>
      <w:bookmarkEnd w:id="105"/>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w:t>
      </w:r>
      <w:bookmarkStart w:id="106" w:name="field_49_mintredeemscale_5"/>
      <w:r>
        <w:rPr>
          <w:sz w:val="21"/>
          <w:szCs w:val="21"/>
        </w:rPr>
        <w:t>10</w:t>
      </w:r>
      <w:bookmarkEnd w:id="106"/>
      <w:r>
        <w:rPr>
          <w:rFonts w:hint="eastAsia"/>
          <w:sz w:val="21"/>
          <w:szCs w:val="21"/>
        </w:rPr>
        <w:t xml:space="preserve">％的部分，基金管理人根据前段“（1）全部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Fonts w:hint="eastAsia"/>
          <w:b/>
          <w:bCs/>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2、如发生暂停的时间为1日，基金管理人应于重新开放日，在指定媒介上刊登基金重新开放申购或赎回公告，并公布最近1个开放日的各类基金份额净值。 </w:t>
      </w:r>
    </w:p>
    <w:p>
      <w:pPr>
        <w:pStyle w:val="7"/>
        <w:spacing w:before="0" w:beforeAutospacing="0" w:after="0" w:afterAutospacing="0" w:line="360" w:lineRule="auto"/>
        <w:ind w:firstLine="420"/>
        <w:rPr>
          <w:sz w:val="21"/>
          <w:szCs w:val="21"/>
        </w:rPr>
      </w:pPr>
      <w:r>
        <w:rPr>
          <w:rFonts w:hint="eastAsia"/>
          <w:sz w:val="21"/>
          <w:szCs w:val="21"/>
        </w:rPr>
        <w:t xml:space="preserve">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bookmarkStart w:id="107" w:name="chapter_level1_10_59_section_3_end"/>
      <w:bookmarkEnd w:id="107"/>
      <w:bookmarkStart w:id="108" w:name="chapter_level1_10_59_section_4"/>
      <w:bookmarkEnd w:id="108"/>
      <w:r>
        <w:rPr>
          <w:rFonts w:hint="eastAsia"/>
          <w:b/>
          <w:bCs/>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本基金已于2017年7月28日起开始办理基金转换业务。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7"/>
        <w:spacing w:before="0" w:beforeAutospacing="0" w:after="0" w:afterAutospacing="0" w:line="360" w:lineRule="auto"/>
        <w:ind w:firstLine="420"/>
        <w:rPr>
          <w:sz w:val="21"/>
          <w:szCs w:val="21"/>
        </w:rPr>
      </w:pPr>
      <w:r>
        <w:rPr>
          <w:rFonts w:hint="eastAsia"/>
          <w:sz w:val="21"/>
          <w:szCs w:val="21"/>
        </w:rPr>
        <w:t xml:space="preserve">（2）其他与转换相关的事项 </w:t>
      </w:r>
    </w:p>
    <w:p>
      <w:pPr>
        <w:pStyle w:val="7"/>
        <w:spacing w:before="0" w:beforeAutospacing="0" w:after="0" w:afterAutospacing="0" w:line="360" w:lineRule="auto"/>
        <w:ind w:firstLine="420"/>
        <w:rPr>
          <w:sz w:val="21"/>
          <w:szCs w:val="21"/>
        </w:rPr>
      </w:pPr>
      <w:r>
        <w:rPr>
          <w:rFonts w:hint="eastAsia"/>
          <w:sz w:val="21"/>
          <w:szCs w:val="21"/>
        </w:rPr>
        <w:t xml:space="preserve">1）业务规则 </w:t>
      </w:r>
    </w:p>
    <w:p>
      <w:pPr>
        <w:pStyle w:val="7"/>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①本基金转换业务适用于可以销售包括</w:t>
      </w:r>
      <w:bookmarkStart w:id="109" w:name="field_0_productfullname_10"/>
      <w:r>
        <w:rPr>
          <w:rFonts w:hint="eastAsia"/>
          <w:sz w:val="21"/>
          <w:szCs w:val="21"/>
        </w:rPr>
        <w:t>博时新兴消费主题混合型证券投资基金</w:t>
      </w:r>
      <w:bookmarkEnd w:id="109"/>
      <w:r>
        <w:rPr>
          <w:rFonts w:hint="eastAsia"/>
          <w:sz w:val="21"/>
          <w:szCs w:val="21"/>
        </w:rPr>
        <w:t xml:space="preserve">在内的两只以上（含两只），且基金注册登记机构为同一机构的博时旗下基金的销售机构。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②转换业务的收费计算公式及举例参见2010年3月16日刊登于本公司网站的《</w:t>
      </w:r>
      <w:bookmarkStart w:id="110" w:name="field_0_managerorgfullname_6"/>
      <w:r>
        <w:rPr>
          <w:rFonts w:hint="eastAsia"/>
          <w:sz w:val="21"/>
          <w:szCs w:val="21"/>
        </w:rPr>
        <w:t>博时基金管理有限公司</w:t>
      </w:r>
      <w:bookmarkEnd w:id="110"/>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11" w:name="chapter_level1_10_59_section_4_end"/>
      <w:bookmarkEnd w:id="111"/>
      <w:r>
        <w:rPr>
          <w:rFonts w:hint="eastAsia"/>
          <w:sz w:val="21"/>
          <w:szCs w:val="21"/>
        </w:rPr>
        <w:t xml:space="preserve">③本公司管理基金的转换业务的解释权归本公司。 </w:t>
      </w:r>
    </w:p>
    <w:p>
      <w:pPr>
        <w:pStyle w:val="7"/>
        <w:spacing w:before="0" w:beforeAutospacing="0" w:after="0" w:afterAutospacing="0" w:line="360" w:lineRule="auto"/>
        <w:ind w:firstLine="420"/>
        <w:rPr>
          <w:sz w:val="21"/>
          <w:szCs w:val="21"/>
        </w:rPr>
      </w:pPr>
      <w:bookmarkStart w:id="112" w:name="chapter_level1_10_59_section_5"/>
      <w:bookmarkEnd w:id="112"/>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3" w:name="chapter_level1_10_59_section_5_end"/>
      <w:bookmarkEnd w:id="113"/>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4" w:name="chapter_level1_10_59_section_6"/>
      <w:bookmarkEnd w:id="114"/>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本基金已于2017年7月28日开通定期定额投资业务。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（1）适用投资者范围 </w:t>
      </w:r>
    </w:p>
    <w:p>
      <w:pPr>
        <w:pStyle w:val="7"/>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个人投资者、机构投资者、合格境外机构投资者以及法律法规或中国证监会规定允许购买证券投资基金的其他投资者。 </w:t>
      </w:r>
    </w:p>
    <w:p>
      <w:pPr>
        <w:pStyle w:val="7"/>
        <w:spacing w:before="0" w:beforeAutospacing="0" w:after="0" w:afterAutospacing="0" w:line="360" w:lineRule="auto"/>
        <w:ind w:firstLine="420"/>
        <w:rPr>
          <w:sz w:val="21"/>
          <w:szCs w:val="21"/>
        </w:rPr>
      </w:pPr>
      <w:r>
        <w:rPr>
          <w:rFonts w:hint="eastAsia"/>
          <w:sz w:val="21"/>
          <w:szCs w:val="21"/>
        </w:rPr>
        <w:t xml:space="preserve">（2）申购费率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表：本基金的申购费率结构表 </w:t>
      </w:r>
    </w:p>
    <w:tbl>
      <w:tblPr>
        <w:tblStyle w:val="9"/>
        <w:tblW w:w="47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119"/>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pct"/>
            <w:shd w:val="clear" w:color="auto" w:fill="auto"/>
          </w:tcPr>
          <w:p>
            <w:pPr>
              <w:pStyle w:val="7"/>
              <w:jc w:val="center"/>
            </w:pPr>
            <w:r>
              <w:rPr>
                <w:rFonts w:hint="eastAsia"/>
              </w:rPr>
              <w:t xml:space="preserve">申购金额（M）  </w:t>
            </w:r>
          </w:p>
        </w:tc>
        <w:tc>
          <w:tcPr>
            <w:tcW w:w="1938" w:type="pct"/>
            <w:shd w:val="clear" w:color="auto" w:fill="auto"/>
          </w:tcPr>
          <w:p>
            <w:pPr>
              <w:pStyle w:val="7"/>
              <w:jc w:val="center"/>
            </w:pPr>
            <w:r>
              <w:rPr>
                <w:rFonts w:hint="eastAsia"/>
              </w:rPr>
              <w:t xml:space="preserve">A类基金份额申购费率  </w:t>
            </w:r>
          </w:p>
        </w:tc>
        <w:tc>
          <w:tcPr>
            <w:tcW w:w="969" w:type="pct"/>
            <w:shd w:val="clear" w:color="auto" w:fill="auto"/>
          </w:tcPr>
          <w:p>
            <w:pPr>
              <w:pStyle w:val="7"/>
              <w:jc w:val="center"/>
            </w:pPr>
            <w:r>
              <w:rPr>
                <w:rFonts w:hint="eastAsia"/>
              </w:rPr>
              <w:t xml:space="preserve">C类基金份额申购费率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pct"/>
            <w:shd w:val="clear" w:color="auto" w:fill="auto"/>
          </w:tcPr>
          <w:p>
            <w:pPr>
              <w:pStyle w:val="7"/>
              <w:jc w:val="center"/>
            </w:pPr>
            <w:r>
              <w:rPr>
                <w:rFonts w:hint="eastAsia"/>
              </w:rPr>
              <w:t xml:space="preserve">M &lt;50万元  </w:t>
            </w:r>
          </w:p>
        </w:tc>
        <w:tc>
          <w:tcPr>
            <w:tcW w:w="1938" w:type="pct"/>
            <w:shd w:val="clear" w:color="auto" w:fill="auto"/>
          </w:tcPr>
          <w:p>
            <w:pPr>
              <w:pStyle w:val="7"/>
              <w:jc w:val="center"/>
            </w:pPr>
            <w:r>
              <w:rPr>
                <w:rFonts w:hint="eastAsia"/>
              </w:rPr>
              <w:t xml:space="preserve">1.50%  </w:t>
            </w:r>
          </w:p>
        </w:tc>
        <w:tc>
          <w:tcPr>
            <w:tcW w:w="969" w:type="pct"/>
            <w:vMerge w:val="restart"/>
            <w:shd w:val="clear" w:color="auto" w:fill="auto"/>
          </w:tcPr>
          <w:p>
            <w:pPr>
              <w:pStyle w:val="7"/>
              <w:jc w:val="cente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pct"/>
            <w:shd w:val="clear" w:color="auto" w:fill="auto"/>
          </w:tcPr>
          <w:p>
            <w:pPr>
              <w:pStyle w:val="7"/>
              <w:jc w:val="center"/>
            </w:pPr>
            <w:r>
              <w:rPr>
                <w:rFonts w:hint="eastAsia"/>
              </w:rPr>
              <w:t xml:space="preserve">50万元≤ M &lt;100万元  </w:t>
            </w:r>
          </w:p>
        </w:tc>
        <w:tc>
          <w:tcPr>
            <w:tcW w:w="1938" w:type="pct"/>
            <w:shd w:val="clear" w:color="auto" w:fill="auto"/>
          </w:tcPr>
          <w:p>
            <w:pPr>
              <w:pStyle w:val="7"/>
              <w:jc w:val="center"/>
            </w:pPr>
            <w:r>
              <w:rPr>
                <w:rFonts w:hint="eastAsia"/>
              </w:rPr>
              <w:t xml:space="preserve">1.00%  </w:t>
            </w:r>
          </w:p>
        </w:tc>
        <w:tc>
          <w:tcPr>
            <w:tcW w:w="969"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pct"/>
            <w:shd w:val="clear" w:color="auto" w:fill="auto"/>
          </w:tcPr>
          <w:p>
            <w:pPr>
              <w:pStyle w:val="7"/>
              <w:jc w:val="center"/>
            </w:pPr>
            <w:r>
              <w:rPr>
                <w:rFonts w:hint="eastAsia"/>
              </w:rPr>
              <w:t xml:space="preserve">100万元≤ M &lt;1000万元  </w:t>
            </w:r>
          </w:p>
        </w:tc>
        <w:tc>
          <w:tcPr>
            <w:tcW w:w="1938" w:type="pct"/>
            <w:shd w:val="clear" w:color="auto" w:fill="auto"/>
          </w:tcPr>
          <w:p>
            <w:pPr>
              <w:pStyle w:val="7"/>
              <w:jc w:val="center"/>
            </w:pPr>
            <w:r>
              <w:rPr>
                <w:rFonts w:hint="eastAsia"/>
              </w:rPr>
              <w:t xml:space="preserve">0.80%  </w:t>
            </w:r>
          </w:p>
        </w:tc>
        <w:tc>
          <w:tcPr>
            <w:tcW w:w="969" w:type="pct"/>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4" w:type="pct"/>
            <w:shd w:val="clear" w:color="auto" w:fill="auto"/>
          </w:tcPr>
          <w:p>
            <w:pPr>
              <w:pStyle w:val="7"/>
              <w:jc w:val="center"/>
            </w:pPr>
            <w:r>
              <w:rPr>
                <w:rFonts w:hint="eastAsia"/>
              </w:rPr>
              <w:t xml:space="preserve">M ≥1000万元  </w:t>
            </w:r>
          </w:p>
        </w:tc>
        <w:tc>
          <w:tcPr>
            <w:tcW w:w="1938" w:type="pct"/>
            <w:shd w:val="clear" w:color="auto" w:fill="auto"/>
          </w:tcPr>
          <w:p>
            <w:pPr>
              <w:pStyle w:val="7"/>
              <w:jc w:val="center"/>
            </w:pPr>
            <w:r>
              <w:rPr>
                <w:rFonts w:hint="eastAsia"/>
              </w:rPr>
              <w:t xml:space="preserve">收取固定费用1000元/笔  </w:t>
            </w:r>
          </w:p>
        </w:tc>
        <w:tc>
          <w:tcPr>
            <w:tcW w:w="969" w:type="pct"/>
            <w:vMerge w:val="continue"/>
            <w:shd w:val="clear" w:color="auto" w:fill="auto"/>
          </w:tcPr>
          <w:p>
            <w:pPr>
              <w:rPr>
                <w:rFonts w:ascii="宋体" w:hAnsi="宋体" w:eastAsia="宋体" w:cs="宋体"/>
                <w:sz w:val="24"/>
                <w:szCs w:val="24"/>
              </w:rPr>
            </w:pPr>
          </w:p>
        </w:tc>
      </w:tr>
    </w:tbl>
    <w:p>
      <w:pPr>
        <w:rPr>
          <w:rFonts w:ascii="宋体" w:hAnsi="宋体" w:eastAsia="宋体"/>
          <w:sz w:val="24"/>
          <w:szCs w:val="24"/>
        </w:rPr>
      </w:pPr>
      <w:r>
        <w:rPr>
          <w:rFonts w:ascii="宋体" w:hAnsi="宋体" w:eastAsia="宋体"/>
        </w:rPr>
        <w:t xml:space="preserve">  来源：博时基金  </w:t>
      </w:r>
    </w:p>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本基金的申购费用由投资人承担，不列入基金资产，申购费主要用于本基金的市场推广和销售、登记等各项费用。 </w:t>
      </w:r>
    </w:p>
    <w:p>
      <w:pPr>
        <w:pStyle w:val="7"/>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投资者须遵循各销售机构有关扣款日期的规定，定投金额每次不少于人民币1元（含1元）。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5" w:name="chapter_level1_10_59_section_6_end"/>
      <w:bookmarkEnd w:id="115"/>
      <w:r>
        <w:rPr>
          <w:rFonts w:hint="eastAsia"/>
          <w:sz w:val="21"/>
          <w:szCs w:val="21"/>
        </w:rPr>
        <w:t xml:space="preserve">在确认成功后直接计入投资者的基金账户。 </w:t>
      </w:r>
    </w:p>
    <w:p>
      <w:pPr>
        <w:pStyle w:val="7"/>
        <w:spacing w:before="0" w:beforeAutospacing="0" w:after="0" w:afterAutospacing="0" w:line="360" w:lineRule="auto"/>
        <w:ind w:firstLine="420"/>
        <w:rPr>
          <w:sz w:val="21"/>
          <w:szCs w:val="21"/>
        </w:rPr>
      </w:pPr>
      <w:bookmarkStart w:id="116" w:name="chapter_level1_10_59_section_7"/>
      <w:bookmarkEnd w:id="116"/>
      <w:r>
        <w:rPr>
          <w:rStyle w:val="11"/>
          <w:rFonts w:hint="eastAsia"/>
          <w:sz w:val="21"/>
          <w:szCs w:val="21"/>
        </w:rPr>
        <w:t>十八、基金份额的冻结和解冻</w:t>
      </w:r>
    </w:p>
    <w:p>
      <w:pPr>
        <w:pStyle w:val="7"/>
        <w:spacing w:before="0" w:beforeAutospacing="0" w:after="0" w:afterAutospacing="0" w:line="360" w:lineRule="auto"/>
        <w:ind w:firstLine="420"/>
        <w:rPr>
          <w:sz w:val="21"/>
          <w:szCs w:val="21"/>
        </w:rPr>
      </w:pPr>
      <w:r>
        <w:rPr>
          <w:rFonts w:hint="eastAsia"/>
          <w:sz w:val="21"/>
          <w:szCs w:val="21"/>
        </w:rPr>
        <w:t>基金登记机构只受理国家有权机关依法要求的基金份额的冻结与解冻，以及登记机构认</w:t>
      </w:r>
      <w:bookmarkStart w:id="117" w:name="chapter_level1_10_59_section_7_end"/>
      <w:bookmarkEnd w:id="117"/>
      <w:r>
        <w:rPr>
          <w:rFonts w:hint="eastAsia"/>
          <w:sz w:val="21"/>
          <w:szCs w:val="21"/>
        </w:rPr>
        <w:t xml:space="preserve">可、符合法律法规的其他情况下的冻结与解冻。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8" w:name="chapter_level1_11_60"/>
      <w:bookmarkStart w:id="119" w:name="_Toc113632936"/>
      <w:r>
        <w:rPr>
          <w:rFonts w:hint="eastAsia" w:ascii="宋体" w:hAnsi="宋体" w:eastAsia="宋体"/>
          <w:sz w:val="30"/>
        </w:rPr>
        <w:t>第八部分  基金的投资</w:t>
      </w:r>
      <w:bookmarkEnd w:id="118"/>
      <w:bookmarkEnd w:id="119"/>
    </w:p>
    <w:p>
      <w:pPr>
        <w:pStyle w:val="7"/>
        <w:spacing w:before="0" w:beforeAutospacing="0" w:after="0" w:afterAutospacing="0" w:line="360" w:lineRule="auto"/>
        <w:ind w:firstLine="420"/>
        <w:rPr>
          <w:sz w:val="21"/>
          <w:szCs w:val="21"/>
        </w:rPr>
      </w:pPr>
      <w:bookmarkStart w:id="120" w:name="chapter_level1_11_60_section_1"/>
      <w:bookmarkEnd w:id="120"/>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21" w:name="field_60_investmenttarget_1_start"/>
      <w:bookmarkEnd w:id="121"/>
      <w:r>
        <w:rPr>
          <w:rFonts w:hint="eastAsia"/>
          <w:sz w:val="21"/>
          <w:szCs w:val="21"/>
        </w:rPr>
        <w:t xml:space="preserve">本基金通过精选新兴消费主题的优质上市公司进行投资，力求获得超越业绩比较基准的投资回报。  </w:t>
      </w:r>
      <w:bookmarkStart w:id="122" w:name="field_60_investmenttarget_1_end"/>
      <w:bookmarkEnd w:id="12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3" w:name="field_60_investmentrange_1_start"/>
      <w:bookmarkEnd w:id="123"/>
      <w:r>
        <w:rPr>
          <w:rFonts w:hint="eastAsia"/>
          <w:sz w:val="21"/>
          <w:szCs w:val="21"/>
        </w:rPr>
        <w:t xml:space="preserve">本基金的投资对象是具有良好流动性的金融工具，包括国内依法发行上市的股票（包括中小板、创业板及其他经中国证监会核准上市的股票、存托凭证）、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bookmarkStart w:id="124" w:name="field_60_investmentrange_1_end"/>
      <w:bookmarkEnd w:id="12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25" w:name="field_60_investmentstrategy_1_start"/>
      <w:bookmarkEnd w:id="125"/>
      <w:r>
        <w:rPr>
          <w:rFonts w:hint="eastAsia"/>
          <w:sz w:val="21"/>
          <w:szCs w:val="21"/>
        </w:rPr>
        <w:t xml:space="preserve">（一）大类资产配置策略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1、新兴消费主题的界定 </w:t>
      </w:r>
    </w:p>
    <w:p>
      <w:pPr>
        <w:pStyle w:val="7"/>
        <w:spacing w:before="0" w:beforeAutospacing="0" w:after="0" w:afterAutospacing="0" w:line="360" w:lineRule="auto"/>
        <w:ind w:firstLine="420"/>
        <w:rPr>
          <w:sz w:val="21"/>
          <w:szCs w:val="21"/>
        </w:rPr>
      </w:pPr>
      <w:r>
        <w:rPr>
          <w:rFonts w:hint="eastAsia"/>
          <w:sz w:val="21"/>
          <w:szCs w:val="21"/>
        </w:rPr>
        <w:t xml:space="preserve">基于对海外发达国家大消费行业发展趋势的深度研究，结合中国目前经济环境及大消费行业发展现状，参考国内权威机构wind的行业分类，本基金将新兴消费划分为可选消费、日常消费、医疗保健和其他消费四大类别。 </w:t>
      </w:r>
    </w:p>
    <w:p>
      <w:pPr>
        <w:pStyle w:val="7"/>
        <w:spacing w:before="0" w:beforeAutospacing="0" w:after="0" w:afterAutospacing="0" w:line="360" w:lineRule="auto"/>
        <w:ind w:firstLine="420"/>
        <w:rPr>
          <w:sz w:val="21"/>
          <w:szCs w:val="21"/>
        </w:rPr>
      </w:pPr>
      <w:r>
        <w:rPr>
          <w:rFonts w:hint="eastAsia"/>
          <w:sz w:val="21"/>
          <w:szCs w:val="21"/>
        </w:rPr>
        <w:t xml:space="preserve">新兴消费主题范畴的公司包括但不限于以下三类： </w:t>
      </w:r>
    </w:p>
    <w:p>
      <w:pPr>
        <w:pStyle w:val="7"/>
        <w:spacing w:before="0" w:beforeAutospacing="0" w:after="0" w:afterAutospacing="0" w:line="360" w:lineRule="auto"/>
        <w:ind w:firstLine="420"/>
        <w:rPr>
          <w:sz w:val="21"/>
          <w:szCs w:val="21"/>
        </w:rPr>
      </w:pPr>
      <w:r>
        <w:rPr>
          <w:rFonts w:hint="eastAsia"/>
          <w:sz w:val="21"/>
          <w:szCs w:val="21"/>
        </w:rPr>
        <w:t xml:space="preserve">（1）随着经济发展和人民消费水平的提升，品牌影响力增加或者逐步加强品牌和渠道建设从而获取高增长的消费类公司，包括但不限于表现优异的历史品牌公司、b2b转b2c的新晋品牌公司、以及靠网络兴起的互联网品牌等相关公司； </w:t>
      </w:r>
    </w:p>
    <w:p>
      <w:pPr>
        <w:pStyle w:val="7"/>
        <w:spacing w:before="0" w:beforeAutospacing="0" w:after="0" w:afterAutospacing="0" w:line="360" w:lineRule="auto"/>
        <w:ind w:firstLine="420"/>
        <w:rPr>
          <w:sz w:val="21"/>
          <w:szCs w:val="21"/>
        </w:rPr>
      </w:pPr>
      <w:r>
        <w:rPr>
          <w:rFonts w:hint="eastAsia"/>
          <w:sz w:val="21"/>
          <w:szCs w:val="21"/>
        </w:rPr>
        <w:t xml:space="preserve">（2）随着物质生活的丰富，受益于精神文化生活占比在国民消费中日益提升的消费类公司，包括但不限于电影、游戏、休闲度假、健康养老、医疗美容、教育培训等子行业的相关公司； </w:t>
      </w:r>
    </w:p>
    <w:p>
      <w:pPr>
        <w:pStyle w:val="7"/>
        <w:spacing w:before="0" w:beforeAutospacing="0" w:after="0" w:afterAutospacing="0" w:line="360" w:lineRule="auto"/>
        <w:ind w:firstLine="420"/>
        <w:rPr>
          <w:sz w:val="21"/>
          <w:szCs w:val="21"/>
        </w:rPr>
      </w:pPr>
      <w:r>
        <w:rPr>
          <w:rFonts w:hint="eastAsia"/>
          <w:sz w:val="21"/>
          <w:szCs w:val="21"/>
        </w:rPr>
        <w:t xml:space="preserve">（3）随着互联网技术的发展，受益于新的消费渠道和新的消费方式涌现而发展的公司，包括但不限于深刻改变社会的营运模式、提升社会效率的电商、与新兴消费有关的互联网金融等相关公司。 </w:t>
      </w:r>
    </w:p>
    <w:p>
      <w:pPr>
        <w:pStyle w:val="7"/>
        <w:spacing w:before="0" w:beforeAutospacing="0" w:after="0" w:afterAutospacing="0" w:line="360" w:lineRule="auto"/>
        <w:ind w:firstLine="420"/>
        <w:rPr>
          <w:sz w:val="21"/>
          <w:szCs w:val="21"/>
        </w:rPr>
      </w:pPr>
      <w:r>
        <w:rPr>
          <w:rFonts w:hint="eastAsia"/>
          <w:sz w:val="21"/>
          <w:szCs w:val="21"/>
        </w:rPr>
        <w:t xml:space="preserve">2、动态配置策略 </w:t>
      </w:r>
    </w:p>
    <w:p>
      <w:pPr>
        <w:pStyle w:val="7"/>
        <w:spacing w:before="0" w:beforeAutospacing="0" w:after="0" w:afterAutospacing="0" w:line="360" w:lineRule="auto"/>
        <w:ind w:firstLine="420"/>
        <w:rPr>
          <w:sz w:val="21"/>
          <w:szCs w:val="21"/>
        </w:rPr>
      </w:pPr>
      <w:r>
        <w:rPr>
          <w:rFonts w:hint="eastAsia"/>
          <w:sz w:val="21"/>
          <w:szCs w:val="21"/>
        </w:rPr>
        <w:t xml:space="preserve">基于宏观环境和消费子行业周期性和景气度因素，对组合中必选消费和可选消费行业的进行配置并动态调整。 </w:t>
      </w:r>
    </w:p>
    <w:p>
      <w:pPr>
        <w:pStyle w:val="7"/>
        <w:spacing w:before="0" w:beforeAutospacing="0" w:after="0" w:afterAutospacing="0" w:line="360" w:lineRule="auto"/>
        <w:ind w:firstLine="420"/>
        <w:rPr>
          <w:sz w:val="21"/>
          <w:szCs w:val="21"/>
        </w:rPr>
      </w:pPr>
      <w:r>
        <w:rPr>
          <w:rFonts w:hint="eastAsia"/>
          <w:sz w:val="21"/>
          <w:szCs w:val="21"/>
        </w:rPr>
        <w:t xml:space="preserve">3、个股选择策略 </w:t>
      </w:r>
    </w:p>
    <w:p>
      <w:pPr>
        <w:pStyle w:val="7"/>
        <w:spacing w:before="0" w:beforeAutospacing="0" w:after="0" w:afterAutospacing="0" w:line="360" w:lineRule="auto"/>
        <w:ind w:firstLine="420"/>
        <w:rPr>
          <w:sz w:val="21"/>
          <w:szCs w:val="21"/>
        </w:rPr>
      </w:pPr>
      <w:r>
        <w:rPr>
          <w:rFonts w:hint="eastAsia"/>
          <w:sz w:val="21"/>
          <w:szCs w:val="21"/>
        </w:rPr>
        <w:t xml:space="preserve">在股票投资方面以深入的基本面研究作为指导原则，通过盈利能力、财务状况、估值安全等多个标准对个股进行严格筛选。主要评估指标有： </w:t>
      </w:r>
    </w:p>
    <w:p>
      <w:pPr>
        <w:pStyle w:val="7"/>
        <w:spacing w:before="0" w:beforeAutospacing="0" w:after="0" w:afterAutospacing="0" w:line="360" w:lineRule="auto"/>
        <w:ind w:firstLine="420"/>
        <w:rPr>
          <w:sz w:val="21"/>
          <w:szCs w:val="21"/>
        </w:rPr>
      </w:pPr>
      <w:r>
        <w:rPr>
          <w:rFonts w:hint="eastAsia"/>
          <w:sz w:val="21"/>
          <w:szCs w:val="21"/>
        </w:rPr>
        <w:t xml:space="preserve">（1）ROE质量分析 </w:t>
      </w:r>
    </w:p>
    <w:p>
      <w:pPr>
        <w:pStyle w:val="7"/>
        <w:spacing w:before="0" w:beforeAutospacing="0" w:after="0" w:afterAutospacing="0" w:line="360" w:lineRule="auto"/>
        <w:ind w:firstLine="420"/>
        <w:rPr>
          <w:sz w:val="21"/>
          <w:szCs w:val="21"/>
        </w:rPr>
      </w:pPr>
      <w:r>
        <w:rPr>
          <w:rFonts w:hint="eastAsia"/>
          <w:sz w:val="21"/>
          <w:szCs w:val="21"/>
        </w:rPr>
        <w:t xml:space="preserve">ROE 是全面分析公司业绩的起点和根本，它表明管理层运用公司股东投入的资金创造收益的好坏程度。从长期看，公司股票价值取决于公司ROE与公司权益资本成本之间的关系。ROE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 </w:t>
      </w:r>
    </w:p>
    <w:p>
      <w:pPr>
        <w:pStyle w:val="7"/>
        <w:spacing w:before="0" w:beforeAutospacing="0" w:after="0" w:afterAutospacing="0" w:line="360" w:lineRule="auto"/>
        <w:ind w:firstLine="420"/>
        <w:rPr>
          <w:sz w:val="21"/>
          <w:szCs w:val="21"/>
        </w:rPr>
      </w:pPr>
      <w:r>
        <w:rPr>
          <w:rFonts w:hint="eastAsia"/>
          <w:sz w:val="21"/>
          <w:szCs w:val="21"/>
        </w:rPr>
        <w:t xml:space="preserve">（2）EPS增长质量分析 </w:t>
      </w:r>
    </w:p>
    <w:p>
      <w:pPr>
        <w:pStyle w:val="7"/>
        <w:spacing w:before="0" w:beforeAutospacing="0" w:after="0" w:afterAutospacing="0" w:line="360" w:lineRule="auto"/>
        <w:ind w:firstLine="420"/>
        <w:rPr>
          <w:sz w:val="21"/>
          <w:szCs w:val="21"/>
        </w:rPr>
      </w:pPr>
      <w:r>
        <w:rPr>
          <w:rFonts w:hint="eastAsia"/>
          <w:sz w:val="21"/>
          <w:szCs w:val="21"/>
        </w:rPr>
        <w:t xml:space="preserve">主要考虑EPS增长的质量和可持续性，同时判断增长的原因与公司战略的吻合度，由于中小企业的业绩基数比较低，判断每股收益的增长质量尤为重要。通过分解损益表的成份，量化归因分析不同因子对个股利润的影响程度，经过实证验证，研究EPS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 </w:t>
      </w:r>
    </w:p>
    <w:p>
      <w:pPr>
        <w:pStyle w:val="7"/>
        <w:spacing w:before="0" w:beforeAutospacing="0" w:after="0" w:afterAutospacing="0" w:line="360" w:lineRule="auto"/>
        <w:ind w:firstLine="420"/>
        <w:rPr>
          <w:sz w:val="21"/>
          <w:szCs w:val="21"/>
        </w:rPr>
      </w:pPr>
      <w:r>
        <w:rPr>
          <w:rFonts w:hint="eastAsia"/>
          <w:sz w:val="21"/>
          <w:szCs w:val="21"/>
        </w:rPr>
        <w:t xml:space="preserve">（3）估值与市场预期分析 </w:t>
      </w:r>
    </w:p>
    <w:p>
      <w:pPr>
        <w:pStyle w:val="7"/>
        <w:spacing w:before="0" w:beforeAutospacing="0" w:after="0" w:afterAutospacing="0" w:line="360" w:lineRule="auto"/>
        <w:ind w:firstLine="420"/>
        <w:rPr>
          <w:sz w:val="21"/>
          <w:szCs w:val="21"/>
        </w:rPr>
      </w:pPr>
      <w:r>
        <w:rPr>
          <w:rFonts w:hint="eastAsia"/>
          <w:sz w:val="21"/>
          <w:szCs w:val="21"/>
        </w:rPr>
        <w:t xml:space="preserve">使用逆向思考，考察市场价格是否合理，价格是否反映了企业的成长性，然后通过基本面来判断这种成长性是否合理。另外的估值手段是通过历史和目前ROE与市场认为的P/B，P/E比较来发现定价缺陷与机会。同时与当前卖方分析师的收益预测和评级进行比较。投资管理人优先选择基本面充分反映负面预期并转好的公司，避免过度乐观预期的公司 </w:t>
      </w:r>
    </w:p>
    <w:p>
      <w:pPr>
        <w:pStyle w:val="7"/>
        <w:spacing w:before="0" w:beforeAutospacing="0" w:after="0" w:afterAutospacing="0" w:line="360" w:lineRule="auto"/>
        <w:ind w:firstLine="420"/>
        <w:rPr>
          <w:sz w:val="21"/>
          <w:szCs w:val="21"/>
        </w:rPr>
      </w:pPr>
      <w:r>
        <w:rPr>
          <w:rFonts w:hint="eastAsia"/>
          <w:sz w:val="21"/>
          <w:szCs w:val="21"/>
        </w:rPr>
        <w:t xml:space="preserve">（4）企业特质分析 </w:t>
      </w:r>
    </w:p>
    <w:p>
      <w:pPr>
        <w:pStyle w:val="7"/>
        <w:spacing w:before="0" w:beforeAutospacing="0" w:after="0" w:afterAutospacing="0" w:line="360" w:lineRule="auto"/>
        <w:ind w:firstLine="420"/>
        <w:rPr>
          <w:sz w:val="21"/>
          <w:szCs w:val="21"/>
        </w:rPr>
      </w:pPr>
      <w:r>
        <w:rPr>
          <w:rFonts w:hint="eastAsia"/>
          <w:sz w:val="21"/>
          <w:szCs w:val="21"/>
        </w:rPr>
        <w:t xml:space="preserve">企业特质指企业的一些重要特性，对股票性质起到了决定性作用，比如收益变化幅度大的公司则其股票价格波动也较大。通过实证分析，主要考虑以下几个因素： </w:t>
      </w:r>
    </w:p>
    <w:p>
      <w:pPr>
        <w:pStyle w:val="7"/>
        <w:spacing w:before="0" w:beforeAutospacing="0" w:after="0" w:afterAutospacing="0" w:line="360" w:lineRule="auto"/>
        <w:ind w:firstLine="420"/>
        <w:rPr>
          <w:sz w:val="21"/>
          <w:szCs w:val="21"/>
        </w:rPr>
      </w:pPr>
      <w:r>
        <w:rPr>
          <w:rFonts w:hint="eastAsia"/>
          <w:sz w:val="21"/>
          <w:szCs w:val="21"/>
        </w:rPr>
        <w:t xml:space="preserve">1）、企业规模：采用BV，CAP和总资产。 </w:t>
      </w:r>
    </w:p>
    <w:p>
      <w:pPr>
        <w:pStyle w:val="7"/>
        <w:spacing w:before="0" w:beforeAutospacing="0" w:after="0" w:afterAutospacing="0" w:line="360" w:lineRule="auto"/>
        <w:ind w:firstLine="420"/>
        <w:rPr>
          <w:sz w:val="21"/>
          <w:szCs w:val="21"/>
        </w:rPr>
      </w:pPr>
      <w:r>
        <w:rPr>
          <w:rFonts w:hint="eastAsia"/>
          <w:sz w:val="21"/>
          <w:szCs w:val="21"/>
        </w:rPr>
        <w:t xml:space="preserve">2）、杠杆比率：一般说来，财务杠杆越高，运营杠杆越高，股票波动越大。 </w:t>
      </w:r>
    </w:p>
    <w:p>
      <w:pPr>
        <w:pStyle w:val="7"/>
        <w:spacing w:before="0" w:beforeAutospacing="0" w:after="0" w:afterAutospacing="0" w:line="360" w:lineRule="auto"/>
        <w:ind w:firstLine="420"/>
        <w:rPr>
          <w:sz w:val="21"/>
          <w:szCs w:val="21"/>
        </w:rPr>
      </w:pPr>
      <w:r>
        <w:rPr>
          <w:rFonts w:hint="eastAsia"/>
          <w:sz w:val="21"/>
          <w:szCs w:val="21"/>
        </w:rPr>
        <w:t xml:space="preserve">3）、增长性：采用收入的增长和利润的增长。 </w:t>
      </w:r>
    </w:p>
    <w:p>
      <w:pPr>
        <w:pStyle w:val="7"/>
        <w:spacing w:before="0" w:beforeAutospacing="0" w:after="0" w:afterAutospacing="0" w:line="360" w:lineRule="auto"/>
        <w:ind w:firstLine="420"/>
        <w:rPr>
          <w:sz w:val="21"/>
          <w:szCs w:val="21"/>
        </w:rPr>
      </w:pPr>
      <w:r>
        <w:rPr>
          <w:rFonts w:hint="eastAsia"/>
          <w:sz w:val="21"/>
          <w:szCs w:val="21"/>
        </w:rPr>
        <w:t xml:space="preserve">4）、股利：采用支付比率与股利率，一般来说，企业成长初期，股利支付不是一个关键因素。 </w:t>
      </w:r>
    </w:p>
    <w:p>
      <w:pPr>
        <w:pStyle w:val="7"/>
        <w:spacing w:before="0" w:beforeAutospacing="0" w:after="0" w:afterAutospacing="0" w:line="360" w:lineRule="auto"/>
        <w:ind w:firstLine="420"/>
        <w:rPr>
          <w:sz w:val="21"/>
          <w:szCs w:val="21"/>
        </w:rPr>
      </w:pPr>
      <w:r>
        <w:rPr>
          <w:rFonts w:hint="eastAsia"/>
          <w:sz w:val="21"/>
          <w:szCs w:val="21"/>
        </w:rPr>
        <w:t xml:space="preserve">5）、收益的变化性：采用利润、收入与每股经营现金流的变化性，一般来说，业绩波动越大，股票价格波动越大。 </w:t>
      </w:r>
    </w:p>
    <w:p>
      <w:pPr>
        <w:pStyle w:val="7"/>
        <w:spacing w:before="0" w:beforeAutospacing="0" w:after="0" w:afterAutospacing="0" w:line="360" w:lineRule="auto"/>
        <w:ind w:firstLine="420"/>
        <w:rPr>
          <w:sz w:val="21"/>
          <w:szCs w:val="21"/>
        </w:rPr>
      </w:pPr>
      <w:r>
        <w:rPr>
          <w:rFonts w:hint="eastAsia"/>
          <w:sz w:val="21"/>
          <w:szCs w:val="21"/>
        </w:rPr>
        <w:t xml:space="preserve">6）、业务分布：采用市场分布、产品分布和行业分布数据。 </w:t>
      </w:r>
    </w:p>
    <w:p>
      <w:pPr>
        <w:pStyle w:val="7"/>
        <w:spacing w:before="0" w:beforeAutospacing="0" w:after="0" w:afterAutospacing="0" w:line="360" w:lineRule="auto"/>
        <w:ind w:firstLine="420"/>
        <w:rPr>
          <w:sz w:val="21"/>
          <w:szCs w:val="21"/>
        </w:rPr>
      </w:pPr>
      <w:r>
        <w:rPr>
          <w:rFonts w:hint="eastAsia"/>
          <w:sz w:val="21"/>
          <w:szCs w:val="21"/>
        </w:rPr>
        <w:t xml:space="preserve">7）、生产力：采用折旧／收入和资本支出／收入数据。 </w:t>
      </w:r>
    </w:p>
    <w:p>
      <w:pPr>
        <w:pStyle w:val="7"/>
        <w:spacing w:before="0" w:beforeAutospacing="0" w:after="0" w:afterAutospacing="0" w:line="360" w:lineRule="auto"/>
        <w:ind w:firstLine="420"/>
        <w:rPr>
          <w:sz w:val="21"/>
          <w:szCs w:val="21"/>
        </w:rPr>
      </w:pPr>
      <w:r>
        <w:rPr>
          <w:rFonts w:hint="eastAsia"/>
          <w:sz w:val="21"/>
          <w:szCs w:val="21"/>
        </w:rPr>
        <w:t xml:space="preserve">（5）财务健康度分析 </w:t>
      </w:r>
    </w:p>
    <w:p>
      <w:pPr>
        <w:pStyle w:val="7"/>
        <w:spacing w:before="0" w:beforeAutospacing="0" w:after="0" w:afterAutospacing="0" w:line="360" w:lineRule="auto"/>
        <w:ind w:firstLine="420"/>
        <w:rPr>
          <w:sz w:val="21"/>
          <w:szCs w:val="21"/>
        </w:rPr>
      </w:pPr>
      <w:r>
        <w:rPr>
          <w:rFonts w:hint="eastAsia"/>
          <w:sz w:val="21"/>
          <w:szCs w:val="21"/>
        </w:rPr>
        <w:t xml:space="preserve">通过研究财务数据，来判别企业风险，数据采用三年财务报告数据；指标选择选取反映公司收益、市场比率、成长、效率和风险的五大类指标。 </w:t>
      </w:r>
    </w:p>
    <w:p>
      <w:pPr>
        <w:pStyle w:val="7"/>
        <w:spacing w:before="0" w:beforeAutospacing="0" w:after="0" w:afterAutospacing="0" w:line="360" w:lineRule="auto"/>
        <w:ind w:firstLine="420"/>
        <w:rPr>
          <w:sz w:val="21"/>
          <w:szCs w:val="21"/>
        </w:rPr>
      </w:pPr>
      <w:r>
        <w:rPr>
          <w:rFonts w:hint="eastAsia"/>
          <w:sz w:val="21"/>
          <w:szCs w:val="21"/>
        </w:rPr>
        <w:t xml:space="preserve">4、存托凭证投资策略 </w:t>
      </w:r>
    </w:p>
    <w:p>
      <w:pPr>
        <w:rPr>
          <w:rFonts w:ascii="宋体" w:hAnsi="宋体" w:eastAsia="宋体"/>
          <w:sz w:val="24"/>
          <w:szCs w:val="24"/>
        </w:rPr>
      </w:pPr>
      <w:r>
        <w:rPr>
          <w:rFonts w:ascii="宋体" w:hAnsi="宋体" w:eastAsia="宋体"/>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本基金采用的债券投资策略包括：期限结构策略、信用策略、互换策略、息差策略、可转债策略等。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pPr>
        <w:pStyle w:val="7"/>
        <w:spacing w:before="0" w:beforeAutospacing="0" w:after="0" w:afterAutospacing="0" w:line="360" w:lineRule="auto"/>
        <w:ind w:firstLine="420"/>
        <w:rPr>
          <w:sz w:val="21"/>
          <w:szCs w:val="21"/>
        </w:rPr>
      </w:pPr>
      <w:r>
        <w:rPr>
          <w:rFonts w:hint="eastAsia"/>
          <w:sz w:val="21"/>
          <w:szCs w:val="21"/>
        </w:rPr>
        <w:t xml:space="preserve">2、股指期货投资策略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未来随着证券市场投资工具的发展和丰富，在符合有关法律法规规定的前提下，本基金</w:t>
      </w:r>
      <w:bookmarkStart w:id="126" w:name="chapter_level1_11_60_section_1_end"/>
      <w:bookmarkEnd w:id="126"/>
      <w:r>
        <w:rPr>
          <w:rFonts w:hint="eastAsia"/>
          <w:sz w:val="21"/>
          <w:szCs w:val="21"/>
        </w:rPr>
        <w:t xml:space="preserve">可相应调整和更新相关投资策略。 </w:t>
      </w:r>
      <w:bookmarkStart w:id="127" w:name="field_60_investmentstrategy_1_end"/>
      <w:bookmarkEnd w:id="127"/>
      <w:r>
        <w:rPr>
          <w:rFonts w:hint="eastAsia"/>
          <w:sz w:val="21"/>
          <w:szCs w:val="21"/>
        </w:rPr>
        <w:t xml:space="preserve">  </w:t>
      </w:r>
    </w:p>
    <w:p>
      <w:pPr>
        <w:pStyle w:val="7"/>
        <w:spacing w:before="0" w:beforeAutospacing="0" w:after="0" w:afterAutospacing="0" w:line="360" w:lineRule="auto"/>
        <w:ind w:firstLine="420"/>
        <w:rPr>
          <w:sz w:val="21"/>
          <w:szCs w:val="21"/>
        </w:rPr>
      </w:pPr>
      <w:bookmarkStart w:id="128" w:name="chapter_level1_11_60_section_2"/>
      <w:bookmarkEnd w:id="128"/>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（1）股票资产（含存托凭证）占基金资产的60%-95%，其中投资于本基金所界定的新兴消费主题证券的比例不低于非现金资产的80%；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（16）本基金参与股指期货交易后，需遵守下列规定：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（17）本基金持有单只中小企业私募债券，其市值不得超过本基金资产净值的10%；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法律、行政法规或监管机构取消上述禁止性规定，如适用于本基金，基金管理人在履行适当程序后，则本基金投资不再受相关限制。 </w:t>
      </w:r>
    </w:p>
    <w:p>
      <w:pPr>
        <w:pStyle w:val="7"/>
        <w:spacing w:before="0" w:beforeAutospacing="0" w:after="0" w:afterAutospacing="0" w:line="360" w:lineRule="auto"/>
        <w:ind w:firstLine="420"/>
        <w:rPr>
          <w:sz w:val="21"/>
          <w:szCs w:val="21"/>
        </w:rPr>
      </w:pPr>
      <w:bookmarkStart w:id="129" w:name="chapter_level1_11_60_section_2_end"/>
      <w:bookmarkEnd w:id="129"/>
      <w:r>
        <w:rPr>
          <w:rStyle w:val="11"/>
          <w:rFonts w:hint="eastAsia"/>
          <w:sz w:val="21"/>
          <w:szCs w:val="21"/>
        </w:rPr>
        <w:t>五、业绩比较基准</w:t>
      </w:r>
    </w:p>
    <w:p>
      <w:pPr>
        <w:pStyle w:val="7"/>
        <w:spacing w:before="0" w:beforeAutospacing="0" w:after="0" w:afterAutospacing="0" w:line="360" w:lineRule="auto"/>
        <w:ind w:firstLine="420"/>
        <w:rPr>
          <w:b/>
          <w:sz w:val="21"/>
          <w:szCs w:val="21"/>
        </w:rPr>
      </w:pPr>
      <w:bookmarkStart w:id="130" w:name="chapter_level1_11_60_section_3"/>
      <w:bookmarkEnd w:id="130"/>
      <w:r>
        <w:rPr>
          <w:rStyle w:val="11"/>
          <w:rFonts w:hint="eastAsia"/>
          <w:b w:val="0"/>
          <w:sz w:val="21"/>
          <w:szCs w:val="21"/>
        </w:rPr>
        <w:t>1、业绩比较基准</w:t>
      </w:r>
    </w:p>
    <w:p>
      <w:pPr>
        <w:pStyle w:val="7"/>
        <w:spacing w:before="0" w:beforeAutospacing="0" w:after="0" w:afterAutospacing="0" w:line="360" w:lineRule="auto"/>
        <w:ind w:firstLine="420"/>
        <w:rPr>
          <w:sz w:val="21"/>
          <w:szCs w:val="21"/>
        </w:rPr>
      </w:pPr>
      <w:r>
        <w:rPr>
          <w:rFonts w:hint="eastAsia"/>
          <w:sz w:val="21"/>
          <w:szCs w:val="21"/>
        </w:rPr>
        <w:t>本基金的业绩比较基准为：</w:t>
      </w:r>
      <w:bookmarkStart w:id="131" w:name="field_60_benchmark_1_start"/>
      <w:bookmarkEnd w:id="131"/>
      <w:r>
        <w:rPr>
          <w:rFonts w:hint="eastAsia"/>
          <w:sz w:val="21"/>
          <w:szCs w:val="21"/>
        </w:rPr>
        <w:t xml:space="preserve">沪深300指数收益率×70%+中国债券总指数收益率×30%。 </w:t>
      </w:r>
      <w:bookmarkStart w:id="132" w:name="field_60_benchmark_1_end"/>
      <w:bookmarkEnd w:id="13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pPr>
        <w:pStyle w:val="7"/>
        <w:spacing w:before="0" w:beforeAutospacing="0" w:after="0" w:afterAutospacing="0" w:line="360" w:lineRule="auto"/>
        <w:ind w:firstLine="420"/>
        <w:rPr>
          <w:sz w:val="21"/>
          <w:szCs w:val="21"/>
        </w:rPr>
      </w:pPr>
      <w:r>
        <w:rPr>
          <w:rFonts w:hint="eastAsia"/>
          <w:sz w:val="21"/>
          <w:szCs w:val="21"/>
        </w:rPr>
        <w:t xml:space="preserve">2、选择业绩比较基准的理由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收益率作为业绩比较基准。本基金的股票投资比例区间为60%-95%，取70%为基准指数中股票投资所代表的权重，其余30%为基准指数中债券投资所对应的权重。因此，本基金的业绩比较基准确定为“沪深300指数收益率×70%＋中国债券总指数收益率×30%”。 </w:t>
      </w:r>
    </w:p>
    <w:p>
      <w:pPr>
        <w:pStyle w:val="7"/>
        <w:spacing w:before="0" w:beforeAutospacing="0" w:after="0" w:afterAutospacing="0" w:line="360" w:lineRule="auto"/>
        <w:ind w:firstLine="420"/>
        <w:rPr>
          <w:sz w:val="21"/>
          <w:szCs w:val="21"/>
        </w:rPr>
      </w:pPr>
      <w:r>
        <w:rPr>
          <w:rFonts w:hint="eastAsia"/>
          <w:sz w:val="21"/>
          <w:szCs w:val="21"/>
        </w:rPr>
        <w:t>若未来法律法规发生变化，或者有更权威的、更能为市场普遍接受的业绩比较基准推出，或者市场发生变化导致本业绩比较基准不再适用，本基金管理人可以依据维护投资者合法权益的原则，在与基金托管人协商一致并报中国证监会备案后，适当调整业绩比较基准并及时</w:t>
      </w:r>
      <w:bookmarkStart w:id="133" w:name="chapter_level1_11_60_section_3_end"/>
      <w:bookmarkEnd w:id="133"/>
      <w:r>
        <w:rPr>
          <w:rFonts w:hint="eastAsia"/>
          <w:sz w:val="21"/>
          <w:szCs w:val="21"/>
        </w:rPr>
        <w:t xml:space="preserve">公告，而无需召开基金份额持有人大会。 </w:t>
      </w:r>
    </w:p>
    <w:p>
      <w:pPr>
        <w:pStyle w:val="7"/>
        <w:spacing w:before="0" w:beforeAutospacing="0" w:after="0" w:afterAutospacing="0" w:line="360" w:lineRule="auto"/>
        <w:ind w:firstLine="420"/>
        <w:rPr>
          <w:sz w:val="21"/>
          <w:szCs w:val="21"/>
        </w:rPr>
      </w:pPr>
      <w:bookmarkStart w:id="134" w:name="chapter_level1_11_60_section_4"/>
      <w:bookmarkEnd w:id="134"/>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35" w:name="field_60_riskyield_1_start"/>
      <w:bookmarkEnd w:id="135"/>
      <w:r>
        <w:rPr>
          <w:rFonts w:hint="eastAsia"/>
          <w:sz w:val="21"/>
          <w:szCs w:val="21"/>
        </w:rPr>
        <w:t>本基金为混合型基金，预期风险和预期收益高于货币市场基金、债券型基</w:t>
      </w:r>
      <w:bookmarkStart w:id="136" w:name="chapter_level1_11_60_section_4_end"/>
      <w:bookmarkEnd w:id="136"/>
      <w:r>
        <w:rPr>
          <w:rFonts w:hint="eastAsia"/>
          <w:sz w:val="21"/>
          <w:szCs w:val="21"/>
        </w:rPr>
        <w:t xml:space="preserve">金，低于股票型基金，属于证券投资基金中的中高风险/收益品种。  </w:t>
      </w:r>
      <w:bookmarkStart w:id="137" w:name="field_60_riskyield_1_end"/>
      <w:bookmarkEnd w:id="137"/>
      <w:r>
        <w:rPr>
          <w:rFonts w:hint="eastAsia"/>
          <w:sz w:val="21"/>
          <w:szCs w:val="21"/>
        </w:rPr>
        <w:t xml:space="preserve">  </w:t>
      </w:r>
    </w:p>
    <w:p>
      <w:pPr>
        <w:pStyle w:val="7"/>
        <w:spacing w:before="0" w:beforeAutospacing="0" w:after="0" w:afterAutospacing="0" w:line="360" w:lineRule="auto"/>
        <w:ind w:firstLine="420"/>
        <w:rPr>
          <w:sz w:val="21"/>
          <w:szCs w:val="21"/>
        </w:rPr>
      </w:pPr>
      <w:bookmarkStart w:id="138" w:name="chapter_level1_11_60_section_5"/>
      <w:bookmarkEnd w:id="138"/>
      <w:bookmarkStart w:id="139" w:name="chapter_level1_11_60_section_5_end"/>
      <w:bookmarkEnd w:id="139"/>
      <w:r>
        <w:rPr>
          <w:rStyle w:val="11"/>
          <w:rFonts w:hint="eastAsia"/>
          <w:sz w:val="21"/>
          <w:szCs w:val="21"/>
        </w:rPr>
        <w:t>七、基金投资组合报告</w:t>
      </w:r>
    </w:p>
    <w:p>
      <w:pPr>
        <w:pStyle w:val="7"/>
        <w:spacing w:before="0" w:beforeAutospacing="0" w:after="0" w:afterAutospacing="0" w:line="360" w:lineRule="auto"/>
        <w:ind w:firstLine="420"/>
        <w:rPr>
          <w:sz w:val="21"/>
          <w:szCs w:val="21"/>
        </w:rPr>
      </w:pPr>
      <w:bookmarkStart w:id="140" w:name="chapter_level1_11_60_section_6"/>
      <w:bookmarkEnd w:id="140"/>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1" w:name="field_2343_financeendday_2"/>
      <w:r>
        <w:rPr>
          <w:sz w:val="21"/>
          <w:szCs w:val="21"/>
        </w:rPr>
        <w:t>2022年6月30日</w:t>
      </w:r>
      <w:bookmarkEnd w:id="141"/>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208"/>
        <w:gridCol w:w="2442"/>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4200" w:type="dxa"/>
            <w:shd w:val="clear" w:color="auto" w:fill="auto"/>
          </w:tcPr>
          <w:p>
            <w:pPr>
              <w:pStyle w:val="7"/>
              <w:jc w:val="center"/>
              <w:rPr>
                <w:sz w:val="21"/>
                <w:szCs w:val="21"/>
              </w:rPr>
            </w:pPr>
            <w:r>
              <w:rPr>
                <w:rFonts w:hint="eastAsia"/>
                <w:sz w:val="21"/>
                <w:szCs w:val="21"/>
              </w:rPr>
              <w:t xml:space="preserve">项目 </w:t>
            </w:r>
          </w:p>
        </w:tc>
        <w:tc>
          <w:tcPr>
            <w:tcW w:w="2790" w:type="dxa"/>
            <w:shd w:val="clear" w:color="auto" w:fill="auto"/>
          </w:tcPr>
          <w:p>
            <w:pPr>
              <w:pStyle w:val="7"/>
              <w:jc w:val="center"/>
              <w:rPr>
                <w:sz w:val="21"/>
                <w:szCs w:val="21"/>
              </w:rPr>
            </w:pPr>
            <w:r>
              <w:rPr>
                <w:rFonts w:hint="eastAsia"/>
                <w:sz w:val="21"/>
                <w:szCs w:val="21"/>
              </w:rPr>
              <w:t xml:space="preserve">金额(元) </w:t>
            </w:r>
          </w:p>
        </w:tc>
        <w:tc>
          <w:tcPr>
            <w:tcW w:w="2775" w:type="dxa"/>
            <w:shd w:val="clear" w:color="auto" w:fill="auto"/>
          </w:tcPr>
          <w:p>
            <w:pPr>
              <w:pStyle w:val="7"/>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4200" w:type="dxa"/>
            <w:shd w:val="clear" w:color="auto" w:fill="auto"/>
          </w:tcPr>
          <w:p>
            <w:pPr>
              <w:pStyle w:val="7"/>
              <w:rPr>
                <w:sz w:val="21"/>
                <w:szCs w:val="21"/>
              </w:rPr>
            </w:pPr>
            <w:r>
              <w:rPr>
                <w:rFonts w:hint="eastAsia"/>
                <w:sz w:val="21"/>
                <w:szCs w:val="21"/>
              </w:rPr>
              <w:t xml:space="preserve">权益投资 </w:t>
            </w:r>
          </w:p>
        </w:tc>
        <w:tc>
          <w:tcPr>
            <w:tcW w:w="2790" w:type="dxa"/>
            <w:shd w:val="clear" w:color="auto" w:fill="auto"/>
          </w:tcPr>
          <w:p>
            <w:pPr>
              <w:pStyle w:val="7"/>
              <w:jc w:val="right"/>
              <w:rPr>
                <w:sz w:val="21"/>
                <w:szCs w:val="21"/>
              </w:rPr>
            </w:pPr>
            <w:r>
              <w:rPr>
                <w:rFonts w:hint="eastAsia"/>
                <w:sz w:val="21"/>
                <w:szCs w:val="21"/>
              </w:rPr>
              <w:t xml:space="preserve">483,173,767.04 </w:t>
            </w:r>
          </w:p>
        </w:tc>
        <w:tc>
          <w:tcPr>
            <w:tcW w:w="2775" w:type="dxa"/>
            <w:shd w:val="clear" w:color="auto" w:fill="auto"/>
          </w:tcPr>
          <w:p>
            <w:pPr>
              <w:pStyle w:val="7"/>
              <w:jc w:val="right"/>
              <w:rPr>
                <w:sz w:val="21"/>
                <w:szCs w:val="21"/>
              </w:rPr>
            </w:pPr>
            <w:r>
              <w:rPr>
                <w:rFonts w:hint="eastAsia"/>
                <w:sz w:val="21"/>
                <w:szCs w:val="21"/>
              </w:rPr>
              <w:t xml:space="preserve">90.34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其中：股票 </w:t>
            </w:r>
          </w:p>
        </w:tc>
        <w:tc>
          <w:tcPr>
            <w:tcW w:w="2790" w:type="dxa"/>
            <w:shd w:val="clear" w:color="auto" w:fill="auto"/>
          </w:tcPr>
          <w:p>
            <w:pPr>
              <w:pStyle w:val="7"/>
              <w:jc w:val="right"/>
              <w:rPr>
                <w:sz w:val="21"/>
                <w:szCs w:val="21"/>
              </w:rPr>
            </w:pPr>
            <w:r>
              <w:rPr>
                <w:rFonts w:hint="eastAsia"/>
                <w:sz w:val="21"/>
                <w:szCs w:val="21"/>
              </w:rPr>
              <w:t xml:space="preserve">483,173,767.04 </w:t>
            </w:r>
          </w:p>
        </w:tc>
        <w:tc>
          <w:tcPr>
            <w:tcW w:w="2775" w:type="dxa"/>
            <w:shd w:val="clear" w:color="auto" w:fill="auto"/>
          </w:tcPr>
          <w:p>
            <w:pPr>
              <w:pStyle w:val="7"/>
              <w:jc w:val="right"/>
              <w:rPr>
                <w:sz w:val="21"/>
                <w:szCs w:val="21"/>
              </w:rPr>
            </w:pPr>
            <w:r>
              <w:rPr>
                <w:rFonts w:hint="eastAsia"/>
                <w:sz w:val="21"/>
                <w:szCs w:val="21"/>
              </w:rPr>
              <w:t xml:space="preserve">90.34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4200" w:type="dxa"/>
            <w:shd w:val="clear" w:color="auto" w:fill="auto"/>
          </w:tcPr>
          <w:p>
            <w:pPr>
              <w:pStyle w:val="7"/>
              <w:rPr>
                <w:sz w:val="21"/>
                <w:szCs w:val="21"/>
              </w:rPr>
            </w:pPr>
            <w:r>
              <w:rPr>
                <w:rFonts w:hint="eastAsia"/>
                <w:sz w:val="21"/>
                <w:szCs w:val="21"/>
              </w:rPr>
              <w:t xml:space="preserve">基金投资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4200" w:type="dxa"/>
            <w:shd w:val="clear" w:color="auto" w:fill="auto"/>
          </w:tcPr>
          <w:p>
            <w:pPr>
              <w:pStyle w:val="7"/>
              <w:rPr>
                <w:sz w:val="21"/>
                <w:szCs w:val="21"/>
              </w:rPr>
            </w:pPr>
            <w:r>
              <w:rPr>
                <w:rFonts w:hint="eastAsia"/>
                <w:sz w:val="21"/>
                <w:szCs w:val="21"/>
              </w:rPr>
              <w:t xml:space="preserve">固定收益投资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其中：债券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ind w:firstLine="630"/>
              <w:rPr>
                <w:sz w:val="21"/>
                <w:szCs w:val="21"/>
              </w:rPr>
            </w:pPr>
            <w:r>
              <w:rPr>
                <w:rFonts w:hint="eastAsia"/>
                <w:sz w:val="21"/>
                <w:szCs w:val="21"/>
              </w:rPr>
              <w:t xml:space="preserve">资产支持证券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4200" w:type="dxa"/>
            <w:shd w:val="clear" w:color="auto" w:fill="auto"/>
          </w:tcPr>
          <w:p>
            <w:pPr>
              <w:pStyle w:val="7"/>
              <w:rPr>
                <w:sz w:val="21"/>
                <w:szCs w:val="21"/>
              </w:rPr>
            </w:pPr>
            <w:r>
              <w:rPr>
                <w:rFonts w:hint="eastAsia"/>
                <w:sz w:val="21"/>
                <w:szCs w:val="21"/>
              </w:rPr>
              <w:t xml:space="preserve">贵金属投资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4200" w:type="dxa"/>
            <w:shd w:val="clear" w:color="auto" w:fill="auto"/>
          </w:tcPr>
          <w:p>
            <w:pPr>
              <w:pStyle w:val="7"/>
              <w:rPr>
                <w:sz w:val="21"/>
                <w:szCs w:val="21"/>
              </w:rPr>
            </w:pPr>
            <w:r>
              <w:rPr>
                <w:rFonts w:hint="eastAsia"/>
                <w:sz w:val="21"/>
                <w:szCs w:val="21"/>
              </w:rPr>
              <w:t xml:space="preserve">金融衍生品投资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4200" w:type="dxa"/>
            <w:shd w:val="clear" w:color="auto" w:fill="auto"/>
          </w:tcPr>
          <w:p>
            <w:pPr>
              <w:pStyle w:val="7"/>
              <w:rPr>
                <w:sz w:val="21"/>
                <w:szCs w:val="21"/>
              </w:rPr>
            </w:pPr>
            <w:r>
              <w:rPr>
                <w:rFonts w:hint="eastAsia"/>
                <w:sz w:val="21"/>
                <w:szCs w:val="21"/>
              </w:rPr>
              <w:t xml:space="preserve">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rPr>
                <w:rFonts w:ascii="宋体" w:hAnsi="宋体" w:eastAsia="宋体" w:cs="宋体"/>
                <w:szCs w:val="21"/>
              </w:rPr>
            </w:pPr>
          </w:p>
        </w:tc>
        <w:tc>
          <w:tcPr>
            <w:tcW w:w="4200" w:type="dxa"/>
            <w:shd w:val="clear" w:color="auto" w:fill="auto"/>
          </w:tcPr>
          <w:p>
            <w:pPr>
              <w:pStyle w:val="7"/>
              <w:rPr>
                <w:sz w:val="21"/>
                <w:szCs w:val="21"/>
              </w:rPr>
            </w:pPr>
            <w:r>
              <w:rPr>
                <w:rFonts w:hint="eastAsia"/>
                <w:sz w:val="21"/>
                <w:szCs w:val="21"/>
              </w:rPr>
              <w:t xml:space="preserve">其中：买断式回购的买入返售金融资产 </w:t>
            </w:r>
          </w:p>
        </w:tc>
        <w:tc>
          <w:tcPr>
            <w:tcW w:w="2790" w:type="dxa"/>
            <w:shd w:val="clear" w:color="auto" w:fill="auto"/>
          </w:tcPr>
          <w:p>
            <w:pPr>
              <w:pStyle w:val="7"/>
              <w:jc w:val="right"/>
              <w:rPr>
                <w:sz w:val="21"/>
                <w:szCs w:val="21"/>
              </w:rPr>
            </w:pPr>
            <w:r>
              <w:rPr>
                <w:rFonts w:hint="eastAsia"/>
                <w:sz w:val="21"/>
                <w:szCs w:val="21"/>
              </w:rPr>
              <w:t xml:space="preserve">- </w:t>
            </w:r>
          </w:p>
        </w:tc>
        <w:tc>
          <w:tcPr>
            <w:tcW w:w="277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4200" w:type="dxa"/>
            <w:shd w:val="clear" w:color="auto" w:fill="auto"/>
          </w:tcPr>
          <w:p>
            <w:pPr>
              <w:pStyle w:val="7"/>
              <w:rPr>
                <w:sz w:val="21"/>
                <w:szCs w:val="21"/>
              </w:rPr>
            </w:pPr>
            <w:r>
              <w:rPr>
                <w:rFonts w:hint="eastAsia"/>
                <w:sz w:val="21"/>
                <w:szCs w:val="21"/>
              </w:rPr>
              <w:t xml:space="preserve">银行存款和结算备付金合计 </w:t>
            </w:r>
          </w:p>
        </w:tc>
        <w:tc>
          <w:tcPr>
            <w:tcW w:w="2790" w:type="dxa"/>
            <w:shd w:val="clear" w:color="auto" w:fill="auto"/>
          </w:tcPr>
          <w:p>
            <w:pPr>
              <w:pStyle w:val="7"/>
              <w:jc w:val="right"/>
              <w:rPr>
                <w:sz w:val="21"/>
                <w:szCs w:val="21"/>
              </w:rPr>
            </w:pPr>
            <w:r>
              <w:rPr>
                <w:rFonts w:hint="eastAsia"/>
                <w:sz w:val="21"/>
                <w:szCs w:val="21"/>
              </w:rPr>
              <w:t xml:space="preserve">50,965,370.87 </w:t>
            </w:r>
          </w:p>
        </w:tc>
        <w:tc>
          <w:tcPr>
            <w:tcW w:w="2775" w:type="dxa"/>
            <w:shd w:val="clear" w:color="auto" w:fill="auto"/>
          </w:tcPr>
          <w:p>
            <w:pPr>
              <w:pStyle w:val="7"/>
              <w:jc w:val="right"/>
              <w:rPr>
                <w:sz w:val="21"/>
                <w:szCs w:val="21"/>
              </w:rPr>
            </w:pPr>
            <w:r>
              <w:rPr>
                <w:rFonts w:hint="eastAsia"/>
                <w:sz w:val="21"/>
                <w:szCs w:val="21"/>
              </w:rPr>
              <w:t xml:space="preserve">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4200" w:type="dxa"/>
            <w:shd w:val="clear" w:color="auto" w:fill="auto"/>
          </w:tcPr>
          <w:p>
            <w:pPr>
              <w:pStyle w:val="7"/>
              <w:rPr>
                <w:sz w:val="21"/>
                <w:szCs w:val="21"/>
              </w:rPr>
            </w:pPr>
            <w:r>
              <w:rPr>
                <w:rFonts w:hint="eastAsia"/>
                <w:sz w:val="21"/>
                <w:szCs w:val="21"/>
              </w:rPr>
              <w:t xml:space="preserve">其他各项资产 </w:t>
            </w:r>
          </w:p>
        </w:tc>
        <w:tc>
          <w:tcPr>
            <w:tcW w:w="2790" w:type="dxa"/>
            <w:shd w:val="clear" w:color="auto" w:fill="auto"/>
          </w:tcPr>
          <w:p>
            <w:pPr>
              <w:pStyle w:val="7"/>
              <w:jc w:val="right"/>
              <w:rPr>
                <w:sz w:val="21"/>
                <w:szCs w:val="21"/>
              </w:rPr>
            </w:pPr>
            <w:r>
              <w:rPr>
                <w:rFonts w:hint="eastAsia"/>
                <w:sz w:val="21"/>
                <w:szCs w:val="21"/>
              </w:rPr>
              <w:t xml:space="preserve">686,237.70 </w:t>
            </w:r>
          </w:p>
        </w:tc>
        <w:tc>
          <w:tcPr>
            <w:tcW w:w="2775" w:type="dxa"/>
            <w:shd w:val="clear" w:color="auto" w:fill="auto"/>
          </w:tcPr>
          <w:p>
            <w:pPr>
              <w:pStyle w:val="7"/>
              <w:jc w:val="right"/>
              <w:rPr>
                <w:sz w:val="21"/>
                <w:szCs w:val="21"/>
              </w:rPr>
            </w:pPr>
            <w:r>
              <w:rPr>
                <w:rFonts w:hint="eastAsia"/>
                <w:sz w:val="21"/>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4200" w:type="dxa"/>
            <w:shd w:val="clear" w:color="auto" w:fill="auto"/>
          </w:tcPr>
          <w:p>
            <w:pPr>
              <w:pStyle w:val="7"/>
              <w:rPr>
                <w:sz w:val="21"/>
                <w:szCs w:val="21"/>
              </w:rPr>
            </w:pPr>
            <w:r>
              <w:rPr>
                <w:rFonts w:hint="eastAsia"/>
                <w:sz w:val="21"/>
                <w:szCs w:val="21"/>
              </w:rPr>
              <w:t xml:space="preserve">合计 </w:t>
            </w:r>
          </w:p>
        </w:tc>
        <w:tc>
          <w:tcPr>
            <w:tcW w:w="2790" w:type="dxa"/>
            <w:shd w:val="clear" w:color="auto" w:fill="auto"/>
          </w:tcPr>
          <w:p>
            <w:pPr>
              <w:pStyle w:val="7"/>
              <w:jc w:val="right"/>
              <w:rPr>
                <w:sz w:val="21"/>
                <w:szCs w:val="21"/>
              </w:rPr>
            </w:pPr>
            <w:r>
              <w:rPr>
                <w:rFonts w:hint="eastAsia"/>
                <w:sz w:val="21"/>
                <w:szCs w:val="21"/>
              </w:rPr>
              <w:t xml:space="preserve">534,825,375.61 </w:t>
            </w:r>
          </w:p>
        </w:tc>
        <w:tc>
          <w:tcPr>
            <w:tcW w:w="2775" w:type="dxa"/>
            <w:shd w:val="clear" w:color="auto" w:fill="auto"/>
          </w:tcPr>
          <w:p>
            <w:pPr>
              <w:pStyle w:val="7"/>
              <w:jc w:val="right"/>
              <w:rPr>
                <w:sz w:val="21"/>
                <w:szCs w:val="21"/>
              </w:rPr>
            </w:pPr>
            <w:r>
              <w:rPr>
                <w:rFonts w:hint="eastAsia"/>
                <w:sz w:val="21"/>
                <w:szCs w:val="21"/>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2898"/>
        <w:gridCol w:w="277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代码 </w:t>
            </w:r>
          </w:p>
        </w:tc>
        <w:tc>
          <w:tcPr>
            <w:tcW w:w="3840" w:type="dxa"/>
            <w:shd w:val="clear" w:color="auto" w:fill="auto"/>
          </w:tcPr>
          <w:p>
            <w:pPr>
              <w:pStyle w:val="7"/>
              <w:jc w:val="center"/>
              <w:rPr>
                <w:sz w:val="21"/>
                <w:szCs w:val="21"/>
              </w:rPr>
            </w:pPr>
            <w:r>
              <w:rPr>
                <w:rFonts w:hint="eastAsia"/>
                <w:sz w:val="21"/>
                <w:szCs w:val="21"/>
              </w:rPr>
              <w:t xml:space="preserve">行业类别 </w:t>
            </w:r>
          </w:p>
        </w:tc>
        <w:tc>
          <w:tcPr>
            <w:tcW w:w="3255" w:type="dxa"/>
            <w:shd w:val="clear" w:color="auto" w:fill="auto"/>
          </w:tcPr>
          <w:p>
            <w:pPr>
              <w:pStyle w:val="7"/>
              <w:jc w:val="center"/>
              <w:rPr>
                <w:sz w:val="21"/>
                <w:szCs w:val="21"/>
              </w:rPr>
            </w:pPr>
            <w:r>
              <w:rPr>
                <w:rFonts w:hint="eastAsia"/>
                <w:sz w:val="21"/>
                <w:szCs w:val="21"/>
              </w:rPr>
              <w:t xml:space="preserve">公允价值（元） </w:t>
            </w:r>
          </w:p>
        </w:tc>
        <w:tc>
          <w:tcPr>
            <w:tcW w:w="279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A </w:t>
            </w:r>
          </w:p>
        </w:tc>
        <w:tc>
          <w:tcPr>
            <w:tcW w:w="3840" w:type="dxa"/>
            <w:shd w:val="clear" w:color="auto" w:fill="auto"/>
          </w:tcPr>
          <w:p>
            <w:pPr>
              <w:pStyle w:val="7"/>
              <w:ind w:left="105"/>
              <w:rPr>
                <w:sz w:val="21"/>
                <w:szCs w:val="21"/>
              </w:rPr>
            </w:pPr>
            <w:r>
              <w:rPr>
                <w:rFonts w:hint="eastAsia"/>
                <w:sz w:val="21"/>
                <w:szCs w:val="21"/>
              </w:rPr>
              <w:t xml:space="preserve">农、林、牧、渔业 </w:t>
            </w:r>
          </w:p>
        </w:tc>
        <w:tc>
          <w:tcPr>
            <w:tcW w:w="3255" w:type="dxa"/>
            <w:shd w:val="clear" w:color="auto" w:fill="auto"/>
          </w:tcPr>
          <w:p>
            <w:pPr>
              <w:pStyle w:val="7"/>
              <w:jc w:val="right"/>
              <w:rPr>
                <w:sz w:val="21"/>
                <w:szCs w:val="21"/>
              </w:rPr>
            </w:pPr>
            <w:r>
              <w:rPr>
                <w:rFonts w:hint="eastAsia"/>
                <w:sz w:val="21"/>
                <w:szCs w:val="21"/>
              </w:rPr>
              <w:t xml:space="preserve">88,285,810.10 </w:t>
            </w:r>
          </w:p>
        </w:tc>
        <w:tc>
          <w:tcPr>
            <w:tcW w:w="2790" w:type="dxa"/>
            <w:shd w:val="clear" w:color="auto" w:fill="auto"/>
          </w:tcPr>
          <w:p>
            <w:pPr>
              <w:pStyle w:val="7"/>
              <w:jc w:val="right"/>
              <w:rPr>
                <w:sz w:val="21"/>
                <w:szCs w:val="21"/>
              </w:rPr>
            </w:pPr>
            <w:r>
              <w:rPr>
                <w:rFonts w:hint="eastAsia"/>
                <w:sz w:val="21"/>
                <w:szCs w:val="21"/>
              </w:rPr>
              <w:t xml:space="preserve">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B </w:t>
            </w:r>
          </w:p>
        </w:tc>
        <w:tc>
          <w:tcPr>
            <w:tcW w:w="3840" w:type="dxa"/>
            <w:shd w:val="clear" w:color="auto" w:fill="auto"/>
          </w:tcPr>
          <w:p>
            <w:pPr>
              <w:pStyle w:val="7"/>
              <w:ind w:left="105"/>
              <w:rPr>
                <w:sz w:val="21"/>
                <w:szCs w:val="21"/>
              </w:rPr>
            </w:pPr>
            <w:r>
              <w:rPr>
                <w:rFonts w:hint="eastAsia"/>
                <w:sz w:val="21"/>
                <w:szCs w:val="21"/>
              </w:rPr>
              <w:t xml:space="preserve">采矿业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C </w:t>
            </w:r>
          </w:p>
        </w:tc>
        <w:tc>
          <w:tcPr>
            <w:tcW w:w="3840" w:type="dxa"/>
            <w:shd w:val="clear" w:color="auto" w:fill="auto"/>
          </w:tcPr>
          <w:p>
            <w:pPr>
              <w:pStyle w:val="7"/>
              <w:ind w:left="105"/>
              <w:rPr>
                <w:sz w:val="21"/>
                <w:szCs w:val="21"/>
              </w:rPr>
            </w:pPr>
            <w:r>
              <w:rPr>
                <w:rFonts w:hint="eastAsia"/>
                <w:sz w:val="21"/>
                <w:szCs w:val="21"/>
              </w:rPr>
              <w:t xml:space="preserve">制造业 </w:t>
            </w:r>
          </w:p>
        </w:tc>
        <w:tc>
          <w:tcPr>
            <w:tcW w:w="3255" w:type="dxa"/>
            <w:shd w:val="clear" w:color="auto" w:fill="auto"/>
          </w:tcPr>
          <w:p>
            <w:pPr>
              <w:pStyle w:val="7"/>
              <w:jc w:val="right"/>
              <w:rPr>
                <w:sz w:val="21"/>
                <w:szCs w:val="21"/>
              </w:rPr>
            </w:pPr>
            <w:r>
              <w:rPr>
                <w:rFonts w:hint="eastAsia"/>
                <w:sz w:val="21"/>
                <w:szCs w:val="21"/>
              </w:rPr>
              <w:t xml:space="preserve">360,574,848.26 </w:t>
            </w:r>
          </w:p>
        </w:tc>
        <w:tc>
          <w:tcPr>
            <w:tcW w:w="2790" w:type="dxa"/>
            <w:shd w:val="clear" w:color="auto" w:fill="auto"/>
          </w:tcPr>
          <w:p>
            <w:pPr>
              <w:pStyle w:val="7"/>
              <w:jc w:val="right"/>
              <w:rPr>
                <w:sz w:val="21"/>
                <w:szCs w:val="21"/>
              </w:rPr>
            </w:pPr>
            <w:r>
              <w:rPr>
                <w:rFonts w:hint="eastAsia"/>
                <w:sz w:val="21"/>
                <w:szCs w:val="21"/>
              </w:rPr>
              <w:t xml:space="preserve">67.87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D </w:t>
            </w:r>
          </w:p>
        </w:tc>
        <w:tc>
          <w:tcPr>
            <w:tcW w:w="3840" w:type="dxa"/>
            <w:shd w:val="clear" w:color="auto" w:fill="auto"/>
          </w:tcPr>
          <w:p>
            <w:pPr>
              <w:pStyle w:val="7"/>
              <w:ind w:left="105"/>
              <w:rPr>
                <w:sz w:val="21"/>
                <w:szCs w:val="21"/>
              </w:rPr>
            </w:pPr>
            <w:r>
              <w:rPr>
                <w:rFonts w:hint="eastAsia"/>
                <w:sz w:val="21"/>
                <w:szCs w:val="21"/>
              </w:rPr>
              <w:t xml:space="preserve">电力、热力、燃气及水生产和供应业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E </w:t>
            </w:r>
          </w:p>
        </w:tc>
        <w:tc>
          <w:tcPr>
            <w:tcW w:w="3840" w:type="dxa"/>
            <w:shd w:val="clear" w:color="auto" w:fill="auto"/>
          </w:tcPr>
          <w:p>
            <w:pPr>
              <w:pStyle w:val="7"/>
              <w:ind w:left="105"/>
              <w:rPr>
                <w:sz w:val="21"/>
                <w:szCs w:val="21"/>
              </w:rPr>
            </w:pPr>
            <w:r>
              <w:rPr>
                <w:rFonts w:hint="eastAsia"/>
                <w:sz w:val="21"/>
                <w:szCs w:val="21"/>
              </w:rPr>
              <w:t xml:space="preserve">建筑业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F </w:t>
            </w:r>
          </w:p>
        </w:tc>
        <w:tc>
          <w:tcPr>
            <w:tcW w:w="3840" w:type="dxa"/>
            <w:shd w:val="clear" w:color="auto" w:fill="auto"/>
          </w:tcPr>
          <w:p>
            <w:pPr>
              <w:pStyle w:val="7"/>
              <w:ind w:left="105"/>
              <w:rPr>
                <w:sz w:val="21"/>
                <w:szCs w:val="21"/>
              </w:rPr>
            </w:pPr>
            <w:r>
              <w:rPr>
                <w:rFonts w:hint="eastAsia"/>
                <w:sz w:val="21"/>
                <w:szCs w:val="21"/>
              </w:rPr>
              <w:t xml:space="preserve">批发和零售业 </w:t>
            </w:r>
          </w:p>
        </w:tc>
        <w:tc>
          <w:tcPr>
            <w:tcW w:w="3255" w:type="dxa"/>
            <w:shd w:val="clear" w:color="auto" w:fill="auto"/>
          </w:tcPr>
          <w:p>
            <w:pPr>
              <w:pStyle w:val="7"/>
              <w:jc w:val="right"/>
              <w:rPr>
                <w:sz w:val="21"/>
                <w:szCs w:val="21"/>
              </w:rPr>
            </w:pPr>
            <w:r>
              <w:rPr>
                <w:rFonts w:hint="eastAsia"/>
                <w:sz w:val="21"/>
                <w:szCs w:val="21"/>
              </w:rPr>
              <w:t xml:space="preserve">11,362,622.20 </w:t>
            </w:r>
          </w:p>
        </w:tc>
        <w:tc>
          <w:tcPr>
            <w:tcW w:w="2790" w:type="dxa"/>
            <w:shd w:val="clear" w:color="auto" w:fill="auto"/>
          </w:tcPr>
          <w:p>
            <w:pPr>
              <w:pStyle w:val="7"/>
              <w:jc w:val="right"/>
              <w:rPr>
                <w:sz w:val="21"/>
                <w:szCs w:val="21"/>
              </w:rPr>
            </w:pPr>
            <w:r>
              <w:rPr>
                <w:rFonts w:hint="eastAsia"/>
                <w:sz w:val="21"/>
                <w:szCs w:val="21"/>
              </w:rPr>
              <w:t xml:space="preserve">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G </w:t>
            </w:r>
          </w:p>
        </w:tc>
        <w:tc>
          <w:tcPr>
            <w:tcW w:w="3840" w:type="dxa"/>
            <w:shd w:val="clear" w:color="auto" w:fill="auto"/>
          </w:tcPr>
          <w:p>
            <w:pPr>
              <w:pStyle w:val="7"/>
              <w:ind w:left="105"/>
              <w:rPr>
                <w:sz w:val="21"/>
                <w:szCs w:val="21"/>
              </w:rPr>
            </w:pPr>
            <w:r>
              <w:rPr>
                <w:rFonts w:hint="eastAsia"/>
                <w:sz w:val="21"/>
                <w:szCs w:val="21"/>
              </w:rPr>
              <w:t xml:space="preserve">交通运输、仓储和邮政业 </w:t>
            </w:r>
          </w:p>
        </w:tc>
        <w:tc>
          <w:tcPr>
            <w:tcW w:w="3255" w:type="dxa"/>
            <w:shd w:val="clear" w:color="auto" w:fill="auto"/>
          </w:tcPr>
          <w:p>
            <w:pPr>
              <w:pStyle w:val="7"/>
              <w:jc w:val="right"/>
              <w:rPr>
                <w:sz w:val="21"/>
                <w:szCs w:val="21"/>
              </w:rPr>
            </w:pPr>
            <w:r>
              <w:rPr>
                <w:rFonts w:hint="eastAsia"/>
                <w:sz w:val="21"/>
                <w:szCs w:val="21"/>
              </w:rPr>
              <w:t xml:space="preserve">7,917,137.00 </w:t>
            </w:r>
          </w:p>
        </w:tc>
        <w:tc>
          <w:tcPr>
            <w:tcW w:w="2790" w:type="dxa"/>
            <w:shd w:val="clear" w:color="auto" w:fill="auto"/>
          </w:tcPr>
          <w:p>
            <w:pPr>
              <w:pStyle w:val="7"/>
              <w:jc w:val="right"/>
              <w:rPr>
                <w:sz w:val="21"/>
                <w:szCs w:val="21"/>
              </w:rPr>
            </w:pPr>
            <w:r>
              <w:rPr>
                <w:rFonts w:hint="eastAsia"/>
                <w:sz w:val="21"/>
                <w:szCs w:val="21"/>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H </w:t>
            </w:r>
          </w:p>
        </w:tc>
        <w:tc>
          <w:tcPr>
            <w:tcW w:w="3840" w:type="dxa"/>
            <w:shd w:val="clear" w:color="auto" w:fill="auto"/>
          </w:tcPr>
          <w:p>
            <w:pPr>
              <w:pStyle w:val="7"/>
              <w:ind w:left="105"/>
              <w:rPr>
                <w:sz w:val="21"/>
                <w:szCs w:val="21"/>
              </w:rPr>
            </w:pPr>
            <w:r>
              <w:rPr>
                <w:rFonts w:hint="eastAsia"/>
                <w:sz w:val="21"/>
                <w:szCs w:val="21"/>
              </w:rPr>
              <w:t xml:space="preserve">住宿和餐饮业 </w:t>
            </w:r>
          </w:p>
        </w:tc>
        <w:tc>
          <w:tcPr>
            <w:tcW w:w="3255" w:type="dxa"/>
            <w:shd w:val="clear" w:color="auto" w:fill="auto"/>
          </w:tcPr>
          <w:p>
            <w:pPr>
              <w:pStyle w:val="7"/>
              <w:jc w:val="right"/>
              <w:rPr>
                <w:sz w:val="21"/>
                <w:szCs w:val="21"/>
              </w:rPr>
            </w:pPr>
            <w:r>
              <w:rPr>
                <w:rFonts w:hint="eastAsia"/>
                <w:sz w:val="21"/>
                <w:szCs w:val="21"/>
              </w:rPr>
              <w:t xml:space="preserve">1,160,138.00 </w:t>
            </w:r>
          </w:p>
        </w:tc>
        <w:tc>
          <w:tcPr>
            <w:tcW w:w="2790" w:type="dxa"/>
            <w:shd w:val="clear" w:color="auto" w:fill="auto"/>
          </w:tcPr>
          <w:p>
            <w:pPr>
              <w:pStyle w:val="7"/>
              <w:jc w:val="right"/>
              <w:rPr>
                <w:sz w:val="21"/>
                <w:szCs w:val="21"/>
              </w:rPr>
            </w:pPr>
            <w:r>
              <w:rPr>
                <w:rFonts w:hint="eastAsia"/>
                <w:sz w:val="21"/>
                <w:szCs w:val="21"/>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I </w:t>
            </w:r>
          </w:p>
        </w:tc>
        <w:tc>
          <w:tcPr>
            <w:tcW w:w="3840" w:type="dxa"/>
            <w:shd w:val="clear" w:color="auto" w:fill="auto"/>
          </w:tcPr>
          <w:p>
            <w:pPr>
              <w:pStyle w:val="7"/>
              <w:ind w:left="105"/>
              <w:rPr>
                <w:sz w:val="21"/>
                <w:szCs w:val="21"/>
              </w:rPr>
            </w:pPr>
            <w:r>
              <w:rPr>
                <w:rFonts w:hint="eastAsia"/>
                <w:sz w:val="21"/>
                <w:szCs w:val="21"/>
              </w:rPr>
              <w:t xml:space="preserve">信息传输、软件和信息技术服务业 </w:t>
            </w:r>
          </w:p>
        </w:tc>
        <w:tc>
          <w:tcPr>
            <w:tcW w:w="3255" w:type="dxa"/>
            <w:shd w:val="clear" w:color="auto" w:fill="auto"/>
          </w:tcPr>
          <w:p>
            <w:pPr>
              <w:pStyle w:val="7"/>
              <w:jc w:val="right"/>
              <w:rPr>
                <w:sz w:val="21"/>
                <w:szCs w:val="21"/>
              </w:rPr>
            </w:pPr>
            <w:r>
              <w:rPr>
                <w:rFonts w:hint="eastAsia"/>
                <w:sz w:val="21"/>
                <w:szCs w:val="21"/>
              </w:rPr>
              <w:t xml:space="preserve">3,486,509.62 </w:t>
            </w:r>
          </w:p>
        </w:tc>
        <w:tc>
          <w:tcPr>
            <w:tcW w:w="2790" w:type="dxa"/>
            <w:shd w:val="clear" w:color="auto" w:fill="auto"/>
          </w:tcPr>
          <w:p>
            <w:pPr>
              <w:pStyle w:val="7"/>
              <w:jc w:val="right"/>
              <w:rPr>
                <w:sz w:val="21"/>
                <w:szCs w:val="21"/>
              </w:rPr>
            </w:pPr>
            <w:r>
              <w:rPr>
                <w:rFonts w:hint="eastAsia"/>
                <w:sz w:val="21"/>
                <w:szCs w:val="21"/>
              </w:rPr>
              <w:t xml:space="preserve">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J </w:t>
            </w:r>
          </w:p>
        </w:tc>
        <w:tc>
          <w:tcPr>
            <w:tcW w:w="3840" w:type="dxa"/>
            <w:shd w:val="clear" w:color="auto" w:fill="auto"/>
          </w:tcPr>
          <w:p>
            <w:pPr>
              <w:pStyle w:val="7"/>
              <w:ind w:left="105"/>
              <w:rPr>
                <w:sz w:val="21"/>
                <w:szCs w:val="21"/>
              </w:rPr>
            </w:pPr>
            <w:r>
              <w:rPr>
                <w:rFonts w:hint="eastAsia"/>
                <w:sz w:val="21"/>
                <w:szCs w:val="21"/>
              </w:rPr>
              <w:t xml:space="preserve">金融业 </w:t>
            </w:r>
          </w:p>
        </w:tc>
        <w:tc>
          <w:tcPr>
            <w:tcW w:w="3255" w:type="dxa"/>
            <w:shd w:val="clear" w:color="auto" w:fill="auto"/>
          </w:tcPr>
          <w:p>
            <w:pPr>
              <w:pStyle w:val="7"/>
              <w:jc w:val="right"/>
              <w:rPr>
                <w:sz w:val="21"/>
                <w:szCs w:val="21"/>
              </w:rPr>
            </w:pPr>
            <w:r>
              <w:rPr>
                <w:rFonts w:hint="eastAsia"/>
                <w:sz w:val="21"/>
                <w:szCs w:val="21"/>
              </w:rPr>
              <w:t xml:space="preserve">1,516,524.00 </w:t>
            </w:r>
          </w:p>
        </w:tc>
        <w:tc>
          <w:tcPr>
            <w:tcW w:w="2790" w:type="dxa"/>
            <w:shd w:val="clear" w:color="auto" w:fill="auto"/>
          </w:tcPr>
          <w:p>
            <w:pPr>
              <w:pStyle w:val="7"/>
              <w:jc w:val="right"/>
              <w:rPr>
                <w:sz w:val="21"/>
                <w:szCs w:val="21"/>
              </w:rPr>
            </w:pPr>
            <w:r>
              <w:rPr>
                <w:rFonts w:hint="eastAsia"/>
                <w:sz w:val="21"/>
                <w:szCs w:val="21"/>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K </w:t>
            </w:r>
          </w:p>
        </w:tc>
        <w:tc>
          <w:tcPr>
            <w:tcW w:w="3840" w:type="dxa"/>
            <w:shd w:val="clear" w:color="auto" w:fill="auto"/>
          </w:tcPr>
          <w:p>
            <w:pPr>
              <w:pStyle w:val="7"/>
              <w:ind w:left="105"/>
              <w:rPr>
                <w:sz w:val="21"/>
                <w:szCs w:val="21"/>
              </w:rPr>
            </w:pPr>
            <w:r>
              <w:rPr>
                <w:rFonts w:hint="eastAsia"/>
                <w:sz w:val="21"/>
                <w:szCs w:val="21"/>
              </w:rPr>
              <w:t xml:space="preserve">房地产业 </w:t>
            </w:r>
          </w:p>
        </w:tc>
        <w:tc>
          <w:tcPr>
            <w:tcW w:w="3255" w:type="dxa"/>
            <w:shd w:val="clear" w:color="auto" w:fill="auto"/>
          </w:tcPr>
          <w:p>
            <w:pPr>
              <w:pStyle w:val="7"/>
              <w:jc w:val="right"/>
              <w:rPr>
                <w:sz w:val="21"/>
                <w:szCs w:val="21"/>
              </w:rPr>
            </w:pPr>
            <w:r>
              <w:rPr>
                <w:rFonts w:hint="eastAsia"/>
                <w:sz w:val="21"/>
                <w:szCs w:val="21"/>
              </w:rPr>
              <w:t xml:space="preserve">5,421,330.00 </w:t>
            </w:r>
          </w:p>
        </w:tc>
        <w:tc>
          <w:tcPr>
            <w:tcW w:w="2790" w:type="dxa"/>
            <w:shd w:val="clear" w:color="auto" w:fill="auto"/>
          </w:tcPr>
          <w:p>
            <w:pPr>
              <w:pStyle w:val="7"/>
              <w:jc w:val="right"/>
              <w:rPr>
                <w:sz w:val="21"/>
                <w:szCs w:val="21"/>
              </w:rPr>
            </w:pPr>
            <w:r>
              <w:rPr>
                <w:rFonts w:hint="eastAsia"/>
                <w:sz w:val="21"/>
                <w:szCs w:val="21"/>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L </w:t>
            </w:r>
          </w:p>
        </w:tc>
        <w:tc>
          <w:tcPr>
            <w:tcW w:w="3840" w:type="dxa"/>
            <w:shd w:val="clear" w:color="auto" w:fill="auto"/>
          </w:tcPr>
          <w:p>
            <w:pPr>
              <w:pStyle w:val="7"/>
              <w:ind w:left="105"/>
              <w:rPr>
                <w:sz w:val="21"/>
                <w:szCs w:val="21"/>
              </w:rPr>
            </w:pPr>
            <w:r>
              <w:rPr>
                <w:rFonts w:hint="eastAsia"/>
                <w:sz w:val="21"/>
                <w:szCs w:val="21"/>
              </w:rPr>
              <w:t xml:space="preserve">租赁和商务服务业 </w:t>
            </w:r>
          </w:p>
        </w:tc>
        <w:tc>
          <w:tcPr>
            <w:tcW w:w="3255" w:type="dxa"/>
            <w:shd w:val="clear" w:color="auto" w:fill="auto"/>
          </w:tcPr>
          <w:p>
            <w:pPr>
              <w:pStyle w:val="7"/>
              <w:jc w:val="right"/>
              <w:rPr>
                <w:sz w:val="21"/>
                <w:szCs w:val="21"/>
              </w:rPr>
            </w:pPr>
            <w:r>
              <w:rPr>
                <w:rFonts w:hint="eastAsia"/>
                <w:sz w:val="21"/>
                <w:szCs w:val="21"/>
              </w:rPr>
              <w:t xml:space="preserve">3,416,882.62 </w:t>
            </w:r>
          </w:p>
        </w:tc>
        <w:tc>
          <w:tcPr>
            <w:tcW w:w="2790" w:type="dxa"/>
            <w:shd w:val="clear" w:color="auto" w:fill="auto"/>
          </w:tcPr>
          <w:p>
            <w:pPr>
              <w:pStyle w:val="7"/>
              <w:jc w:val="right"/>
              <w:rPr>
                <w:sz w:val="21"/>
                <w:szCs w:val="21"/>
              </w:rPr>
            </w:pPr>
            <w:r>
              <w:rPr>
                <w:rFonts w:hint="eastAsia"/>
                <w:sz w:val="21"/>
                <w:szCs w:val="21"/>
              </w:rPr>
              <w:t xml:space="preserve">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M </w:t>
            </w:r>
          </w:p>
        </w:tc>
        <w:tc>
          <w:tcPr>
            <w:tcW w:w="3840" w:type="dxa"/>
            <w:shd w:val="clear" w:color="auto" w:fill="auto"/>
          </w:tcPr>
          <w:p>
            <w:pPr>
              <w:pStyle w:val="7"/>
              <w:ind w:left="105"/>
              <w:rPr>
                <w:sz w:val="21"/>
                <w:szCs w:val="21"/>
              </w:rPr>
            </w:pPr>
            <w:r>
              <w:rPr>
                <w:rFonts w:hint="eastAsia"/>
                <w:sz w:val="21"/>
                <w:szCs w:val="21"/>
              </w:rPr>
              <w:t xml:space="preserve">科学研究和技术服务业 </w:t>
            </w:r>
          </w:p>
        </w:tc>
        <w:tc>
          <w:tcPr>
            <w:tcW w:w="3255" w:type="dxa"/>
            <w:shd w:val="clear" w:color="auto" w:fill="auto"/>
          </w:tcPr>
          <w:p>
            <w:pPr>
              <w:pStyle w:val="7"/>
              <w:jc w:val="right"/>
              <w:rPr>
                <w:sz w:val="21"/>
                <w:szCs w:val="21"/>
              </w:rPr>
            </w:pPr>
            <w:r>
              <w:rPr>
                <w:rFonts w:hint="eastAsia"/>
                <w:sz w:val="21"/>
                <w:szCs w:val="21"/>
              </w:rPr>
              <w:t xml:space="preserve">7,586.82 </w:t>
            </w:r>
          </w:p>
        </w:tc>
        <w:tc>
          <w:tcPr>
            <w:tcW w:w="2790" w:type="dxa"/>
            <w:shd w:val="clear" w:color="auto" w:fill="auto"/>
          </w:tcPr>
          <w:p>
            <w:pPr>
              <w:pStyle w:val="7"/>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N </w:t>
            </w:r>
          </w:p>
        </w:tc>
        <w:tc>
          <w:tcPr>
            <w:tcW w:w="3840" w:type="dxa"/>
            <w:shd w:val="clear" w:color="auto" w:fill="auto"/>
          </w:tcPr>
          <w:p>
            <w:pPr>
              <w:pStyle w:val="7"/>
              <w:ind w:left="105"/>
              <w:rPr>
                <w:sz w:val="21"/>
                <w:szCs w:val="21"/>
              </w:rPr>
            </w:pPr>
            <w:r>
              <w:rPr>
                <w:rFonts w:hint="eastAsia"/>
                <w:sz w:val="21"/>
                <w:szCs w:val="21"/>
              </w:rPr>
              <w:t xml:space="preserve">水利、环境和公共设施管理业 </w:t>
            </w:r>
          </w:p>
        </w:tc>
        <w:tc>
          <w:tcPr>
            <w:tcW w:w="3255" w:type="dxa"/>
            <w:shd w:val="clear" w:color="auto" w:fill="auto"/>
          </w:tcPr>
          <w:p>
            <w:pPr>
              <w:pStyle w:val="7"/>
              <w:jc w:val="right"/>
              <w:rPr>
                <w:sz w:val="21"/>
                <w:szCs w:val="21"/>
              </w:rPr>
            </w:pPr>
            <w:r>
              <w:rPr>
                <w:rFonts w:hint="eastAsia"/>
                <w:sz w:val="21"/>
                <w:szCs w:val="21"/>
              </w:rPr>
              <w:t xml:space="preserve">24,378.42 </w:t>
            </w:r>
          </w:p>
        </w:tc>
        <w:tc>
          <w:tcPr>
            <w:tcW w:w="2790" w:type="dxa"/>
            <w:shd w:val="clear" w:color="auto" w:fill="auto"/>
          </w:tcPr>
          <w:p>
            <w:pPr>
              <w:pStyle w:val="7"/>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O </w:t>
            </w:r>
          </w:p>
        </w:tc>
        <w:tc>
          <w:tcPr>
            <w:tcW w:w="3840" w:type="dxa"/>
            <w:shd w:val="clear" w:color="auto" w:fill="auto"/>
          </w:tcPr>
          <w:p>
            <w:pPr>
              <w:pStyle w:val="7"/>
              <w:ind w:left="105"/>
              <w:rPr>
                <w:sz w:val="21"/>
                <w:szCs w:val="21"/>
              </w:rPr>
            </w:pPr>
            <w:r>
              <w:rPr>
                <w:rFonts w:hint="eastAsia"/>
                <w:sz w:val="21"/>
                <w:szCs w:val="21"/>
              </w:rPr>
              <w:t xml:space="preserve">居民服务、修理和其他服务业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P </w:t>
            </w:r>
          </w:p>
        </w:tc>
        <w:tc>
          <w:tcPr>
            <w:tcW w:w="3840" w:type="dxa"/>
            <w:shd w:val="clear" w:color="auto" w:fill="auto"/>
          </w:tcPr>
          <w:p>
            <w:pPr>
              <w:pStyle w:val="7"/>
              <w:ind w:left="105"/>
              <w:rPr>
                <w:sz w:val="21"/>
                <w:szCs w:val="21"/>
              </w:rPr>
            </w:pPr>
            <w:r>
              <w:rPr>
                <w:rFonts w:hint="eastAsia"/>
                <w:sz w:val="21"/>
                <w:szCs w:val="21"/>
              </w:rPr>
              <w:t xml:space="preserve">教育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Q </w:t>
            </w:r>
          </w:p>
        </w:tc>
        <w:tc>
          <w:tcPr>
            <w:tcW w:w="3840" w:type="dxa"/>
            <w:shd w:val="clear" w:color="auto" w:fill="auto"/>
          </w:tcPr>
          <w:p>
            <w:pPr>
              <w:pStyle w:val="7"/>
              <w:ind w:left="105"/>
              <w:rPr>
                <w:sz w:val="21"/>
                <w:szCs w:val="21"/>
              </w:rPr>
            </w:pPr>
            <w:r>
              <w:rPr>
                <w:rFonts w:hint="eastAsia"/>
                <w:sz w:val="21"/>
                <w:szCs w:val="21"/>
              </w:rPr>
              <w:t xml:space="preserve">卫生和社会工作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R </w:t>
            </w:r>
          </w:p>
        </w:tc>
        <w:tc>
          <w:tcPr>
            <w:tcW w:w="3840" w:type="dxa"/>
            <w:shd w:val="clear" w:color="auto" w:fill="auto"/>
          </w:tcPr>
          <w:p>
            <w:pPr>
              <w:pStyle w:val="7"/>
              <w:ind w:left="105"/>
              <w:rPr>
                <w:sz w:val="21"/>
                <w:szCs w:val="21"/>
              </w:rPr>
            </w:pPr>
            <w:r>
              <w:rPr>
                <w:rFonts w:hint="eastAsia"/>
                <w:sz w:val="21"/>
                <w:szCs w:val="21"/>
              </w:rPr>
              <w:t xml:space="preserve">文化、体育和娱乐业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pStyle w:val="7"/>
              <w:jc w:val="center"/>
              <w:rPr>
                <w:sz w:val="21"/>
                <w:szCs w:val="21"/>
              </w:rPr>
            </w:pPr>
            <w:r>
              <w:rPr>
                <w:rFonts w:hint="eastAsia"/>
                <w:sz w:val="21"/>
                <w:szCs w:val="21"/>
              </w:rPr>
              <w:t xml:space="preserve">S </w:t>
            </w:r>
          </w:p>
        </w:tc>
        <w:tc>
          <w:tcPr>
            <w:tcW w:w="3840" w:type="dxa"/>
            <w:shd w:val="clear" w:color="auto" w:fill="auto"/>
          </w:tcPr>
          <w:p>
            <w:pPr>
              <w:pStyle w:val="7"/>
              <w:ind w:left="105"/>
              <w:rPr>
                <w:sz w:val="21"/>
                <w:szCs w:val="21"/>
              </w:rPr>
            </w:pPr>
            <w:r>
              <w:rPr>
                <w:rFonts w:hint="eastAsia"/>
                <w:sz w:val="21"/>
                <w:szCs w:val="21"/>
              </w:rPr>
              <w:t xml:space="preserve">综合 </w:t>
            </w:r>
          </w:p>
        </w:tc>
        <w:tc>
          <w:tcPr>
            <w:tcW w:w="325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tcPr>
          <w:p>
            <w:pPr>
              <w:rPr>
                <w:rFonts w:ascii="宋体" w:hAnsi="宋体" w:eastAsia="宋体" w:cs="宋体"/>
                <w:szCs w:val="21"/>
              </w:rPr>
            </w:pPr>
          </w:p>
        </w:tc>
        <w:tc>
          <w:tcPr>
            <w:tcW w:w="3840" w:type="dxa"/>
            <w:shd w:val="clear" w:color="auto" w:fill="auto"/>
          </w:tcPr>
          <w:p>
            <w:pPr>
              <w:pStyle w:val="7"/>
              <w:ind w:left="105"/>
              <w:rPr>
                <w:sz w:val="21"/>
                <w:szCs w:val="21"/>
              </w:rPr>
            </w:pPr>
            <w:r>
              <w:rPr>
                <w:rFonts w:hint="eastAsia"/>
                <w:sz w:val="21"/>
                <w:szCs w:val="21"/>
              </w:rPr>
              <w:t xml:space="preserve">合计 </w:t>
            </w:r>
          </w:p>
        </w:tc>
        <w:tc>
          <w:tcPr>
            <w:tcW w:w="3255" w:type="dxa"/>
            <w:shd w:val="clear" w:color="auto" w:fill="auto"/>
          </w:tcPr>
          <w:p>
            <w:pPr>
              <w:pStyle w:val="7"/>
              <w:jc w:val="right"/>
              <w:rPr>
                <w:sz w:val="21"/>
                <w:szCs w:val="21"/>
              </w:rPr>
            </w:pPr>
            <w:r>
              <w:rPr>
                <w:rFonts w:hint="eastAsia"/>
                <w:sz w:val="21"/>
                <w:szCs w:val="21"/>
              </w:rPr>
              <w:t xml:space="preserve">483,173,767.04 </w:t>
            </w:r>
          </w:p>
        </w:tc>
        <w:tc>
          <w:tcPr>
            <w:tcW w:w="2790" w:type="dxa"/>
            <w:shd w:val="clear" w:color="auto" w:fill="auto"/>
          </w:tcPr>
          <w:p>
            <w:pPr>
              <w:pStyle w:val="7"/>
              <w:jc w:val="right"/>
              <w:rPr>
                <w:sz w:val="21"/>
                <w:szCs w:val="21"/>
              </w:rPr>
            </w:pPr>
            <w:r>
              <w:rPr>
                <w:rFonts w:hint="eastAsia"/>
                <w:sz w:val="21"/>
                <w:szCs w:val="21"/>
              </w:rPr>
              <w:t xml:space="preserve">90.94 </w:t>
            </w:r>
          </w:p>
        </w:tc>
      </w:tr>
    </w:tbl>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35"/>
        <w:gridCol w:w="1096"/>
        <w:gridCol w:w="1635"/>
        <w:gridCol w:w="1867"/>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序号 </w:t>
            </w:r>
          </w:p>
        </w:tc>
        <w:tc>
          <w:tcPr>
            <w:tcW w:w="1470" w:type="dxa"/>
            <w:shd w:val="clear" w:color="auto" w:fill="auto"/>
          </w:tcPr>
          <w:p>
            <w:pPr>
              <w:pStyle w:val="7"/>
              <w:jc w:val="center"/>
              <w:rPr>
                <w:sz w:val="21"/>
                <w:szCs w:val="21"/>
              </w:rPr>
            </w:pPr>
            <w:r>
              <w:rPr>
                <w:rFonts w:hint="eastAsia"/>
                <w:sz w:val="21"/>
                <w:szCs w:val="21"/>
              </w:rPr>
              <w:t xml:space="preserve">股票代码 </w:t>
            </w:r>
          </w:p>
        </w:tc>
        <w:tc>
          <w:tcPr>
            <w:tcW w:w="1500" w:type="dxa"/>
            <w:shd w:val="clear" w:color="auto" w:fill="auto"/>
          </w:tcPr>
          <w:p>
            <w:pPr>
              <w:pStyle w:val="7"/>
              <w:jc w:val="center"/>
              <w:rPr>
                <w:sz w:val="21"/>
                <w:szCs w:val="21"/>
              </w:rPr>
            </w:pPr>
            <w:r>
              <w:rPr>
                <w:rFonts w:hint="eastAsia"/>
                <w:sz w:val="21"/>
                <w:szCs w:val="21"/>
              </w:rPr>
              <w:t xml:space="preserve">股票名称 </w:t>
            </w:r>
          </w:p>
        </w:tc>
        <w:tc>
          <w:tcPr>
            <w:tcW w:w="1920" w:type="dxa"/>
            <w:shd w:val="clear" w:color="auto" w:fill="auto"/>
          </w:tcPr>
          <w:p>
            <w:pPr>
              <w:pStyle w:val="7"/>
              <w:jc w:val="center"/>
              <w:rPr>
                <w:sz w:val="21"/>
                <w:szCs w:val="21"/>
              </w:rPr>
            </w:pPr>
            <w:r>
              <w:rPr>
                <w:rFonts w:hint="eastAsia"/>
                <w:sz w:val="21"/>
                <w:szCs w:val="21"/>
              </w:rPr>
              <w:t xml:space="preserve">数量(股) </w:t>
            </w:r>
          </w:p>
        </w:tc>
        <w:tc>
          <w:tcPr>
            <w:tcW w:w="2040" w:type="dxa"/>
            <w:shd w:val="clear" w:color="auto" w:fill="auto"/>
          </w:tcPr>
          <w:p>
            <w:pPr>
              <w:pStyle w:val="7"/>
              <w:jc w:val="center"/>
              <w:rPr>
                <w:sz w:val="21"/>
                <w:szCs w:val="21"/>
              </w:rPr>
            </w:pPr>
            <w:r>
              <w:rPr>
                <w:rFonts w:hint="eastAsia"/>
                <w:sz w:val="21"/>
                <w:szCs w:val="21"/>
              </w:rPr>
              <w:t xml:space="preserve">公允价值(元) </w:t>
            </w:r>
          </w:p>
        </w:tc>
        <w:tc>
          <w:tcPr>
            <w:tcW w:w="283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 </w:t>
            </w:r>
          </w:p>
        </w:tc>
        <w:tc>
          <w:tcPr>
            <w:tcW w:w="1470" w:type="dxa"/>
            <w:shd w:val="clear" w:color="auto" w:fill="auto"/>
          </w:tcPr>
          <w:p>
            <w:pPr>
              <w:pStyle w:val="7"/>
              <w:jc w:val="center"/>
              <w:rPr>
                <w:sz w:val="21"/>
                <w:szCs w:val="21"/>
              </w:rPr>
            </w:pPr>
            <w:r>
              <w:rPr>
                <w:rFonts w:hint="eastAsia"/>
                <w:sz w:val="21"/>
                <w:szCs w:val="21"/>
              </w:rPr>
              <w:t xml:space="preserve">002714 </w:t>
            </w:r>
          </w:p>
        </w:tc>
        <w:tc>
          <w:tcPr>
            <w:tcW w:w="1500" w:type="dxa"/>
            <w:shd w:val="clear" w:color="auto" w:fill="auto"/>
          </w:tcPr>
          <w:p>
            <w:pPr>
              <w:pStyle w:val="7"/>
              <w:jc w:val="center"/>
              <w:rPr>
                <w:sz w:val="21"/>
                <w:szCs w:val="21"/>
              </w:rPr>
            </w:pPr>
            <w:r>
              <w:rPr>
                <w:rFonts w:hint="eastAsia"/>
                <w:sz w:val="21"/>
                <w:szCs w:val="21"/>
              </w:rPr>
              <w:t xml:space="preserve">牧原股份 </w:t>
            </w:r>
          </w:p>
        </w:tc>
        <w:tc>
          <w:tcPr>
            <w:tcW w:w="1920" w:type="dxa"/>
            <w:shd w:val="clear" w:color="auto" w:fill="auto"/>
          </w:tcPr>
          <w:p>
            <w:pPr>
              <w:pStyle w:val="7"/>
              <w:jc w:val="right"/>
              <w:rPr>
                <w:sz w:val="21"/>
                <w:szCs w:val="21"/>
              </w:rPr>
            </w:pPr>
            <w:r>
              <w:rPr>
                <w:rFonts w:hint="eastAsia"/>
                <w:sz w:val="21"/>
                <w:szCs w:val="21"/>
              </w:rPr>
              <w:t xml:space="preserve">818,302 </w:t>
            </w:r>
          </w:p>
        </w:tc>
        <w:tc>
          <w:tcPr>
            <w:tcW w:w="2040" w:type="dxa"/>
            <w:shd w:val="clear" w:color="auto" w:fill="auto"/>
          </w:tcPr>
          <w:p>
            <w:pPr>
              <w:pStyle w:val="7"/>
              <w:jc w:val="right"/>
              <w:rPr>
                <w:sz w:val="21"/>
                <w:szCs w:val="21"/>
              </w:rPr>
            </w:pPr>
            <w:r>
              <w:rPr>
                <w:rFonts w:hint="eastAsia"/>
                <w:sz w:val="21"/>
                <w:szCs w:val="21"/>
              </w:rPr>
              <w:t xml:space="preserve">45,227,551.54 </w:t>
            </w:r>
          </w:p>
        </w:tc>
        <w:tc>
          <w:tcPr>
            <w:tcW w:w="2835" w:type="dxa"/>
            <w:shd w:val="clear" w:color="auto" w:fill="auto"/>
          </w:tcPr>
          <w:p>
            <w:pPr>
              <w:pStyle w:val="7"/>
              <w:jc w:val="right"/>
              <w:rPr>
                <w:sz w:val="21"/>
                <w:szCs w:val="21"/>
              </w:rPr>
            </w:pPr>
            <w:r>
              <w:rPr>
                <w:rFonts w:hint="eastAsia"/>
                <w:sz w:val="21"/>
                <w:szCs w:val="21"/>
              </w:rPr>
              <w:t xml:space="preserve">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2 </w:t>
            </w:r>
          </w:p>
        </w:tc>
        <w:tc>
          <w:tcPr>
            <w:tcW w:w="1470" w:type="dxa"/>
            <w:shd w:val="clear" w:color="auto" w:fill="auto"/>
          </w:tcPr>
          <w:p>
            <w:pPr>
              <w:pStyle w:val="7"/>
              <w:jc w:val="center"/>
              <w:rPr>
                <w:sz w:val="21"/>
                <w:szCs w:val="21"/>
              </w:rPr>
            </w:pPr>
            <w:r>
              <w:rPr>
                <w:rFonts w:hint="eastAsia"/>
                <w:sz w:val="21"/>
                <w:szCs w:val="21"/>
              </w:rPr>
              <w:t xml:space="preserve">300498 </w:t>
            </w:r>
          </w:p>
        </w:tc>
        <w:tc>
          <w:tcPr>
            <w:tcW w:w="1500" w:type="dxa"/>
            <w:shd w:val="clear" w:color="auto" w:fill="auto"/>
          </w:tcPr>
          <w:p>
            <w:pPr>
              <w:pStyle w:val="7"/>
              <w:jc w:val="center"/>
              <w:rPr>
                <w:sz w:val="21"/>
                <w:szCs w:val="21"/>
              </w:rPr>
            </w:pPr>
            <w:r>
              <w:rPr>
                <w:rFonts w:hint="eastAsia"/>
                <w:sz w:val="21"/>
                <w:szCs w:val="21"/>
              </w:rPr>
              <w:t xml:space="preserve">温氏股份 </w:t>
            </w:r>
          </w:p>
        </w:tc>
        <w:tc>
          <w:tcPr>
            <w:tcW w:w="1920" w:type="dxa"/>
            <w:shd w:val="clear" w:color="auto" w:fill="auto"/>
          </w:tcPr>
          <w:p>
            <w:pPr>
              <w:pStyle w:val="7"/>
              <w:jc w:val="right"/>
              <w:rPr>
                <w:sz w:val="21"/>
                <w:szCs w:val="21"/>
              </w:rPr>
            </w:pPr>
            <w:r>
              <w:rPr>
                <w:rFonts w:hint="eastAsia"/>
                <w:sz w:val="21"/>
                <w:szCs w:val="21"/>
              </w:rPr>
              <w:t xml:space="preserve">2,022,464 </w:t>
            </w:r>
          </w:p>
        </w:tc>
        <w:tc>
          <w:tcPr>
            <w:tcW w:w="2040" w:type="dxa"/>
            <w:shd w:val="clear" w:color="auto" w:fill="auto"/>
          </w:tcPr>
          <w:p>
            <w:pPr>
              <w:pStyle w:val="7"/>
              <w:jc w:val="right"/>
              <w:rPr>
                <w:sz w:val="21"/>
                <w:szCs w:val="21"/>
              </w:rPr>
            </w:pPr>
            <w:r>
              <w:rPr>
                <w:rFonts w:hint="eastAsia"/>
                <w:sz w:val="21"/>
                <w:szCs w:val="21"/>
              </w:rPr>
              <w:t xml:space="preserve">43,058,258.56 </w:t>
            </w:r>
          </w:p>
        </w:tc>
        <w:tc>
          <w:tcPr>
            <w:tcW w:w="2835" w:type="dxa"/>
            <w:shd w:val="clear" w:color="auto" w:fill="auto"/>
          </w:tcPr>
          <w:p>
            <w:pPr>
              <w:pStyle w:val="7"/>
              <w:jc w:val="right"/>
              <w:rPr>
                <w:sz w:val="21"/>
                <w:szCs w:val="21"/>
              </w:rPr>
            </w:pPr>
            <w:r>
              <w:rPr>
                <w:rFonts w:hint="eastAsia"/>
                <w:sz w:val="21"/>
                <w:szCs w:val="21"/>
              </w:rPr>
              <w:t xml:space="preserve">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3 </w:t>
            </w:r>
          </w:p>
        </w:tc>
        <w:tc>
          <w:tcPr>
            <w:tcW w:w="1470" w:type="dxa"/>
            <w:shd w:val="clear" w:color="auto" w:fill="auto"/>
          </w:tcPr>
          <w:p>
            <w:pPr>
              <w:pStyle w:val="7"/>
              <w:jc w:val="center"/>
              <w:rPr>
                <w:sz w:val="21"/>
                <w:szCs w:val="21"/>
              </w:rPr>
            </w:pPr>
            <w:r>
              <w:rPr>
                <w:rFonts w:hint="eastAsia"/>
                <w:sz w:val="21"/>
                <w:szCs w:val="21"/>
              </w:rPr>
              <w:t xml:space="preserve">600519 </w:t>
            </w:r>
          </w:p>
        </w:tc>
        <w:tc>
          <w:tcPr>
            <w:tcW w:w="1500" w:type="dxa"/>
            <w:shd w:val="clear" w:color="auto" w:fill="auto"/>
          </w:tcPr>
          <w:p>
            <w:pPr>
              <w:pStyle w:val="7"/>
              <w:jc w:val="center"/>
              <w:rPr>
                <w:sz w:val="21"/>
                <w:szCs w:val="21"/>
              </w:rPr>
            </w:pPr>
            <w:r>
              <w:rPr>
                <w:rFonts w:hint="eastAsia"/>
                <w:sz w:val="21"/>
                <w:szCs w:val="21"/>
              </w:rPr>
              <w:t xml:space="preserve">贵州茅台 </w:t>
            </w:r>
          </w:p>
        </w:tc>
        <w:tc>
          <w:tcPr>
            <w:tcW w:w="1920" w:type="dxa"/>
            <w:shd w:val="clear" w:color="auto" w:fill="auto"/>
          </w:tcPr>
          <w:p>
            <w:pPr>
              <w:pStyle w:val="7"/>
              <w:jc w:val="right"/>
              <w:rPr>
                <w:sz w:val="21"/>
                <w:szCs w:val="21"/>
              </w:rPr>
            </w:pPr>
            <w:r>
              <w:rPr>
                <w:rFonts w:hint="eastAsia"/>
                <w:sz w:val="21"/>
                <w:szCs w:val="21"/>
              </w:rPr>
              <w:t xml:space="preserve">20,743 </w:t>
            </w:r>
          </w:p>
        </w:tc>
        <w:tc>
          <w:tcPr>
            <w:tcW w:w="2040" w:type="dxa"/>
            <w:shd w:val="clear" w:color="auto" w:fill="auto"/>
          </w:tcPr>
          <w:p>
            <w:pPr>
              <w:pStyle w:val="7"/>
              <w:jc w:val="right"/>
              <w:rPr>
                <w:sz w:val="21"/>
                <w:szCs w:val="21"/>
              </w:rPr>
            </w:pPr>
            <w:r>
              <w:rPr>
                <w:rFonts w:hint="eastAsia"/>
                <w:sz w:val="21"/>
                <w:szCs w:val="21"/>
              </w:rPr>
              <w:t xml:space="preserve">42,419,435.00 </w:t>
            </w:r>
          </w:p>
        </w:tc>
        <w:tc>
          <w:tcPr>
            <w:tcW w:w="2835" w:type="dxa"/>
            <w:shd w:val="clear" w:color="auto" w:fill="auto"/>
          </w:tcPr>
          <w:p>
            <w:pPr>
              <w:pStyle w:val="7"/>
              <w:jc w:val="right"/>
              <w:rPr>
                <w:sz w:val="21"/>
                <w:szCs w:val="21"/>
              </w:rPr>
            </w:pPr>
            <w:r>
              <w:rPr>
                <w:rFonts w:hint="eastAsia"/>
                <w:sz w:val="21"/>
                <w:szCs w:val="21"/>
              </w:rPr>
              <w:t xml:space="preserve">7.98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4 </w:t>
            </w:r>
          </w:p>
        </w:tc>
        <w:tc>
          <w:tcPr>
            <w:tcW w:w="1470" w:type="dxa"/>
            <w:shd w:val="clear" w:color="auto" w:fill="auto"/>
          </w:tcPr>
          <w:p>
            <w:pPr>
              <w:pStyle w:val="7"/>
              <w:jc w:val="center"/>
              <w:rPr>
                <w:sz w:val="21"/>
                <w:szCs w:val="21"/>
              </w:rPr>
            </w:pPr>
            <w:r>
              <w:rPr>
                <w:rFonts w:hint="eastAsia"/>
                <w:sz w:val="21"/>
                <w:szCs w:val="21"/>
              </w:rPr>
              <w:t xml:space="preserve">000568 </w:t>
            </w:r>
          </w:p>
        </w:tc>
        <w:tc>
          <w:tcPr>
            <w:tcW w:w="1500" w:type="dxa"/>
            <w:shd w:val="clear" w:color="auto" w:fill="auto"/>
          </w:tcPr>
          <w:p>
            <w:pPr>
              <w:pStyle w:val="7"/>
              <w:jc w:val="center"/>
              <w:rPr>
                <w:sz w:val="21"/>
                <w:szCs w:val="21"/>
              </w:rPr>
            </w:pPr>
            <w:r>
              <w:rPr>
                <w:rFonts w:hint="eastAsia"/>
                <w:sz w:val="21"/>
                <w:szCs w:val="21"/>
              </w:rPr>
              <w:t xml:space="preserve">泸州老窖 </w:t>
            </w:r>
          </w:p>
        </w:tc>
        <w:tc>
          <w:tcPr>
            <w:tcW w:w="1920" w:type="dxa"/>
            <w:shd w:val="clear" w:color="auto" w:fill="auto"/>
          </w:tcPr>
          <w:p>
            <w:pPr>
              <w:pStyle w:val="7"/>
              <w:jc w:val="right"/>
              <w:rPr>
                <w:sz w:val="21"/>
                <w:szCs w:val="21"/>
              </w:rPr>
            </w:pPr>
            <w:r>
              <w:rPr>
                <w:rFonts w:hint="eastAsia"/>
                <w:sz w:val="21"/>
                <w:szCs w:val="21"/>
              </w:rPr>
              <w:t xml:space="preserve">162,177 </w:t>
            </w:r>
          </w:p>
        </w:tc>
        <w:tc>
          <w:tcPr>
            <w:tcW w:w="2040" w:type="dxa"/>
            <w:shd w:val="clear" w:color="auto" w:fill="auto"/>
          </w:tcPr>
          <w:p>
            <w:pPr>
              <w:pStyle w:val="7"/>
              <w:jc w:val="right"/>
              <w:rPr>
                <w:sz w:val="21"/>
                <w:szCs w:val="21"/>
              </w:rPr>
            </w:pPr>
            <w:r>
              <w:rPr>
                <w:rFonts w:hint="eastAsia"/>
                <w:sz w:val="21"/>
                <w:szCs w:val="21"/>
              </w:rPr>
              <w:t xml:space="preserve">39,983,117.58 </w:t>
            </w:r>
          </w:p>
        </w:tc>
        <w:tc>
          <w:tcPr>
            <w:tcW w:w="2835" w:type="dxa"/>
            <w:shd w:val="clear" w:color="auto" w:fill="auto"/>
          </w:tcPr>
          <w:p>
            <w:pPr>
              <w:pStyle w:val="7"/>
              <w:jc w:val="right"/>
              <w:rPr>
                <w:sz w:val="21"/>
                <w:szCs w:val="21"/>
              </w:rPr>
            </w:pPr>
            <w:r>
              <w:rPr>
                <w:rFonts w:hint="eastAsia"/>
                <w:sz w:val="21"/>
                <w:szCs w:val="21"/>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5 </w:t>
            </w:r>
          </w:p>
        </w:tc>
        <w:tc>
          <w:tcPr>
            <w:tcW w:w="1470" w:type="dxa"/>
            <w:shd w:val="clear" w:color="auto" w:fill="auto"/>
          </w:tcPr>
          <w:p>
            <w:pPr>
              <w:pStyle w:val="7"/>
              <w:jc w:val="center"/>
              <w:rPr>
                <w:sz w:val="21"/>
                <w:szCs w:val="21"/>
              </w:rPr>
            </w:pPr>
            <w:r>
              <w:rPr>
                <w:rFonts w:hint="eastAsia"/>
                <w:sz w:val="21"/>
                <w:szCs w:val="21"/>
              </w:rPr>
              <w:t xml:space="preserve">600600 </w:t>
            </w:r>
          </w:p>
        </w:tc>
        <w:tc>
          <w:tcPr>
            <w:tcW w:w="1500" w:type="dxa"/>
            <w:shd w:val="clear" w:color="auto" w:fill="auto"/>
          </w:tcPr>
          <w:p>
            <w:pPr>
              <w:pStyle w:val="7"/>
              <w:jc w:val="center"/>
              <w:rPr>
                <w:sz w:val="21"/>
                <w:szCs w:val="21"/>
              </w:rPr>
            </w:pPr>
            <w:r>
              <w:rPr>
                <w:rFonts w:hint="eastAsia"/>
                <w:sz w:val="21"/>
                <w:szCs w:val="21"/>
              </w:rPr>
              <w:t xml:space="preserve">青岛啤酒 </w:t>
            </w:r>
          </w:p>
        </w:tc>
        <w:tc>
          <w:tcPr>
            <w:tcW w:w="1920" w:type="dxa"/>
            <w:shd w:val="clear" w:color="auto" w:fill="auto"/>
          </w:tcPr>
          <w:p>
            <w:pPr>
              <w:pStyle w:val="7"/>
              <w:jc w:val="right"/>
              <w:rPr>
                <w:sz w:val="21"/>
                <w:szCs w:val="21"/>
              </w:rPr>
            </w:pPr>
            <w:r>
              <w:rPr>
                <w:rFonts w:hint="eastAsia"/>
                <w:sz w:val="21"/>
                <w:szCs w:val="21"/>
              </w:rPr>
              <w:t xml:space="preserve">263,768 </w:t>
            </w:r>
          </w:p>
        </w:tc>
        <w:tc>
          <w:tcPr>
            <w:tcW w:w="2040" w:type="dxa"/>
            <w:shd w:val="clear" w:color="auto" w:fill="auto"/>
          </w:tcPr>
          <w:p>
            <w:pPr>
              <w:pStyle w:val="7"/>
              <w:jc w:val="right"/>
              <w:rPr>
                <w:sz w:val="21"/>
                <w:szCs w:val="21"/>
              </w:rPr>
            </w:pPr>
            <w:r>
              <w:rPr>
                <w:rFonts w:hint="eastAsia"/>
                <w:sz w:val="21"/>
                <w:szCs w:val="21"/>
              </w:rPr>
              <w:t xml:space="preserve">27,410,770.56 </w:t>
            </w:r>
          </w:p>
        </w:tc>
        <w:tc>
          <w:tcPr>
            <w:tcW w:w="2835" w:type="dxa"/>
            <w:shd w:val="clear" w:color="auto" w:fill="auto"/>
          </w:tcPr>
          <w:p>
            <w:pPr>
              <w:pStyle w:val="7"/>
              <w:jc w:val="right"/>
              <w:rPr>
                <w:sz w:val="21"/>
                <w:szCs w:val="21"/>
              </w:rPr>
            </w:pPr>
            <w:r>
              <w:rPr>
                <w:rFonts w:hint="eastAsia"/>
                <w:sz w:val="21"/>
                <w:szCs w:val="21"/>
              </w:rPr>
              <w:t xml:space="preserve">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6 </w:t>
            </w:r>
          </w:p>
        </w:tc>
        <w:tc>
          <w:tcPr>
            <w:tcW w:w="1470" w:type="dxa"/>
            <w:shd w:val="clear" w:color="auto" w:fill="auto"/>
          </w:tcPr>
          <w:p>
            <w:pPr>
              <w:pStyle w:val="7"/>
              <w:jc w:val="center"/>
              <w:rPr>
                <w:sz w:val="21"/>
                <w:szCs w:val="21"/>
              </w:rPr>
            </w:pPr>
            <w:r>
              <w:rPr>
                <w:rFonts w:hint="eastAsia"/>
                <w:sz w:val="21"/>
                <w:szCs w:val="21"/>
              </w:rPr>
              <w:t xml:space="preserve">000895 </w:t>
            </w:r>
          </w:p>
        </w:tc>
        <w:tc>
          <w:tcPr>
            <w:tcW w:w="1500" w:type="dxa"/>
            <w:shd w:val="clear" w:color="auto" w:fill="auto"/>
          </w:tcPr>
          <w:p>
            <w:pPr>
              <w:pStyle w:val="7"/>
              <w:jc w:val="center"/>
              <w:rPr>
                <w:sz w:val="21"/>
                <w:szCs w:val="21"/>
              </w:rPr>
            </w:pPr>
            <w:r>
              <w:rPr>
                <w:rFonts w:hint="eastAsia"/>
                <w:sz w:val="21"/>
                <w:szCs w:val="21"/>
              </w:rPr>
              <w:t xml:space="preserve">双汇发展 </w:t>
            </w:r>
          </w:p>
        </w:tc>
        <w:tc>
          <w:tcPr>
            <w:tcW w:w="1920" w:type="dxa"/>
            <w:shd w:val="clear" w:color="auto" w:fill="auto"/>
          </w:tcPr>
          <w:p>
            <w:pPr>
              <w:pStyle w:val="7"/>
              <w:jc w:val="right"/>
              <w:rPr>
                <w:sz w:val="21"/>
                <w:szCs w:val="21"/>
              </w:rPr>
            </w:pPr>
            <w:r>
              <w:rPr>
                <w:rFonts w:hint="eastAsia"/>
                <w:sz w:val="21"/>
                <w:szCs w:val="21"/>
              </w:rPr>
              <w:t xml:space="preserve">862,400 </w:t>
            </w:r>
          </w:p>
        </w:tc>
        <w:tc>
          <w:tcPr>
            <w:tcW w:w="2040" w:type="dxa"/>
            <w:shd w:val="clear" w:color="auto" w:fill="auto"/>
          </w:tcPr>
          <w:p>
            <w:pPr>
              <w:pStyle w:val="7"/>
              <w:jc w:val="right"/>
              <w:rPr>
                <w:sz w:val="21"/>
                <w:szCs w:val="21"/>
              </w:rPr>
            </w:pPr>
            <w:r>
              <w:rPr>
                <w:rFonts w:hint="eastAsia"/>
                <w:sz w:val="21"/>
                <w:szCs w:val="21"/>
              </w:rPr>
              <w:t xml:space="preserve">25,268,320.00 </w:t>
            </w:r>
          </w:p>
        </w:tc>
        <w:tc>
          <w:tcPr>
            <w:tcW w:w="2835" w:type="dxa"/>
            <w:shd w:val="clear" w:color="auto" w:fill="auto"/>
          </w:tcPr>
          <w:p>
            <w:pPr>
              <w:pStyle w:val="7"/>
              <w:jc w:val="right"/>
              <w:rPr>
                <w:sz w:val="21"/>
                <w:szCs w:val="21"/>
              </w:rPr>
            </w:pPr>
            <w:r>
              <w:rPr>
                <w:rFonts w:hint="eastAsia"/>
                <w:sz w:val="21"/>
                <w:szCs w:val="21"/>
              </w:rPr>
              <w:t xml:space="preserve">4.76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7 </w:t>
            </w:r>
          </w:p>
        </w:tc>
        <w:tc>
          <w:tcPr>
            <w:tcW w:w="1470" w:type="dxa"/>
            <w:shd w:val="clear" w:color="auto" w:fill="auto"/>
          </w:tcPr>
          <w:p>
            <w:pPr>
              <w:pStyle w:val="7"/>
              <w:jc w:val="center"/>
              <w:rPr>
                <w:sz w:val="21"/>
                <w:szCs w:val="21"/>
              </w:rPr>
            </w:pPr>
            <w:r>
              <w:rPr>
                <w:rFonts w:hint="eastAsia"/>
                <w:sz w:val="21"/>
                <w:szCs w:val="21"/>
              </w:rPr>
              <w:t xml:space="preserve">002475 </w:t>
            </w:r>
          </w:p>
        </w:tc>
        <w:tc>
          <w:tcPr>
            <w:tcW w:w="1500" w:type="dxa"/>
            <w:shd w:val="clear" w:color="auto" w:fill="auto"/>
          </w:tcPr>
          <w:p>
            <w:pPr>
              <w:pStyle w:val="7"/>
              <w:jc w:val="center"/>
              <w:rPr>
                <w:sz w:val="21"/>
                <w:szCs w:val="21"/>
              </w:rPr>
            </w:pPr>
            <w:r>
              <w:rPr>
                <w:rFonts w:hint="eastAsia"/>
                <w:sz w:val="21"/>
                <w:szCs w:val="21"/>
              </w:rPr>
              <w:t xml:space="preserve">立讯精密 </w:t>
            </w:r>
          </w:p>
        </w:tc>
        <w:tc>
          <w:tcPr>
            <w:tcW w:w="1920" w:type="dxa"/>
            <w:shd w:val="clear" w:color="auto" w:fill="auto"/>
          </w:tcPr>
          <w:p>
            <w:pPr>
              <w:pStyle w:val="7"/>
              <w:jc w:val="right"/>
              <w:rPr>
                <w:sz w:val="21"/>
                <w:szCs w:val="21"/>
              </w:rPr>
            </w:pPr>
            <w:r>
              <w:rPr>
                <w:rFonts w:hint="eastAsia"/>
                <w:sz w:val="21"/>
                <w:szCs w:val="21"/>
              </w:rPr>
              <w:t xml:space="preserve">570,900 </w:t>
            </w:r>
          </w:p>
        </w:tc>
        <w:tc>
          <w:tcPr>
            <w:tcW w:w="2040" w:type="dxa"/>
            <w:shd w:val="clear" w:color="auto" w:fill="auto"/>
          </w:tcPr>
          <w:p>
            <w:pPr>
              <w:pStyle w:val="7"/>
              <w:jc w:val="right"/>
              <w:rPr>
                <w:sz w:val="21"/>
                <w:szCs w:val="21"/>
              </w:rPr>
            </w:pPr>
            <w:r>
              <w:rPr>
                <w:rFonts w:hint="eastAsia"/>
                <w:sz w:val="21"/>
                <w:szCs w:val="21"/>
              </w:rPr>
              <w:t xml:space="preserve">19,290,711.00 </w:t>
            </w:r>
          </w:p>
        </w:tc>
        <w:tc>
          <w:tcPr>
            <w:tcW w:w="2835" w:type="dxa"/>
            <w:shd w:val="clear" w:color="auto" w:fill="auto"/>
          </w:tcPr>
          <w:p>
            <w:pPr>
              <w:pStyle w:val="7"/>
              <w:jc w:val="right"/>
              <w:rPr>
                <w:sz w:val="21"/>
                <w:szCs w:val="21"/>
              </w:rPr>
            </w:pPr>
            <w:r>
              <w:rPr>
                <w:rFonts w:hint="eastAsia"/>
                <w:sz w:val="21"/>
                <w:szCs w:val="21"/>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8 </w:t>
            </w:r>
          </w:p>
        </w:tc>
        <w:tc>
          <w:tcPr>
            <w:tcW w:w="1470" w:type="dxa"/>
            <w:shd w:val="clear" w:color="auto" w:fill="auto"/>
          </w:tcPr>
          <w:p>
            <w:pPr>
              <w:pStyle w:val="7"/>
              <w:jc w:val="center"/>
              <w:rPr>
                <w:sz w:val="21"/>
                <w:szCs w:val="21"/>
              </w:rPr>
            </w:pPr>
            <w:r>
              <w:rPr>
                <w:rFonts w:hint="eastAsia"/>
                <w:sz w:val="21"/>
                <w:szCs w:val="21"/>
              </w:rPr>
              <w:t xml:space="preserve">002572 </w:t>
            </w:r>
          </w:p>
        </w:tc>
        <w:tc>
          <w:tcPr>
            <w:tcW w:w="1500" w:type="dxa"/>
            <w:shd w:val="clear" w:color="auto" w:fill="auto"/>
          </w:tcPr>
          <w:p>
            <w:pPr>
              <w:pStyle w:val="7"/>
              <w:jc w:val="center"/>
              <w:rPr>
                <w:sz w:val="21"/>
                <w:szCs w:val="21"/>
              </w:rPr>
            </w:pPr>
            <w:r>
              <w:rPr>
                <w:rFonts w:hint="eastAsia"/>
                <w:sz w:val="21"/>
                <w:szCs w:val="21"/>
              </w:rPr>
              <w:t xml:space="preserve">索菲亚 </w:t>
            </w:r>
          </w:p>
        </w:tc>
        <w:tc>
          <w:tcPr>
            <w:tcW w:w="1920" w:type="dxa"/>
            <w:shd w:val="clear" w:color="auto" w:fill="auto"/>
          </w:tcPr>
          <w:p>
            <w:pPr>
              <w:pStyle w:val="7"/>
              <w:jc w:val="right"/>
              <w:rPr>
                <w:sz w:val="21"/>
                <w:szCs w:val="21"/>
              </w:rPr>
            </w:pPr>
            <w:r>
              <w:rPr>
                <w:rFonts w:hint="eastAsia"/>
                <w:sz w:val="21"/>
                <w:szCs w:val="21"/>
              </w:rPr>
              <w:t xml:space="preserve">652,000 </w:t>
            </w:r>
          </w:p>
        </w:tc>
        <w:tc>
          <w:tcPr>
            <w:tcW w:w="2040" w:type="dxa"/>
            <w:shd w:val="clear" w:color="auto" w:fill="auto"/>
          </w:tcPr>
          <w:p>
            <w:pPr>
              <w:pStyle w:val="7"/>
              <w:jc w:val="right"/>
              <w:rPr>
                <w:sz w:val="21"/>
                <w:szCs w:val="21"/>
              </w:rPr>
            </w:pPr>
            <w:r>
              <w:rPr>
                <w:rFonts w:hint="eastAsia"/>
                <w:sz w:val="21"/>
                <w:szCs w:val="21"/>
              </w:rPr>
              <w:t xml:space="preserve">17,930,000.00 </w:t>
            </w:r>
          </w:p>
        </w:tc>
        <w:tc>
          <w:tcPr>
            <w:tcW w:w="2835" w:type="dxa"/>
            <w:shd w:val="clear" w:color="auto" w:fill="auto"/>
          </w:tcPr>
          <w:p>
            <w:pPr>
              <w:pStyle w:val="7"/>
              <w:jc w:val="right"/>
              <w:rPr>
                <w:sz w:val="21"/>
                <w:szCs w:val="21"/>
              </w:rPr>
            </w:pPr>
            <w:r>
              <w:rPr>
                <w:rFonts w:hint="eastAsia"/>
                <w:sz w:val="21"/>
                <w:szCs w:val="21"/>
              </w:rPr>
              <w:t xml:space="preserve">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9 </w:t>
            </w:r>
          </w:p>
        </w:tc>
        <w:tc>
          <w:tcPr>
            <w:tcW w:w="1470" w:type="dxa"/>
            <w:shd w:val="clear" w:color="auto" w:fill="auto"/>
          </w:tcPr>
          <w:p>
            <w:pPr>
              <w:pStyle w:val="7"/>
              <w:jc w:val="center"/>
              <w:rPr>
                <w:sz w:val="21"/>
                <w:szCs w:val="21"/>
              </w:rPr>
            </w:pPr>
            <w:r>
              <w:rPr>
                <w:rFonts w:hint="eastAsia"/>
                <w:sz w:val="21"/>
                <w:szCs w:val="21"/>
              </w:rPr>
              <w:t xml:space="preserve">601012 </w:t>
            </w:r>
          </w:p>
        </w:tc>
        <w:tc>
          <w:tcPr>
            <w:tcW w:w="1500" w:type="dxa"/>
            <w:shd w:val="clear" w:color="auto" w:fill="auto"/>
          </w:tcPr>
          <w:p>
            <w:pPr>
              <w:pStyle w:val="7"/>
              <w:jc w:val="center"/>
              <w:rPr>
                <w:sz w:val="21"/>
                <w:szCs w:val="21"/>
              </w:rPr>
            </w:pPr>
            <w:r>
              <w:rPr>
                <w:rFonts w:hint="eastAsia"/>
                <w:sz w:val="21"/>
                <w:szCs w:val="21"/>
              </w:rPr>
              <w:t xml:space="preserve">隆基绿能 </w:t>
            </w:r>
          </w:p>
        </w:tc>
        <w:tc>
          <w:tcPr>
            <w:tcW w:w="1920" w:type="dxa"/>
            <w:shd w:val="clear" w:color="auto" w:fill="auto"/>
          </w:tcPr>
          <w:p>
            <w:pPr>
              <w:pStyle w:val="7"/>
              <w:jc w:val="right"/>
              <w:rPr>
                <w:sz w:val="21"/>
                <w:szCs w:val="21"/>
              </w:rPr>
            </w:pPr>
            <w:r>
              <w:rPr>
                <w:rFonts w:hint="eastAsia"/>
                <w:sz w:val="21"/>
                <w:szCs w:val="21"/>
              </w:rPr>
              <w:t xml:space="preserve">257,600 </w:t>
            </w:r>
          </w:p>
        </w:tc>
        <w:tc>
          <w:tcPr>
            <w:tcW w:w="2040" w:type="dxa"/>
            <w:shd w:val="clear" w:color="auto" w:fill="auto"/>
          </w:tcPr>
          <w:p>
            <w:pPr>
              <w:pStyle w:val="7"/>
              <w:jc w:val="right"/>
              <w:rPr>
                <w:sz w:val="21"/>
                <w:szCs w:val="21"/>
              </w:rPr>
            </w:pPr>
            <w:r>
              <w:rPr>
                <w:rFonts w:hint="eastAsia"/>
                <w:sz w:val="21"/>
                <w:szCs w:val="21"/>
              </w:rPr>
              <w:t xml:space="preserve">17,163,888.00 </w:t>
            </w:r>
          </w:p>
        </w:tc>
        <w:tc>
          <w:tcPr>
            <w:tcW w:w="2835" w:type="dxa"/>
            <w:shd w:val="clear" w:color="auto" w:fill="auto"/>
          </w:tcPr>
          <w:p>
            <w:pPr>
              <w:pStyle w:val="7"/>
              <w:jc w:val="right"/>
              <w:rPr>
                <w:sz w:val="21"/>
                <w:szCs w:val="21"/>
              </w:rPr>
            </w:pPr>
            <w:r>
              <w:rPr>
                <w:rFonts w:hint="eastAsia"/>
                <w:sz w:val="21"/>
                <w:szCs w:val="21"/>
              </w:rPr>
              <w:t xml:space="preserve">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rPr>
                <w:sz w:val="21"/>
                <w:szCs w:val="21"/>
              </w:rPr>
            </w:pPr>
            <w:r>
              <w:rPr>
                <w:rFonts w:hint="eastAsia"/>
                <w:sz w:val="21"/>
                <w:szCs w:val="21"/>
              </w:rPr>
              <w:t xml:space="preserve">10 </w:t>
            </w:r>
          </w:p>
        </w:tc>
        <w:tc>
          <w:tcPr>
            <w:tcW w:w="1470" w:type="dxa"/>
            <w:shd w:val="clear" w:color="auto" w:fill="auto"/>
          </w:tcPr>
          <w:p>
            <w:pPr>
              <w:pStyle w:val="7"/>
              <w:jc w:val="center"/>
              <w:rPr>
                <w:sz w:val="21"/>
                <w:szCs w:val="21"/>
              </w:rPr>
            </w:pPr>
            <w:r>
              <w:rPr>
                <w:rFonts w:hint="eastAsia"/>
                <w:sz w:val="21"/>
                <w:szCs w:val="21"/>
              </w:rPr>
              <w:t xml:space="preserve">002385 </w:t>
            </w:r>
          </w:p>
        </w:tc>
        <w:tc>
          <w:tcPr>
            <w:tcW w:w="1500" w:type="dxa"/>
            <w:shd w:val="clear" w:color="auto" w:fill="auto"/>
          </w:tcPr>
          <w:p>
            <w:pPr>
              <w:pStyle w:val="7"/>
              <w:jc w:val="center"/>
              <w:rPr>
                <w:sz w:val="21"/>
                <w:szCs w:val="21"/>
              </w:rPr>
            </w:pPr>
            <w:r>
              <w:rPr>
                <w:rFonts w:hint="eastAsia"/>
                <w:sz w:val="21"/>
                <w:szCs w:val="21"/>
              </w:rPr>
              <w:t xml:space="preserve">大北农 </w:t>
            </w:r>
          </w:p>
        </w:tc>
        <w:tc>
          <w:tcPr>
            <w:tcW w:w="1920" w:type="dxa"/>
            <w:shd w:val="clear" w:color="auto" w:fill="auto"/>
          </w:tcPr>
          <w:p>
            <w:pPr>
              <w:pStyle w:val="7"/>
              <w:jc w:val="right"/>
              <w:rPr>
                <w:sz w:val="21"/>
                <w:szCs w:val="21"/>
              </w:rPr>
            </w:pPr>
            <w:r>
              <w:rPr>
                <w:rFonts w:hint="eastAsia"/>
                <w:sz w:val="21"/>
                <w:szCs w:val="21"/>
              </w:rPr>
              <w:t xml:space="preserve">2,149,600 </w:t>
            </w:r>
          </w:p>
        </w:tc>
        <w:tc>
          <w:tcPr>
            <w:tcW w:w="2040" w:type="dxa"/>
            <w:shd w:val="clear" w:color="auto" w:fill="auto"/>
          </w:tcPr>
          <w:p>
            <w:pPr>
              <w:pStyle w:val="7"/>
              <w:jc w:val="right"/>
              <w:rPr>
                <w:sz w:val="21"/>
                <w:szCs w:val="21"/>
              </w:rPr>
            </w:pPr>
            <w:r>
              <w:rPr>
                <w:rFonts w:hint="eastAsia"/>
                <w:sz w:val="21"/>
                <w:szCs w:val="21"/>
              </w:rPr>
              <w:t xml:space="preserve">16,788,376.00 </w:t>
            </w:r>
          </w:p>
        </w:tc>
        <w:tc>
          <w:tcPr>
            <w:tcW w:w="2835" w:type="dxa"/>
            <w:shd w:val="clear" w:color="auto" w:fill="auto"/>
          </w:tcPr>
          <w:p>
            <w:pPr>
              <w:pStyle w:val="7"/>
              <w:jc w:val="right"/>
              <w:rPr>
                <w:sz w:val="21"/>
                <w:szCs w:val="21"/>
              </w:rPr>
            </w:pPr>
            <w:r>
              <w:rPr>
                <w:rFonts w:hint="eastAsia"/>
                <w:sz w:val="21"/>
                <w:szCs w:val="21"/>
              </w:rPr>
              <w:t xml:space="preserve">3.16 </w:t>
            </w:r>
          </w:p>
        </w:tc>
      </w:tr>
    </w:tbl>
    <w:p>
      <w:pPr>
        <w:pStyle w:val="7"/>
        <w:spacing w:before="0" w:beforeAutospacing="0" w:after="0" w:afterAutospacing="0" w:line="360" w:lineRule="auto"/>
        <w:ind w:firstLine="420"/>
        <w:rPr>
          <w:sz w:val="21"/>
          <w:szCs w:val="21"/>
        </w:rPr>
      </w:pPr>
      <w:r>
        <w:rPr>
          <w:rFonts w:hint="eastAsia"/>
          <w:sz w:val="21"/>
          <w:szCs w:val="21"/>
        </w:rPr>
        <w:t xml:space="preserve">4报告期末按债券品种分类的债券投资组合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5报告期末按公允价值占基金资产净值比例大小排序的前五名债券投资明细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6报告期末按公允价值占基金资产净值比例大小排序的前十名资产支持证券投资明细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3797"/>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序号 </w:t>
            </w:r>
          </w:p>
        </w:tc>
        <w:tc>
          <w:tcPr>
            <w:tcW w:w="4890" w:type="dxa"/>
            <w:shd w:val="clear" w:color="auto" w:fill="auto"/>
          </w:tcPr>
          <w:p>
            <w:pPr>
              <w:pStyle w:val="7"/>
              <w:jc w:val="center"/>
              <w:rPr>
                <w:sz w:val="21"/>
                <w:szCs w:val="21"/>
              </w:rPr>
            </w:pPr>
            <w:r>
              <w:rPr>
                <w:rFonts w:hint="eastAsia"/>
                <w:sz w:val="21"/>
                <w:szCs w:val="21"/>
              </w:rPr>
              <w:t xml:space="preserve">名称 </w:t>
            </w:r>
          </w:p>
        </w:tc>
        <w:tc>
          <w:tcPr>
            <w:tcW w:w="4890" w:type="dxa"/>
            <w:shd w:val="clear" w:color="auto" w:fill="auto"/>
          </w:tcPr>
          <w:p>
            <w:pPr>
              <w:pStyle w:val="7"/>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1 </w:t>
            </w:r>
          </w:p>
        </w:tc>
        <w:tc>
          <w:tcPr>
            <w:tcW w:w="4890" w:type="dxa"/>
            <w:shd w:val="clear" w:color="auto" w:fill="auto"/>
          </w:tcPr>
          <w:p>
            <w:pPr>
              <w:pStyle w:val="7"/>
              <w:rPr>
                <w:sz w:val="21"/>
                <w:szCs w:val="21"/>
              </w:rPr>
            </w:pPr>
            <w:r>
              <w:rPr>
                <w:rFonts w:hint="eastAsia"/>
                <w:sz w:val="21"/>
                <w:szCs w:val="21"/>
              </w:rPr>
              <w:t xml:space="preserve">存出保证金 </w:t>
            </w:r>
          </w:p>
        </w:tc>
        <w:tc>
          <w:tcPr>
            <w:tcW w:w="4890" w:type="dxa"/>
            <w:shd w:val="clear" w:color="auto" w:fill="auto"/>
          </w:tcPr>
          <w:p>
            <w:pPr>
              <w:pStyle w:val="7"/>
              <w:jc w:val="right"/>
              <w:rPr>
                <w:sz w:val="21"/>
                <w:szCs w:val="21"/>
              </w:rPr>
            </w:pPr>
            <w:r>
              <w:rPr>
                <w:rFonts w:hint="eastAsia"/>
                <w:sz w:val="21"/>
                <w:szCs w:val="21"/>
              </w:rPr>
              <w:t xml:space="preserve">134,009.13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shd w:val="clear" w:color="auto" w:fill="auto"/>
          </w:tcPr>
          <w:p>
            <w:pPr>
              <w:pStyle w:val="7"/>
              <w:jc w:val="center"/>
              <w:rPr>
                <w:sz w:val="21"/>
                <w:szCs w:val="21"/>
              </w:rPr>
            </w:pPr>
            <w:r>
              <w:rPr>
                <w:rFonts w:hint="eastAsia"/>
                <w:sz w:val="21"/>
                <w:szCs w:val="21"/>
              </w:rPr>
              <w:t xml:space="preserve">2 </w:t>
            </w:r>
          </w:p>
        </w:tc>
        <w:tc>
          <w:tcPr>
            <w:tcW w:w="4890" w:type="dxa"/>
            <w:shd w:val="clear" w:color="auto" w:fill="auto"/>
          </w:tcPr>
          <w:p>
            <w:pPr>
              <w:pStyle w:val="7"/>
              <w:rPr>
                <w:sz w:val="21"/>
                <w:szCs w:val="21"/>
              </w:rPr>
            </w:pPr>
            <w:r>
              <w:rPr>
                <w:rFonts w:hint="eastAsia"/>
                <w:sz w:val="21"/>
                <w:szCs w:val="21"/>
              </w:rPr>
              <w:t xml:space="preserve">应收证券清算款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3 </w:t>
            </w:r>
          </w:p>
        </w:tc>
        <w:tc>
          <w:tcPr>
            <w:tcW w:w="4890" w:type="dxa"/>
            <w:shd w:val="clear" w:color="auto" w:fill="auto"/>
          </w:tcPr>
          <w:p>
            <w:pPr>
              <w:pStyle w:val="7"/>
              <w:rPr>
                <w:sz w:val="21"/>
                <w:szCs w:val="21"/>
              </w:rPr>
            </w:pPr>
            <w:r>
              <w:rPr>
                <w:rFonts w:hint="eastAsia"/>
                <w:sz w:val="21"/>
                <w:szCs w:val="21"/>
              </w:rPr>
              <w:t xml:space="preserve">应收股利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4 </w:t>
            </w:r>
          </w:p>
        </w:tc>
        <w:tc>
          <w:tcPr>
            <w:tcW w:w="4890" w:type="dxa"/>
            <w:shd w:val="clear" w:color="auto" w:fill="auto"/>
          </w:tcPr>
          <w:p>
            <w:pPr>
              <w:pStyle w:val="7"/>
              <w:rPr>
                <w:sz w:val="21"/>
                <w:szCs w:val="21"/>
              </w:rPr>
            </w:pPr>
            <w:r>
              <w:rPr>
                <w:rFonts w:hint="eastAsia"/>
                <w:sz w:val="21"/>
                <w:szCs w:val="21"/>
              </w:rPr>
              <w:t xml:space="preserve">应收利息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5 </w:t>
            </w:r>
          </w:p>
        </w:tc>
        <w:tc>
          <w:tcPr>
            <w:tcW w:w="4890" w:type="dxa"/>
            <w:shd w:val="clear" w:color="auto" w:fill="auto"/>
          </w:tcPr>
          <w:p>
            <w:pPr>
              <w:pStyle w:val="7"/>
              <w:rPr>
                <w:sz w:val="21"/>
                <w:szCs w:val="21"/>
              </w:rPr>
            </w:pPr>
            <w:r>
              <w:rPr>
                <w:rFonts w:hint="eastAsia"/>
                <w:sz w:val="21"/>
                <w:szCs w:val="21"/>
              </w:rPr>
              <w:t xml:space="preserve">应收申购款 </w:t>
            </w:r>
          </w:p>
        </w:tc>
        <w:tc>
          <w:tcPr>
            <w:tcW w:w="4890" w:type="dxa"/>
            <w:shd w:val="clear" w:color="auto" w:fill="auto"/>
          </w:tcPr>
          <w:p>
            <w:pPr>
              <w:pStyle w:val="7"/>
              <w:jc w:val="right"/>
              <w:rPr>
                <w:sz w:val="21"/>
                <w:szCs w:val="21"/>
              </w:rPr>
            </w:pPr>
            <w:r>
              <w:rPr>
                <w:rFonts w:hint="eastAsia"/>
                <w:sz w:val="21"/>
                <w:szCs w:val="21"/>
              </w:rPr>
              <w:t xml:space="preserve">552,228.57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6 </w:t>
            </w:r>
          </w:p>
        </w:tc>
        <w:tc>
          <w:tcPr>
            <w:tcW w:w="4890" w:type="dxa"/>
            <w:shd w:val="clear" w:color="auto" w:fill="auto"/>
          </w:tcPr>
          <w:p>
            <w:pPr>
              <w:pStyle w:val="7"/>
              <w:rPr>
                <w:sz w:val="21"/>
                <w:szCs w:val="21"/>
              </w:rPr>
            </w:pPr>
            <w:r>
              <w:rPr>
                <w:rFonts w:hint="eastAsia"/>
                <w:sz w:val="21"/>
                <w:szCs w:val="21"/>
              </w:rPr>
              <w:t xml:space="preserve">其他应收款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7 </w:t>
            </w:r>
          </w:p>
        </w:tc>
        <w:tc>
          <w:tcPr>
            <w:tcW w:w="4890" w:type="dxa"/>
            <w:shd w:val="clear" w:color="auto" w:fill="auto"/>
          </w:tcPr>
          <w:p>
            <w:pPr>
              <w:pStyle w:val="7"/>
              <w:rPr>
                <w:sz w:val="21"/>
                <w:szCs w:val="21"/>
              </w:rPr>
            </w:pPr>
            <w:r>
              <w:rPr>
                <w:rFonts w:hint="eastAsia"/>
                <w:sz w:val="21"/>
                <w:szCs w:val="21"/>
              </w:rPr>
              <w:t xml:space="preserve">待摊费用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8 </w:t>
            </w:r>
          </w:p>
        </w:tc>
        <w:tc>
          <w:tcPr>
            <w:tcW w:w="4890" w:type="dxa"/>
            <w:shd w:val="clear" w:color="auto" w:fill="auto"/>
          </w:tcPr>
          <w:p>
            <w:pPr>
              <w:pStyle w:val="7"/>
              <w:rPr>
                <w:sz w:val="21"/>
                <w:szCs w:val="21"/>
              </w:rPr>
            </w:pPr>
            <w:r>
              <w:rPr>
                <w:rFonts w:hint="eastAsia"/>
                <w:sz w:val="21"/>
                <w:szCs w:val="21"/>
              </w:rPr>
              <w:t xml:space="preserve">其他 </w:t>
            </w:r>
          </w:p>
        </w:tc>
        <w:tc>
          <w:tcPr>
            <w:tcW w:w="48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shd w:val="clear" w:color="auto" w:fill="auto"/>
          </w:tcPr>
          <w:p>
            <w:pPr>
              <w:pStyle w:val="7"/>
              <w:jc w:val="center"/>
              <w:rPr>
                <w:sz w:val="21"/>
                <w:szCs w:val="21"/>
              </w:rPr>
            </w:pPr>
            <w:r>
              <w:rPr>
                <w:rFonts w:hint="eastAsia"/>
                <w:sz w:val="21"/>
                <w:szCs w:val="21"/>
              </w:rPr>
              <w:t xml:space="preserve">9 </w:t>
            </w:r>
          </w:p>
        </w:tc>
        <w:tc>
          <w:tcPr>
            <w:tcW w:w="4890" w:type="dxa"/>
            <w:shd w:val="clear" w:color="auto" w:fill="auto"/>
          </w:tcPr>
          <w:p>
            <w:pPr>
              <w:pStyle w:val="7"/>
              <w:rPr>
                <w:sz w:val="21"/>
                <w:szCs w:val="21"/>
              </w:rPr>
            </w:pPr>
            <w:r>
              <w:rPr>
                <w:rFonts w:hint="eastAsia"/>
                <w:sz w:val="21"/>
                <w:szCs w:val="21"/>
              </w:rPr>
              <w:t xml:space="preserve">合计 </w:t>
            </w:r>
          </w:p>
        </w:tc>
        <w:tc>
          <w:tcPr>
            <w:tcW w:w="4890" w:type="dxa"/>
            <w:shd w:val="clear" w:color="auto" w:fill="auto"/>
          </w:tcPr>
          <w:p>
            <w:pPr>
              <w:pStyle w:val="7"/>
              <w:jc w:val="right"/>
              <w:rPr>
                <w:sz w:val="21"/>
                <w:szCs w:val="21"/>
              </w:rPr>
            </w:pPr>
            <w:r>
              <w:rPr>
                <w:rFonts w:hint="eastAsia"/>
                <w:sz w:val="21"/>
                <w:szCs w:val="21"/>
              </w:rPr>
              <w:t xml:space="preserve">686,237.70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rPr>
          <w:sz w:val="21"/>
          <w:szCs w:val="21"/>
        </w:rPr>
      </w:pPr>
      <w:bookmarkStart w:id="142" w:name="chapter_level1_11_60_section_6_end"/>
      <w:bookmarkEnd w:id="142"/>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3" w:name="chapter_level1_12_3500"/>
      <w:bookmarkStart w:id="144" w:name="_Toc113632937"/>
      <w:r>
        <w:rPr>
          <w:rFonts w:hint="eastAsia" w:ascii="宋体" w:hAnsi="宋体" w:eastAsia="宋体"/>
          <w:sz w:val="30"/>
        </w:rPr>
        <w:t>第九部分 基金的业绩</w:t>
      </w:r>
      <w:bookmarkEnd w:id="143"/>
      <w:bookmarkEnd w:id="144"/>
    </w:p>
    <w:p>
      <w:pPr>
        <w:pStyle w:val="7"/>
        <w:spacing w:before="0" w:beforeAutospacing="0" w:after="0" w:afterAutospacing="0" w:line="360" w:lineRule="auto"/>
        <w:ind w:firstLine="420"/>
        <w:rPr>
          <w:sz w:val="21"/>
          <w:szCs w:val="21"/>
        </w:rPr>
      </w:pPr>
      <w:bookmarkStart w:id="145" w:name="chapter_level1_12_3500_section_1"/>
      <w:bookmarkEnd w:id="145"/>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历史各时间段基金份额净值增长率及其与同期业绩比较基准收益率的比较： </w:t>
      </w:r>
    </w:p>
    <w:p>
      <w:pPr>
        <w:pStyle w:val="7"/>
        <w:spacing w:before="0" w:beforeAutospacing="0" w:after="0" w:afterAutospacing="0" w:line="360" w:lineRule="auto"/>
        <w:ind w:firstLine="420"/>
        <w:rPr>
          <w:sz w:val="21"/>
          <w:szCs w:val="21"/>
        </w:rPr>
      </w:pPr>
      <w:bookmarkStart w:id="146" w:name="field_0_indatatable_1_start"/>
      <w:bookmarkEnd w:id="146"/>
      <w:r>
        <w:rPr>
          <w:rFonts w:hint="eastAsia"/>
          <w:sz w:val="21"/>
          <w:szCs w:val="21"/>
        </w:rPr>
        <w:t xml:space="preserve">博时新兴消费主题混合A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59"/>
        <w:gridCol w:w="1022"/>
        <w:gridCol w:w="1232"/>
        <w:gridCol w:w="1195"/>
        <w:gridCol w:w="84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2017.06.05-2017.12.31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19.20%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8.26%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-12.67%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64.46%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26.19%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38.27%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46.09%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25.97%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-9.17%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2017.06.05-2022.06.30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98.90%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67.88%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0.44% </w:t>
            </w:r>
          </w:p>
        </w:tc>
      </w:tr>
    </w:tbl>
    <w:p>
      <w:pPr>
        <w:pStyle w:val="7"/>
        <w:spacing w:before="0" w:beforeAutospacing="0" w:after="0" w:afterAutospacing="0" w:line="360" w:lineRule="auto"/>
        <w:ind w:firstLine="420"/>
        <w:rPr>
          <w:sz w:val="21"/>
          <w:szCs w:val="21"/>
        </w:rPr>
      </w:pPr>
      <w:r>
        <w:rPr>
          <w:rFonts w:hint="eastAsia"/>
          <w:sz w:val="21"/>
          <w:szCs w:val="21"/>
        </w:rPr>
        <w:t xml:space="preserve">博时新兴消费主题混合C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57"/>
        <w:gridCol w:w="1017"/>
        <w:gridCol w:w="1143"/>
        <w:gridCol w:w="1186"/>
        <w:gridCol w:w="95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2021.03.25-2021.12.31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-5.29%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1.8</w:t>
            </w:r>
            <w:r>
              <w:rPr>
                <w:rFonts w:ascii="宋体" w:hAnsi="宋体" w:eastAsia="宋体"/>
              </w:rPr>
              <w:t>9</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-7.1</w:t>
            </w:r>
            <w:r>
              <w:rPr>
                <w:rFonts w:ascii="宋体" w:hAnsi="宋体" w:eastAsia="宋体"/>
              </w:rPr>
              <w:t>8</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-5.17%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2021.03.25-2022.06.30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0.55% </w:t>
            </w:r>
          </w:p>
        </w:tc>
      </w:tr>
    </w:tbl>
    <w:p>
      <w:pPr>
        <w:pStyle w:val="7"/>
        <w:spacing w:before="0" w:beforeAutospacing="0" w:after="0" w:afterAutospacing="0" w:line="360" w:lineRule="auto"/>
        <w:ind w:firstLine="420"/>
        <w:rPr>
          <w:sz w:val="21"/>
          <w:szCs w:val="21"/>
        </w:rPr>
      </w:pPr>
      <w:bookmarkStart w:id="147" w:name="field_0_indatatable_1_end"/>
      <w:bookmarkEnd w:id="147"/>
      <w:bookmarkStart w:id="148" w:name="chapter_level1_12_3500_section_1_end"/>
      <w:bookmarkEnd w:id="14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9" w:name="chapter_level1_13_62"/>
      <w:bookmarkStart w:id="150" w:name="_Toc113632938"/>
      <w:r>
        <w:rPr>
          <w:rFonts w:hint="eastAsia" w:ascii="宋体" w:hAnsi="宋体" w:eastAsia="宋体"/>
          <w:sz w:val="30"/>
        </w:rPr>
        <w:t>第十部分  基金的财产</w:t>
      </w:r>
      <w:bookmarkEnd w:id="149"/>
      <w:bookmarkEnd w:id="150"/>
    </w:p>
    <w:p>
      <w:pPr>
        <w:pStyle w:val="7"/>
        <w:spacing w:before="0" w:beforeAutospacing="0" w:after="0" w:afterAutospacing="0" w:line="360" w:lineRule="auto"/>
        <w:ind w:firstLine="420"/>
        <w:rPr>
          <w:sz w:val="21"/>
          <w:szCs w:val="21"/>
        </w:rPr>
      </w:pPr>
      <w:bookmarkStart w:id="151" w:name="chapter_level1_13_62_section_1"/>
      <w:bookmarkEnd w:id="151"/>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基金资产总值是指购买的各类证券及票据价值、银行存款本息和基金应收的申购基金款以及其他投资所形成的价值总和。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2" w:name="chapter_level1_13_62_section_1_end"/>
      <w:bookmarkEnd w:id="152"/>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3" w:name="_Toc113632939"/>
      <w:bookmarkStart w:id="154" w:name="chapter_level1_14_63"/>
      <w:r>
        <w:rPr>
          <w:rFonts w:hint="eastAsia" w:ascii="宋体" w:hAnsi="宋体" w:eastAsia="宋体"/>
          <w:sz w:val="30"/>
        </w:rPr>
        <w:t>第十一部分  基金资产的估值</w:t>
      </w:r>
      <w:bookmarkEnd w:id="153"/>
      <w:bookmarkEnd w:id="154"/>
    </w:p>
    <w:p>
      <w:pPr>
        <w:pStyle w:val="7"/>
        <w:spacing w:before="0" w:beforeAutospacing="0" w:after="0" w:afterAutospacing="0" w:line="360" w:lineRule="auto"/>
        <w:ind w:firstLine="420"/>
        <w:rPr>
          <w:sz w:val="21"/>
          <w:szCs w:val="21"/>
        </w:rPr>
      </w:pPr>
      <w:bookmarkStart w:id="155" w:name="chapter_level1_14_63_section_1"/>
      <w:bookmarkEnd w:id="155"/>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基金所拥有的股票、权证、债券和银行存款本息、股指期货合约、应收款项、其它投资等资产及负债。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4、因持有股票而享有的配股权，采用估值技术确定公允价值，在估值技术难以可靠计量公允价值的情况下，按成本估值。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9、相关法律法规以及监管部门有强制规定的，从其规定。如有新增事项，按国家最新规定估值。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6" w:name="chapter_level1_14_63_section_1_end"/>
      <w:bookmarkEnd w:id="156"/>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7" w:name="chapter_level1_14_63_section_2"/>
      <w:bookmarkEnd w:id="157"/>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1、各类基金份额净值是按照每个工作日闭市后，各类基金份额资产净值除以当日该类基金份额的余额数量计算，均精确到</w:t>
      </w:r>
      <w:bookmarkStart w:id="158" w:name="field_63_netdecimalvalue_1"/>
      <w:r>
        <w:rPr>
          <w:sz w:val="21"/>
          <w:szCs w:val="21"/>
        </w:rPr>
        <w:t>0.001</w:t>
      </w:r>
      <w:bookmarkEnd w:id="158"/>
      <w:r>
        <w:rPr>
          <w:rFonts w:hint="eastAsia"/>
          <w:sz w:val="21"/>
          <w:szCs w:val="21"/>
        </w:rPr>
        <w:t>元，小数点后第</w:t>
      </w:r>
      <w:bookmarkStart w:id="159" w:name="field_63_netdecimaladd1_1"/>
      <w:r>
        <w:rPr>
          <w:sz w:val="21"/>
          <w:szCs w:val="21"/>
        </w:rPr>
        <w:t>4</w:t>
      </w:r>
      <w:bookmarkEnd w:id="159"/>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基金管理人应每个工作日计算基金资产净值及各类基金份额净值，并按规定进行公告。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基金管理人和基金托管人将采取必要、适当、合理的措施确保基金资产估值的准确性、及时性。当任何一类基金份额净值小数点后</w:t>
      </w:r>
      <w:bookmarkStart w:id="160" w:name="field_63_netdecimal_1"/>
      <w:r>
        <w:rPr>
          <w:sz w:val="21"/>
          <w:szCs w:val="21"/>
        </w:rPr>
        <w:t>3</w:t>
      </w:r>
      <w:bookmarkEnd w:id="160"/>
      <w:r>
        <w:rPr>
          <w:rFonts w:hint="eastAsia"/>
          <w:sz w:val="21"/>
          <w:szCs w:val="21"/>
        </w:rPr>
        <w:t>位以内（含第</w:t>
      </w:r>
      <w:bookmarkStart w:id="161" w:name="field_63_netdecimal_2"/>
      <w:r>
        <w:rPr>
          <w:sz w:val="21"/>
          <w:szCs w:val="21"/>
        </w:rPr>
        <w:t>3</w:t>
      </w:r>
      <w:bookmarkEnd w:id="161"/>
      <w:r>
        <w:rPr>
          <w:rFonts w:hint="eastAsia"/>
          <w:sz w:val="21"/>
          <w:szCs w:val="21"/>
        </w:rPr>
        <w:t xml:space="preserve">位）发生估值错误时，视为该类基金份额净值错误。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八、特殊情况的处理方法</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1、基金管理人或基金托管人按估值方法的第8项进行估值时，所造成的误差不作为基金资产估值错误处理。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w:t>
      </w:r>
      <w:bookmarkStart w:id="162" w:name="chapter_level1_14_63_section_2_end"/>
      <w:bookmarkEnd w:id="162"/>
      <w:r>
        <w:rPr>
          <w:rFonts w:hint="eastAsia"/>
          <w:sz w:val="21"/>
          <w:szCs w:val="21"/>
        </w:rPr>
        <w:t xml:space="preserve">理人、基金托管人应当积极采取必要的措施消除或减轻由此造成的影响。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3" w:name="chapter_level1_15_64"/>
      <w:bookmarkStart w:id="164" w:name="_Toc113632940"/>
      <w:r>
        <w:rPr>
          <w:rFonts w:hint="eastAsia" w:ascii="宋体" w:hAnsi="宋体" w:eastAsia="宋体"/>
          <w:sz w:val="30"/>
        </w:rPr>
        <w:t>第十二部分  基金的收益与分配</w:t>
      </w:r>
      <w:bookmarkEnd w:id="163"/>
      <w:bookmarkEnd w:id="164"/>
    </w:p>
    <w:p>
      <w:pPr>
        <w:pStyle w:val="7"/>
        <w:spacing w:before="0" w:beforeAutospacing="0" w:after="0" w:afterAutospacing="0" w:line="360" w:lineRule="auto"/>
        <w:ind w:firstLine="420"/>
        <w:rPr>
          <w:sz w:val="21"/>
          <w:szCs w:val="21"/>
        </w:rPr>
      </w:pPr>
      <w:bookmarkStart w:id="165" w:name="chapter_level1_15_64_section_1"/>
      <w:bookmarkEnd w:id="165"/>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3、由于本基金A类基金份额不收取销售服务费，而C类基金份额收取销售服务费，各基金份额类别对应的可供分配利润将有所不同，本基金同一类别的每一基金份额享有同等分配权； </w:t>
      </w:r>
    </w:p>
    <w:p>
      <w:pPr>
        <w:pStyle w:val="7"/>
        <w:spacing w:before="0" w:beforeAutospacing="0" w:after="0" w:afterAutospacing="0" w:line="360" w:lineRule="auto"/>
        <w:ind w:firstLine="420"/>
        <w:rPr>
          <w:sz w:val="21"/>
          <w:szCs w:val="21"/>
        </w:rPr>
      </w:pPr>
      <w:bookmarkStart w:id="166" w:name="chapter_level1_15_64_section_1_end"/>
      <w:bookmarkEnd w:id="166"/>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bookmarkStart w:id="167" w:name="chapter_level1_15_64_section_2"/>
      <w:bookmarkEnd w:id="167"/>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w:t>
      </w:r>
      <w:bookmarkStart w:id="168" w:name="chapter_level1_15_64_section_2_end"/>
      <w:bookmarkEnd w:id="168"/>
      <w:r>
        <w:rPr>
          <w:rFonts w:hint="eastAsia"/>
          <w:sz w:val="21"/>
          <w:szCs w:val="21"/>
        </w:rPr>
        <w:t xml:space="preserve">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9" w:name="_Toc113632941"/>
      <w:bookmarkStart w:id="170" w:name="chapter_level1_16_65"/>
      <w:r>
        <w:rPr>
          <w:rFonts w:hint="eastAsia" w:ascii="宋体" w:hAnsi="宋体" w:eastAsia="宋体"/>
          <w:sz w:val="30"/>
        </w:rPr>
        <w:t>第十三部分  基金费用与税收</w:t>
      </w:r>
      <w:bookmarkEnd w:id="169"/>
      <w:bookmarkEnd w:id="170"/>
    </w:p>
    <w:p>
      <w:pPr>
        <w:pStyle w:val="7"/>
        <w:spacing w:before="0" w:beforeAutospacing="0" w:after="0" w:afterAutospacing="0" w:line="360" w:lineRule="auto"/>
        <w:ind w:firstLine="420"/>
        <w:rPr>
          <w:sz w:val="21"/>
          <w:szCs w:val="21"/>
        </w:rPr>
      </w:pPr>
      <w:bookmarkStart w:id="171" w:name="chapter_level1_16_65_section_1"/>
      <w:bookmarkEnd w:id="171"/>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5、《基金合同》生效后与基金相关的会计师费、律师费和诉讼费；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7、基金的证券、期货交易费用；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9、基金的开户费用、账户维护费用；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72" w:name="field_0_managementrate_1"/>
      <w:r>
        <w:rPr>
          <w:sz w:val="21"/>
          <w:szCs w:val="21"/>
        </w:rPr>
        <w:t>1.</w:t>
      </w:r>
      <w:r>
        <w:rPr>
          <w:rFonts w:hint="eastAsia"/>
          <w:sz w:val="21"/>
          <w:szCs w:val="21"/>
        </w:rPr>
        <w:t>2</w:t>
      </w:r>
      <w:r>
        <w:rPr>
          <w:sz w:val="21"/>
          <w:szCs w:val="21"/>
        </w:rPr>
        <w:t>0</w:t>
      </w:r>
      <w:bookmarkEnd w:id="172"/>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3" w:name="field_0_managementrate_2"/>
      <w:r>
        <w:rPr>
          <w:sz w:val="21"/>
          <w:szCs w:val="21"/>
        </w:rPr>
        <w:t>1.</w:t>
      </w:r>
      <w:r>
        <w:rPr>
          <w:rFonts w:hint="eastAsia"/>
          <w:sz w:val="21"/>
          <w:szCs w:val="21"/>
        </w:rPr>
        <w:t>2</w:t>
      </w:r>
      <w:r>
        <w:rPr>
          <w:sz w:val="21"/>
          <w:szCs w:val="21"/>
        </w:rPr>
        <w:t>0</w:t>
      </w:r>
      <w:bookmarkEnd w:id="173"/>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逐日累计至每个月月末，按月支付。经基金管理人与基金托管人核对一致后，由基金托管人于次月首日起2-5个工作日内从基金财产中一次性支付给基金管理人。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4" w:name="field_0_trusteerate_1"/>
      <w:r>
        <w:rPr>
          <w:sz w:val="21"/>
          <w:szCs w:val="21"/>
        </w:rPr>
        <w:t>0.2</w:t>
      </w:r>
      <w:bookmarkEnd w:id="174"/>
      <w:r>
        <w:rPr>
          <w:rFonts w:hint="eastAsia"/>
          <w:sz w:val="21"/>
          <w:szCs w:val="21"/>
        </w:rPr>
        <w:t xml:space="preserve">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5" w:name="field_0_trusteerate_2"/>
      <w:r>
        <w:rPr>
          <w:sz w:val="21"/>
          <w:szCs w:val="21"/>
        </w:rPr>
        <w:t>0.2</w:t>
      </w:r>
      <w:bookmarkEnd w:id="175"/>
      <w:r>
        <w:rPr>
          <w:rFonts w:hint="eastAsia"/>
          <w:sz w:val="21"/>
          <w:szCs w:val="21"/>
        </w:rPr>
        <w:t xml:space="preserve">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逐日累计至每个月月末，按月支付。经基金管理人与基金托管人核对一致后，由基金托管人于次月首日起2-5个工作日内从基金财产中一次性支付给基金托管人。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本基金A类基金份额不收取销售服务费，C类基金份额的销售服务费年费率为0.60%。本基金销售服务费主要用于本基金持续销售以及基金份额持有人服务等各项费用。 </w:t>
      </w:r>
    </w:p>
    <w:p>
      <w:pPr>
        <w:pStyle w:val="7"/>
        <w:spacing w:before="0" w:beforeAutospacing="0" w:after="0" w:afterAutospacing="0" w:line="360" w:lineRule="auto"/>
        <w:ind w:firstLine="420"/>
        <w:rPr>
          <w:sz w:val="21"/>
          <w:szCs w:val="21"/>
        </w:rPr>
      </w:pPr>
      <w:r>
        <w:rPr>
          <w:rFonts w:hint="eastAsia"/>
          <w:sz w:val="21"/>
          <w:szCs w:val="21"/>
        </w:rPr>
        <w:t xml:space="preserve">本基金的销售服务费按前一日C类基金份额基金资产净值的0.60% 的年费率计提。销售服务费的计算方法如下： </w:t>
      </w:r>
    </w:p>
    <w:p>
      <w:pPr>
        <w:pStyle w:val="7"/>
        <w:spacing w:before="0" w:beforeAutospacing="0" w:after="0" w:afterAutospacing="0" w:line="360" w:lineRule="auto"/>
        <w:ind w:firstLine="420"/>
        <w:rPr>
          <w:sz w:val="21"/>
          <w:szCs w:val="21"/>
        </w:rPr>
      </w:pPr>
      <w:r>
        <w:rPr>
          <w:rFonts w:hint="eastAsia"/>
          <w:sz w:val="21"/>
          <w:szCs w:val="21"/>
        </w:rPr>
        <w:t xml:space="preserve">H＝E×0.60%÷当年天数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H为每日应计提的C类基金份额的销售服务费 </w:t>
      </w:r>
    </w:p>
    <w:p>
      <w:pPr>
        <w:pStyle w:val="7"/>
        <w:spacing w:before="0" w:beforeAutospacing="0" w:after="0" w:afterAutospacing="0" w:line="360" w:lineRule="auto"/>
        <w:ind w:firstLine="420"/>
        <w:rPr>
          <w:sz w:val="21"/>
          <w:szCs w:val="21"/>
        </w:rPr>
      </w:pPr>
      <w:r>
        <w:rPr>
          <w:rFonts w:hint="eastAsia"/>
          <w:sz w:val="21"/>
          <w:szCs w:val="21"/>
        </w:rPr>
        <w:t xml:space="preserve">E为前一日的C类基金份额基金资产净值 </w:t>
      </w:r>
    </w:p>
    <w:p>
      <w:pPr>
        <w:pStyle w:val="7"/>
        <w:spacing w:before="0" w:beforeAutospacing="0" w:after="0" w:afterAutospacing="0" w:line="360" w:lineRule="auto"/>
        <w:ind w:firstLine="420"/>
        <w:rPr>
          <w:sz w:val="21"/>
          <w:szCs w:val="21"/>
        </w:rPr>
      </w:pPr>
      <w:r>
        <w:rPr>
          <w:sz w:val="21"/>
          <w:szCs w:val="21"/>
        </w:rPr>
        <w:t xml:space="preserve">基金销售服务费每日计提，逐日累计至每月月末，按月支付。经基金管理人与基金托管人双方核对一致后，由基金托管人于次月首日起2-5个工作日内从基金财产中一次性支付。若遇法定节假日、公休日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上述“一、基金费用的种类中第4－10项费用”，根据有关法规及相应协议规定，按费用实际支出金额列入当期费用，由基金托管人从基金财产中支付。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bookmarkStart w:id="176" w:name="chapter_level1_16_65_section_1_end"/>
      <w:bookmarkEnd w:id="176"/>
      <w:r>
        <w:rPr>
          <w:rFonts w:hint="eastAsia"/>
          <w:sz w:val="21"/>
          <w:szCs w:val="21"/>
        </w:rPr>
        <w:t xml:space="preserve">本基金运作过程中涉及的各纳税主体，其纳税义务按国家税收法律、法规执行。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7" w:name="chapter_level1_17_66"/>
      <w:bookmarkStart w:id="178" w:name="_Toc113632942"/>
      <w:r>
        <w:rPr>
          <w:rFonts w:hint="eastAsia" w:ascii="宋体" w:hAnsi="宋体" w:eastAsia="宋体"/>
          <w:sz w:val="30"/>
        </w:rPr>
        <w:t>第十四部分  基金的会计与审计</w:t>
      </w:r>
      <w:bookmarkEnd w:id="177"/>
      <w:bookmarkEnd w:id="178"/>
    </w:p>
    <w:p>
      <w:pPr>
        <w:pStyle w:val="7"/>
        <w:spacing w:before="0" w:beforeAutospacing="0" w:after="0" w:afterAutospacing="0" w:line="360" w:lineRule="auto"/>
        <w:ind w:firstLine="420"/>
        <w:rPr>
          <w:sz w:val="21"/>
          <w:szCs w:val="21"/>
        </w:rPr>
      </w:pPr>
      <w:bookmarkStart w:id="179" w:name="chapter_level1_17_66_section_1"/>
      <w:bookmarkEnd w:id="179"/>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80" w:name="chapter_level1_17_66_section_1_end"/>
      <w:bookmarkEnd w:id="180"/>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1" w:name="_Toc113632943"/>
      <w:bookmarkStart w:id="182" w:name="chapter_level1_18_67"/>
      <w:r>
        <w:rPr>
          <w:rFonts w:hint="eastAsia" w:ascii="宋体" w:hAnsi="宋体" w:eastAsia="宋体"/>
          <w:sz w:val="30"/>
        </w:rPr>
        <w:t>第十五部分  基金的信息披露</w:t>
      </w:r>
      <w:bookmarkEnd w:id="181"/>
      <w:bookmarkEnd w:id="182"/>
    </w:p>
    <w:p>
      <w:pPr>
        <w:pStyle w:val="7"/>
        <w:spacing w:before="0" w:beforeAutospacing="0" w:after="0" w:afterAutospacing="0" w:line="360" w:lineRule="auto"/>
        <w:ind w:firstLine="420"/>
        <w:rPr>
          <w:sz w:val="21"/>
          <w:szCs w:val="21"/>
        </w:rPr>
      </w:pPr>
      <w:bookmarkStart w:id="183" w:name="chapter_level1_18_67_section_1"/>
      <w:bookmarkEnd w:id="183"/>
      <w:r>
        <w:rPr>
          <w:rStyle w:val="11"/>
          <w:rFonts w:hint="eastAsia"/>
          <w:sz w:val="21"/>
          <w:szCs w:val="21"/>
        </w:rPr>
        <w:t>一、本基金的信息披露应符合《基金法》、《运作办法》、《信息披露办法》、《基金合同》及其他有关规定。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四、本基金公开披露的信息应采用中文文本。如同时采用外文文本的，基金信息披露义务人应保证不同文本的内容一致。不同文本之间发生歧义的，以中文文本为准。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84" w:name="chapter_level1_18_67_section_1_end"/>
      <w:bookmarkEnd w:id="184"/>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5" w:name="chapter_level1_18_67_section_2"/>
      <w:bookmarkEnd w:id="185"/>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在开始办理基金份额申购或者赎回后，基金管理人应当在不晚于每个开放日的次日，通过指定网站、基金销售机构网站或营业网点披露开放日的各类基金份额净值和各类基金份额累计净值。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基金管理人应当在不晚于半年度和年度最后一日的次日，在指定网站披露半年度和年度最后一日的各类基金份额净值和各类基金份额累计净值。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本基金发生重大事件，有关信息披露义务人应当按规定编制临时报告书，并登载在指定报刊和指定网站上。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8、基金募集期延长或提前结束募集；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 </w:t>
      </w:r>
    </w:p>
    <w:p>
      <w:pPr>
        <w:pStyle w:val="7"/>
        <w:spacing w:before="0" w:beforeAutospacing="0" w:after="0" w:afterAutospacing="0" w:line="360" w:lineRule="auto"/>
        <w:ind w:firstLine="420"/>
        <w:rPr>
          <w:sz w:val="21"/>
          <w:szCs w:val="21"/>
        </w:rPr>
      </w:pPr>
      <w:r>
        <w:rPr>
          <w:rFonts w:hint="eastAsia"/>
          <w:sz w:val="21"/>
          <w:szCs w:val="21"/>
        </w:rPr>
        <w:t xml:space="preserve">11、基金管理人、基金托管人专门基金托管部门的主要业务人员在最近12个月内变动超过百分之三十；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12、涉及基金财产、基金管理业务、基金托管业务的诉讼或仲裁；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15、基金收益分配事项；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16、管理费、托管费、销售服务费、申购费、赎回费等费用计提标准、计提方式和费率发生变更；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17、任一类基金份额净值计价错误达该类基金份额净值百分之零点五；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18、本基金开始办理申购、赎回；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19、本基金发生巨额赎回并延期办理；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20、本基金连续发生巨额赎回并暂停接受赎回申请或延缓支付赎回款项；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21、本基金暂停接受申购、赎回申请或重新接受申购、赎回申请；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22、发生涉及本基金申购、赎回事项调整或潜在影响投资者赎回等重大事项时；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23、基金信息披露义务人认为可能对基金份额持有人权益或者基金份额的价格产生重大影响的其他事项或中国证监会规定的其他事项。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（十三）资产支持证券的相关公告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bookmarkStart w:id="186" w:name="chapter_level1_18_67_section_2_end"/>
      <w:bookmarkEnd w:id="186"/>
      <w:r>
        <w:rPr>
          <w:rFonts w:hint="eastAsia"/>
          <w:sz w:val="21"/>
          <w:szCs w:val="21"/>
        </w:rPr>
        <w:t xml:space="preserve">（十四）中国证监会规定的其他信息。 </w:t>
      </w:r>
    </w:p>
    <w:p>
      <w:pPr>
        <w:pStyle w:val="7"/>
        <w:spacing w:before="0" w:beforeAutospacing="0" w:after="0" w:afterAutospacing="0" w:line="360" w:lineRule="auto"/>
        <w:ind w:firstLine="420"/>
        <w:rPr>
          <w:sz w:val="21"/>
          <w:szCs w:val="21"/>
        </w:rPr>
      </w:pPr>
      <w:bookmarkStart w:id="187" w:name="chapter_level1_18_67_section_3"/>
      <w:bookmarkEnd w:id="187"/>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基金信息披露义务人公开披露基金信息，应当符合中国证监会相关基金信息披露内容与格式准则等法律法规规定。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8" w:name="chapter_level1_18_67_section_3_end"/>
      <w:bookmarkEnd w:id="188"/>
      <w:r>
        <w:rPr>
          <w:rFonts w:hint="eastAsia"/>
          <w:sz w:val="21"/>
          <w:szCs w:val="21"/>
        </w:rPr>
        <w:t xml:space="preserve">息置备于公司住所，供社会公众查阅、复制。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9" w:name="chapter_level1_19_68"/>
      <w:bookmarkStart w:id="190" w:name="_Toc113632944"/>
      <w:r>
        <w:rPr>
          <w:rFonts w:hint="eastAsia" w:ascii="宋体" w:hAnsi="宋体" w:eastAsia="宋体"/>
          <w:sz w:val="30"/>
        </w:rPr>
        <w:t>第十六部分  风险揭示</w:t>
      </w:r>
      <w:bookmarkEnd w:id="189"/>
      <w:bookmarkEnd w:id="190"/>
    </w:p>
    <w:p>
      <w:pPr>
        <w:pStyle w:val="7"/>
        <w:spacing w:before="0" w:beforeAutospacing="0" w:after="0" w:afterAutospacing="0" w:line="360" w:lineRule="auto"/>
        <w:ind w:firstLine="420"/>
        <w:rPr>
          <w:sz w:val="21"/>
          <w:szCs w:val="21"/>
        </w:rPr>
      </w:pPr>
      <w:bookmarkStart w:id="191" w:name="chapter_level1_19_68_section_1"/>
      <w:bookmarkEnd w:id="191"/>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pPr>
        <w:pStyle w:val="7"/>
        <w:spacing w:before="0" w:beforeAutospacing="0" w:after="0" w:afterAutospacing="0" w:line="360" w:lineRule="auto"/>
        <w:ind w:firstLine="420"/>
        <w:rPr>
          <w:sz w:val="21"/>
          <w:szCs w:val="21"/>
        </w:rPr>
      </w:pPr>
      <w:r>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pPr>
        <w:pStyle w:val="7"/>
        <w:spacing w:before="0" w:beforeAutospacing="0" w:after="0" w:afterAutospacing="0" w:line="360" w:lineRule="auto"/>
        <w:ind w:firstLine="420"/>
        <w:rPr>
          <w:sz w:val="21"/>
          <w:szCs w:val="21"/>
        </w:rPr>
      </w:pPr>
      <w:r>
        <w:rPr>
          <w:rFonts w:hint="eastAsia"/>
          <w:sz w:val="21"/>
          <w:szCs w:val="21"/>
        </w:rPr>
        <w:t xml:space="preserve">（7）信用风险。基金所投资债券的发行人如出现违约、无法支付到期本息，或由于债券发行人信用等级降低导致债券价格下降，将造成基金资产损失； </w:t>
      </w:r>
    </w:p>
    <w:p>
      <w:pPr>
        <w:pStyle w:val="7"/>
        <w:spacing w:before="0" w:beforeAutospacing="0" w:after="0" w:afterAutospacing="0" w:line="360" w:lineRule="auto"/>
        <w:ind w:firstLine="420"/>
        <w:rPr>
          <w:sz w:val="21"/>
          <w:szCs w:val="21"/>
        </w:rPr>
      </w:pPr>
      <w:r>
        <w:rPr>
          <w:rFonts w:hint="eastAsia"/>
          <w:sz w:val="21"/>
          <w:szCs w:val="21"/>
        </w:rPr>
        <w:t xml:space="preserve">（8）新股价格波动风险。本基金可投资于新股申购，本基金所投资新股价格波动将对基金收益率产生影响； </w:t>
      </w:r>
    </w:p>
    <w:p>
      <w:pPr>
        <w:pStyle w:val="7"/>
        <w:spacing w:before="0" w:beforeAutospacing="0" w:after="0" w:afterAutospacing="0" w:line="360" w:lineRule="auto"/>
        <w:ind w:firstLine="420"/>
        <w:rPr>
          <w:sz w:val="21"/>
          <w:szCs w:val="21"/>
        </w:rPr>
      </w:pPr>
      <w:r>
        <w:rPr>
          <w:rFonts w:hint="eastAsia"/>
          <w:sz w:val="21"/>
          <w:szCs w:val="21"/>
        </w:rPr>
        <w:t xml:space="preserve">（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pPr>
        <w:pStyle w:val="7"/>
        <w:spacing w:before="0" w:beforeAutospacing="0" w:after="0" w:afterAutospacing="0" w:line="360" w:lineRule="auto"/>
        <w:ind w:firstLine="420"/>
        <w:rPr>
          <w:sz w:val="21"/>
          <w:szCs w:val="21"/>
        </w:rPr>
      </w:pPr>
      <w:r>
        <w:rPr>
          <w:rFonts w:hint="eastAsia"/>
          <w:sz w:val="21"/>
          <w:szCs w:val="21"/>
        </w:rPr>
        <w:t xml:space="preserve">2、管理风险 </w:t>
      </w:r>
    </w:p>
    <w:p>
      <w:pPr>
        <w:pStyle w:val="7"/>
        <w:spacing w:before="0" w:beforeAutospacing="0" w:after="0" w:afterAutospacing="0" w:line="360" w:lineRule="auto"/>
        <w:ind w:firstLine="420"/>
        <w:rPr>
          <w:sz w:val="21"/>
          <w:szCs w:val="21"/>
        </w:rPr>
      </w:pPr>
      <w:r>
        <w:rPr>
          <w:rFonts w:hint="eastAsia"/>
          <w:sz w:val="21"/>
          <w:szCs w:val="21"/>
        </w:rPr>
        <w:t xml:space="preserve">基金运作过程中由于基金投资策略、人为因素、管理系统设置不当造成操作失误或公司内部失控而可能产生的损失。管理风险包括： </w:t>
      </w:r>
    </w:p>
    <w:p>
      <w:pPr>
        <w:pStyle w:val="7"/>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pPr>
        <w:pStyle w:val="7"/>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（3）技术风险：是指公司管理信息系统设置不当等因素而可能造成的损失。 </w:t>
      </w:r>
    </w:p>
    <w:p>
      <w:pPr>
        <w:pStyle w:val="7"/>
        <w:spacing w:before="0" w:beforeAutospacing="0" w:after="0" w:afterAutospacing="0" w:line="360" w:lineRule="auto"/>
        <w:ind w:firstLine="420"/>
        <w:rPr>
          <w:sz w:val="21"/>
          <w:szCs w:val="21"/>
        </w:rPr>
      </w:pPr>
      <w:r>
        <w:rPr>
          <w:rFonts w:hint="eastAsia"/>
          <w:sz w:val="21"/>
          <w:szCs w:val="21"/>
        </w:rPr>
        <w:t xml:space="preserve">3、职业道德风险：是指公司员工不遵守职业操守，发生违法、违规行为而可能导致的损失。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4、流动性风险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在开放式基金交易过程中，可能会发生巨额赎回的情形。巨额赎回可能会产生基金仓位调整的困难，导致流动性风险，甚至影响基金份额净值。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5、合规性风险 </w:t>
      </w:r>
    </w:p>
    <w:p>
      <w:pPr>
        <w:pStyle w:val="7"/>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指基金管理或运作过程中，违反国家法律、法规的规定，或者基金投资违反法规及基金合同有关规定的风险。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6、本基金特定投资策略带来的风险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作为主要投资于新兴消费主题相关行业的混合型基金，投资集中度比较明显，不仅受股票市场系统性风险影响较大，还受新兴消费主题相关行业的行业风险影响。当新兴消费主题相关行业股票整体表现较差时，本基金的净值增长率可能低于主要投资对象非新兴消费主题相关行业股票的基金。如果管理人投资失误，本基金投资回报可能低于业绩比较基准。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pPr>
        <w:pStyle w:val="7"/>
        <w:spacing w:before="0" w:beforeAutospacing="0" w:after="0" w:afterAutospacing="0" w:line="360" w:lineRule="auto"/>
        <w:ind w:firstLine="420"/>
        <w:rPr>
          <w:sz w:val="21"/>
          <w:szCs w:val="21"/>
        </w:rPr>
      </w:pPr>
      <w:r>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7、其他风险 </w:t>
      </w:r>
    </w:p>
    <w:p>
      <w:pPr>
        <w:pStyle w:val="7"/>
        <w:spacing w:before="0" w:beforeAutospacing="0" w:after="0" w:afterAutospacing="0" w:line="360" w:lineRule="auto"/>
        <w:ind w:firstLine="420"/>
        <w:rPr>
          <w:sz w:val="21"/>
          <w:szCs w:val="21"/>
        </w:rPr>
      </w:pPr>
      <w:r>
        <w:rPr>
          <w:rFonts w:hint="eastAsia"/>
          <w:sz w:val="21"/>
          <w:szCs w:val="21"/>
        </w:rPr>
        <w:t xml:space="preserve">（1）随着符合本基金投资理念的新投资工具的出现和发展，如果投资于这些工具，基金可能会面临一些特殊的风险； </w:t>
      </w:r>
    </w:p>
    <w:p>
      <w:pPr>
        <w:pStyle w:val="7"/>
        <w:spacing w:before="0" w:beforeAutospacing="0" w:after="0" w:afterAutospacing="0" w:line="360" w:lineRule="auto"/>
        <w:ind w:firstLine="420"/>
        <w:rPr>
          <w:sz w:val="21"/>
          <w:szCs w:val="21"/>
        </w:rPr>
      </w:pPr>
      <w:r>
        <w:rPr>
          <w:rFonts w:hint="eastAsia"/>
          <w:sz w:val="21"/>
          <w:szCs w:val="21"/>
        </w:rPr>
        <w:t xml:space="preserve">（2）因技术因素而产生的风险，如计算机系统不可靠产生的风险；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（3）因基金业务快速发展而在制度建设、人员配备、内控制度建立等方面不完善而产生的风险；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（4）因人为因素而产生的风险、如内幕交易、欺诈行为等产生的风险；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（5）对主要业务人员如基金经理的依赖而可能产生的风险；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1、本基金未经任何一级政府、机构及部门担保。基金投资者自愿投资于本基金，须自行承担投资风险。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2、除基金管理人直接办理本基金的销售外，本基金还通过基金代销机构代理销售，但是，基金资产并不是代销机构的存款或负债，也没有经基金代销机构担保收益，代销机构并不能保证其收益或本金安全。 </w:t>
      </w:r>
    </w:p>
    <w:p>
      <w:pPr>
        <w:widowControl/>
        <w:jc w:val="left"/>
        <w:rPr>
          <w:rFonts w:ascii="宋体" w:hAnsi="宋体" w:eastAsia="宋体"/>
        </w:rPr>
      </w:pPr>
      <w:bookmarkStart w:id="192" w:name="chapter_level1_19_68_section_1_end"/>
      <w:bookmarkEnd w:id="192"/>
      <w:r>
        <w:rPr>
          <w:rFonts w:ascii="宋体" w:hAnsi="宋体" w:eastAsia="宋体"/>
        </w:rPr>
        <w:br w:type="page"/>
      </w:r>
    </w:p>
    <w:p>
      <w:pPr>
        <w:pStyle w:val="2"/>
        <w:jc w:val="center"/>
        <w:rPr>
          <w:rFonts w:ascii="宋体" w:hAnsi="宋体" w:eastAsia="宋体"/>
          <w:sz w:val="30"/>
        </w:rPr>
      </w:pPr>
      <w:bookmarkStart w:id="193" w:name="_Toc113632945"/>
      <w:bookmarkStart w:id="194" w:name="chapter_level1_20_69"/>
      <w:r>
        <w:rPr>
          <w:rFonts w:hint="eastAsia" w:ascii="宋体" w:hAnsi="宋体" w:eastAsia="宋体"/>
          <w:sz w:val="30"/>
        </w:rPr>
        <w:t>第十七部分  基金合同的变更、终止与基金财产的清算</w:t>
      </w:r>
      <w:bookmarkEnd w:id="193"/>
      <w:bookmarkEnd w:id="194"/>
    </w:p>
    <w:p>
      <w:pPr>
        <w:pStyle w:val="7"/>
        <w:spacing w:before="0" w:beforeAutospacing="0" w:after="0" w:afterAutospacing="0" w:line="360" w:lineRule="auto"/>
        <w:ind w:firstLine="420"/>
        <w:rPr>
          <w:sz w:val="21"/>
          <w:szCs w:val="21"/>
        </w:rPr>
      </w:pPr>
      <w:bookmarkStart w:id="195" w:name="chapter_level1_20_69_section_1"/>
      <w:bookmarkEnd w:id="195"/>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bookmarkStart w:id="196" w:name="chapter_level1_20_69_section_1_end"/>
      <w:bookmarkEnd w:id="196"/>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7" w:name="chapter_level1_21_71"/>
      <w:bookmarkStart w:id="198" w:name="_Toc113632946"/>
      <w:r>
        <w:rPr>
          <w:rFonts w:hint="eastAsia" w:ascii="宋体" w:hAnsi="宋体" w:eastAsia="宋体"/>
          <w:sz w:val="30"/>
        </w:rPr>
        <w:t>第十八部分  基金合同的内容摘要</w:t>
      </w:r>
      <w:bookmarkEnd w:id="197"/>
      <w:bookmarkEnd w:id="198"/>
    </w:p>
    <w:p>
      <w:pPr>
        <w:pStyle w:val="7"/>
        <w:spacing w:before="0" w:beforeAutospacing="0" w:after="0" w:afterAutospacing="0" w:line="360" w:lineRule="auto"/>
        <w:ind w:firstLine="420"/>
        <w:rPr>
          <w:sz w:val="21"/>
          <w:szCs w:val="21"/>
        </w:rPr>
      </w:pPr>
      <w:bookmarkStart w:id="199" w:name="chapter_level1_21_71_section_1"/>
      <w:bookmarkEnd w:id="199"/>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 xml:space="preserve">1、基金管理人简况 </w:t>
      </w:r>
    </w:p>
    <w:p>
      <w:pPr>
        <w:pStyle w:val="7"/>
        <w:spacing w:before="0" w:beforeAutospacing="0" w:after="0" w:afterAutospacing="0" w:line="360" w:lineRule="auto"/>
        <w:ind w:firstLine="420"/>
        <w:rPr>
          <w:sz w:val="21"/>
          <w:szCs w:val="21"/>
        </w:rPr>
      </w:pPr>
      <w:r>
        <w:rPr>
          <w:rFonts w:hint="eastAsia"/>
          <w:sz w:val="21"/>
          <w:szCs w:val="21"/>
        </w:rPr>
        <w:t>名称：</w:t>
      </w:r>
      <w:bookmarkStart w:id="200" w:name="field_0_managerorgfullname_7"/>
      <w:r>
        <w:rPr>
          <w:rFonts w:hint="eastAsia"/>
          <w:sz w:val="21"/>
          <w:szCs w:val="21"/>
        </w:rPr>
        <w:t>博时基金管理有限公司</w:t>
      </w:r>
      <w:bookmarkEnd w:id="200"/>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存续期限：持续经营 </w:t>
      </w:r>
    </w:p>
    <w:p>
      <w:pPr>
        <w:pStyle w:val="7"/>
        <w:spacing w:before="0" w:beforeAutospacing="0" w:after="0" w:afterAutospacing="0" w:line="360" w:lineRule="auto"/>
        <w:ind w:firstLine="420"/>
        <w:rPr>
          <w:sz w:val="21"/>
          <w:szCs w:val="21"/>
        </w:rPr>
      </w:pPr>
      <w:r>
        <w:rPr>
          <w:rFonts w:hint="eastAsia"/>
          <w:sz w:val="21"/>
          <w:szCs w:val="21"/>
        </w:rPr>
        <w:t xml:space="preserve">联系电话：0755-83169999 </w:t>
      </w:r>
    </w:p>
    <w:p>
      <w:pPr>
        <w:pStyle w:val="7"/>
        <w:spacing w:before="0" w:beforeAutospacing="0" w:after="0" w:afterAutospacing="0" w:line="360" w:lineRule="auto"/>
        <w:ind w:firstLine="420"/>
        <w:rPr>
          <w:sz w:val="21"/>
          <w:szCs w:val="21"/>
        </w:rPr>
      </w:pPr>
      <w:r>
        <w:rPr>
          <w:rFonts w:hint="eastAsia"/>
          <w:sz w:val="21"/>
          <w:szCs w:val="21"/>
        </w:rPr>
        <w:t xml:space="preserve">2、基金管理人的权利与义务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11）在《基金合同》约定的范围内，拒绝或暂停受理申购与赎回申请；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15）选择、更换律师事务所、会计师事务所、证券经纪商、期货经纪机构或其他为基金提供服务的外部机构；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 xml:space="preserve">1、基金托管人简况 </w:t>
      </w:r>
    </w:p>
    <w:p>
      <w:pPr>
        <w:pStyle w:val="7"/>
        <w:spacing w:before="0" w:beforeAutospacing="0" w:after="0" w:afterAutospacing="0" w:line="360" w:lineRule="auto"/>
        <w:ind w:firstLine="420"/>
        <w:rPr>
          <w:sz w:val="21"/>
          <w:szCs w:val="21"/>
        </w:rPr>
      </w:pPr>
      <w:r>
        <w:rPr>
          <w:rFonts w:hint="eastAsia"/>
          <w:sz w:val="21"/>
          <w:szCs w:val="21"/>
        </w:rPr>
        <w:t>名称：</w:t>
      </w:r>
      <w:bookmarkStart w:id="201" w:name="field_0_trustorgfullname_2"/>
      <w:r>
        <w:rPr>
          <w:rFonts w:hint="eastAsia"/>
          <w:sz w:val="21"/>
          <w:szCs w:val="21"/>
        </w:rPr>
        <w:t>中国银行股份有限公司</w:t>
      </w:r>
      <w:bookmarkEnd w:id="201"/>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住所：北京市西城区复兴门内大街1 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成立时间：1983 年10月31日 </w:t>
      </w:r>
    </w:p>
    <w:p>
      <w:pPr>
        <w:pStyle w:val="7"/>
        <w:spacing w:before="0" w:beforeAutospacing="0" w:after="0" w:afterAutospacing="0" w:line="360" w:lineRule="auto"/>
        <w:ind w:firstLine="420"/>
        <w:rPr>
          <w:sz w:val="21"/>
          <w:szCs w:val="21"/>
        </w:rPr>
      </w:pPr>
      <w:r>
        <w:rPr>
          <w:rFonts w:hint="eastAsia"/>
          <w:sz w:val="21"/>
          <w:szCs w:val="21"/>
        </w:rPr>
        <w:t xml:space="preserve">批准设立机关和批准设立文号：国务院批转中国人民银行《关于改革中国银行体制的请示报告》（国发[1979]72 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注册资本：人民币29438779.124100万元整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基金托管资格批文及文号：中国证监会证监基字【1998】24 号</w:t>
      </w:r>
    </w:p>
    <w:p>
      <w:pPr>
        <w:pStyle w:val="7"/>
        <w:spacing w:before="0" w:beforeAutospacing="0" w:after="0" w:afterAutospacing="0" w:line="360" w:lineRule="auto"/>
        <w:ind w:firstLine="420"/>
        <w:rPr>
          <w:sz w:val="21"/>
          <w:szCs w:val="21"/>
        </w:rPr>
      </w:pPr>
      <w:r>
        <w:rPr>
          <w:rFonts w:hint="eastAsia"/>
          <w:sz w:val="21"/>
          <w:szCs w:val="21"/>
        </w:rPr>
        <w:t xml:space="preserve">2、基金托管人的权利与义务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4）根据相关市场规则，为基金开设资金账户、证券账户和期货账户等投资所需账户，为基金办理证券、期货交易资金清算；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6）按规定开设基金财产的资金账户、证券账户和期货账户等投资所需账户，按照《基金合同》的约定，根据基金管理人的投资指令，及时办理清算、交割事宜；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8）复核、审查基金管理人计算的基金资产净值、各类基金份额净值、基金份额申购、赎回价格；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（9）法律法规及中国证监会规定的和《基金合同》约定的其他权利。</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本基金份额持有人大会不设日常机构。</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（5）提高基金管理人、基金托管人的报酬标准、销售服务费率；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（1）调低基金管理费、基金托管费、销售服务费； </w:t>
      </w:r>
    </w:p>
    <w:p>
      <w:pPr>
        <w:pStyle w:val="7"/>
        <w:spacing w:before="0" w:beforeAutospacing="0" w:after="0" w:afterAutospacing="0" w:line="360" w:lineRule="auto"/>
        <w:ind w:firstLine="420"/>
        <w:rPr>
          <w:sz w:val="21"/>
          <w:szCs w:val="21"/>
        </w:rPr>
      </w:pPr>
      <w:r>
        <w:rPr>
          <w:rFonts w:hint="eastAsia"/>
          <w:sz w:val="21"/>
          <w:szCs w:val="21"/>
        </w:rPr>
        <w:t xml:space="preserve">（2）法律法规要求增加的基金费用的收取；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（3）在法律法规和《基金合同》规定的范围内调整本基金的申购费率、调低赎回费率或在对现有基金份额持有人利益无实质性不利影响的前提下变更收费方式； </w:t>
      </w:r>
    </w:p>
    <w:p>
      <w:pPr>
        <w:pStyle w:val="7"/>
        <w:spacing w:before="0" w:beforeAutospacing="0" w:after="0" w:afterAutospacing="0" w:line="360" w:lineRule="auto"/>
        <w:ind w:firstLine="420"/>
        <w:rPr>
          <w:sz w:val="21"/>
          <w:szCs w:val="21"/>
        </w:rPr>
      </w:pPr>
      <w:r>
        <w:rPr>
          <w:rFonts w:hint="eastAsia"/>
          <w:sz w:val="21"/>
          <w:szCs w:val="21"/>
        </w:rPr>
        <w:t xml:space="preserve">（4）因相应的法律法规发生变动而应当对《基金合同》进行修改；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6、基金份额持有人会议的召集人负责选择确定开会时间、地点、方式和权益登记日。</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1、召开基金份额持有人大会，召集人应于会议召开前30日，依据有关规定进行公告。基金份额持有人大会通知应至少载明以下内容：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基金份额持有人大会可通过现场开会方式、通讯开会方式或法律法规及监管机关允许的其他方式召开，会议的召开方式由会议召集人确定。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在通讯开会的情况下，首先由召集人提前30日公布提案，在所通知的表决截止日期后2个工作日内在公证机关监督下由召集人统计全部有效表决，在公证机关监督下形成决议。</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2、关于《基金合同》变更的基金份额持有人大会决议自生效后方可执行，并自决议生效后按规定在指定媒介公告。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四、争议的处理和适用的法律</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五、基金合同的存放地和投资者取得基金合同的方式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202" w:name="chapter_level1_21_71_section_1_end"/>
      <w:bookmarkEnd w:id="202"/>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3" w:name="_Toc113632947"/>
      <w:bookmarkStart w:id="204" w:name="chapter_level1_22_72"/>
      <w:r>
        <w:rPr>
          <w:rFonts w:hint="eastAsia" w:ascii="宋体" w:hAnsi="宋体" w:eastAsia="宋体"/>
          <w:sz w:val="30"/>
        </w:rPr>
        <w:t>第十九部分  基金托管协议的内容摘要</w:t>
      </w:r>
      <w:bookmarkEnd w:id="203"/>
      <w:bookmarkEnd w:id="204"/>
    </w:p>
    <w:p>
      <w:pPr>
        <w:pStyle w:val="7"/>
        <w:spacing w:before="0" w:beforeAutospacing="0" w:after="0" w:afterAutospacing="0" w:line="360" w:lineRule="auto"/>
        <w:ind w:firstLine="420"/>
        <w:rPr>
          <w:sz w:val="21"/>
          <w:szCs w:val="21"/>
        </w:rPr>
      </w:pPr>
      <w:bookmarkStart w:id="205" w:name="chapter_level1_22_72_section_1"/>
      <w:bookmarkEnd w:id="205"/>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（一）基金管理人（或简称“管理人”） </w:t>
      </w:r>
    </w:p>
    <w:p>
      <w:pPr>
        <w:pStyle w:val="7"/>
        <w:spacing w:before="0" w:beforeAutospacing="0" w:after="0" w:afterAutospacing="0" w:line="360" w:lineRule="auto"/>
        <w:ind w:firstLine="420"/>
        <w:rPr>
          <w:sz w:val="21"/>
          <w:szCs w:val="21"/>
        </w:rPr>
      </w:pPr>
      <w:r>
        <w:rPr>
          <w:rFonts w:hint="eastAsia"/>
          <w:sz w:val="21"/>
          <w:szCs w:val="21"/>
        </w:rPr>
        <w:t>名称： </w:t>
      </w:r>
      <w:bookmarkStart w:id="206" w:name="field_0_managerorgfullname_8"/>
      <w:r>
        <w:rPr>
          <w:rFonts w:hint="eastAsia"/>
          <w:sz w:val="21"/>
          <w:szCs w:val="21"/>
        </w:rPr>
        <w:t>博时基金管理有限公司</w:t>
      </w:r>
      <w:bookmarkEnd w:id="20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批准设立文号：证监基字[1998]26号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经营范围：基金募集；基金销售；资产管理；中国证监会许可的其他业务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（二）基金托管人（或简称“托管人”） </w:t>
      </w:r>
    </w:p>
    <w:p>
      <w:pPr>
        <w:pStyle w:val="7"/>
        <w:spacing w:before="0" w:beforeAutospacing="0" w:after="0" w:afterAutospacing="0" w:line="360" w:lineRule="auto"/>
        <w:ind w:firstLine="420"/>
        <w:rPr>
          <w:sz w:val="21"/>
          <w:szCs w:val="21"/>
        </w:rPr>
      </w:pPr>
      <w:r>
        <w:rPr>
          <w:rFonts w:hint="eastAsia"/>
          <w:sz w:val="21"/>
          <w:szCs w:val="21"/>
        </w:rPr>
        <w:t>名称：</w:t>
      </w:r>
      <w:bookmarkStart w:id="207" w:name="field_0_trustorgfullname_3"/>
      <w:r>
        <w:rPr>
          <w:rFonts w:hint="eastAsia"/>
          <w:sz w:val="21"/>
          <w:szCs w:val="21"/>
        </w:rPr>
        <w:t>中国银行股份有限公司</w:t>
      </w:r>
      <w:bookmarkEnd w:id="20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成立时间：1983年10月31日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注册资本：人民币29438779.124100万元整 </w:t>
      </w:r>
    </w:p>
    <w:p>
      <w:pPr>
        <w:pStyle w:val="7"/>
        <w:spacing w:before="0" w:beforeAutospacing="0" w:after="0" w:afterAutospacing="0" w:line="360" w:lineRule="auto"/>
        <w:ind w:firstLine="420"/>
        <w:rPr>
          <w:sz w:val="21"/>
          <w:szCs w:val="21"/>
        </w:rPr>
      </w:pPr>
      <w:r>
        <w:rPr>
          <w:rFonts w:hint="eastAsia"/>
          <w:sz w:val="21"/>
          <w:szCs w:val="21"/>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（一）基金托管人根据有关法律法规的规定及《基金合同》的约定，建立相关的技术系统，对基金管理人的投资运作进行监督。主要包括以下方面： </w:t>
      </w:r>
    </w:p>
    <w:p>
      <w:pPr>
        <w:pStyle w:val="7"/>
        <w:spacing w:before="0" w:beforeAutospacing="0" w:after="0" w:afterAutospacing="0" w:line="360" w:lineRule="auto"/>
        <w:ind w:firstLine="420"/>
        <w:rPr>
          <w:sz w:val="21"/>
          <w:szCs w:val="21"/>
        </w:rPr>
      </w:pPr>
      <w:r>
        <w:rPr>
          <w:rFonts w:hint="eastAsia"/>
          <w:sz w:val="21"/>
          <w:szCs w:val="21"/>
        </w:rPr>
        <w:t xml:space="preserve">1、对基金的投资范围、投资对象进行监督。基金管理人应将拟投资的本基金所界定的新兴消费主题相关的上市公司股票的股票库等各投资品种的具体范围提供给基金托管人。基金管理人可以根据实际情况的变化，对各投资品种的具体范围予以更新和调整，并通知基金托管人。基金托管人根据上述投资范围对基金的投资进行监督； </w:t>
      </w:r>
    </w:p>
    <w:p>
      <w:pPr>
        <w:pStyle w:val="7"/>
        <w:spacing w:before="0" w:beforeAutospacing="0" w:after="0" w:afterAutospacing="0" w:line="360" w:lineRule="auto"/>
        <w:ind w:firstLine="420"/>
        <w:rPr>
          <w:sz w:val="21"/>
          <w:szCs w:val="21"/>
        </w:rPr>
      </w:pPr>
      <w:r>
        <w:rPr>
          <w:rFonts w:hint="eastAsia"/>
          <w:sz w:val="21"/>
          <w:szCs w:val="21"/>
        </w:rPr>
        <w:t xml:space="preserve">本基金的投资对象是具有良好流动性的金融工具，包括国内依法发行上市的股票（包括中小板、创业板及其他经中国证监会核准上市的股票、存托凭证）、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基金的投资组合比例为：股票资产（含存托凭证）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pPr>
        <w:pStyle w:val="7"/>
        <w:spacing w:before="0" w:beforeAutospacing="0" w:after="0" w:afterAutospacing="0" w:line="360" w:lineRule="auto"/>
        <w:ind w:firstLine="420"/>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pPr>
        <w:pStyle w:val="7"/>
        <w:spacing w:before="0" w:beforeAutospacing="0" w:after="0" w:afterAutospacing="0" w:line="360" w:lineRule="auto"/>
        <w:ind w:firstLine="420"/>
        <w:rPr>
          <w:sz w:val="21"/>
          <w:szCs w:val="21"/>
        </w:rPr>
      </w:pPr>
      <w:r>
        <w:rPr>
          <w:rFonts w:hint="eastAsia"/>
          <w:sz w:val="21"/>
          <w:szCs w:val="21"/>
        </w:rPr>
        <w:t xml:space="preserve">2、对基金投融资比例进行监督；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（1）股票资产（含存托凭证）占基金资产的60%-95%，其中投资于本基金所界定的新兴消费主题证券的比例不低于非现金资产的80%；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（5）基金资产总值不得超过基金资产净值的140%；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（7）本基金管理人管理的全部基金持有的同一权证，不得超过该权证的10％；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（10）本基金持有的全部资产支持证券，其市值不得超过基金资产净值的20％；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（11）本基金持有的同一（指同一信用级别）资产支持证券的比例，不得超过该资产支持证券规模的10％；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（12）本基金管理人管理的全部基金投资于同一原始权益人的各类资产支持证券，不得超过其各类资产支持证券合计规模的10％；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（14）基金财产参与股票发行申购，本基金所申报的金额不超过本基金的总资产，本基金所申报的股票数量不超过拟发行股票公司本次发行股票的总量；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（15）本基金投资流通受限证券，基金管理人应制订严格的投资决策流程和风险控制制度，防范流动性风险、法律风险和操作风险等各种风险； </w:t>
      </w:r>
    </w:p>
    <w:p>
      <w:pPr>
        <w:pStyle w:val="7"/>
        <w:spacing w:before="0" w:beforeAutospacing="0" w:after="0" w:afterAutospacing="0" w:line="360" w:lineRule="auto"/>
        <w:ind w:firstLine="420"/>
        <w:rPr>
          <w:sz w:val="21"/>
          <w:szCs w:val="21"/>
        </w:rPr>
      </w:pPr>
      <w:r>
        <w:rPr>
          <w:rFonts w:hint="eastAsia"/>
          <w:sz w:val="21"/>
          <w:szCs w:val="21"/>
        </w:rPr>
        <w:t xml:space="preserve">（16）本基金参与股指期货交易后，需遵守下列规定：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（17）本基金持有单只中小企业私募债券，其市值不得超过本基金资产净值的10%；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18）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（19）本基金主动投资于流动性受限资产的市值合计不得超过本基金资产净值的15%；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（21）法律法规及中国证监会规定的和《基金合同》约定的其他投资比例限制。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法律法规或监管部门取消或调整上述限制，如适用于本基金，基金管理人在履行适当程序后，则本基金投资不再受相关限制或按调整后的规定执行。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复核。 </w:t>
      </w:r>
    </w:p>
    <w:p>
      <w:pPr>
        <w:pStyle w:val="7"/>
        <w:spacing w:before="0" w:beforeAutospacing="0" w:after="0" w:afterAutospacing="0" w:line="360" w:lineRule="auto"/>
        <w:ind w:firstLine="420"/>
        <w:rPr>
          <w:sz w:val="21"/>
          <w:szCs w:val="21"/>
        </w:rPr>
      </w:pPr>
      <w:r>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四）基金托管人发现基金管理人的投资指令违反法律法规、《基金合同》及本协议的规定，应当拒绝执行，及时通知基金管理人，并依照法律法规的规定及时向中国证监会报告。基金托管人发现基金管理人依据交易程序已经生效的指令违反法律法规和其他有关规定，或者违反《基金合同》、本协议约定的，应当及时通知基金管理人，并依照法律法规的规定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资产净值和各类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pPr>
        <w:pStyle w:val="7"/>
        <w:spacing w:before="0" w:beforeAutospacing="0" w:after="0" w:afterAutospacing="0" w:line="360" w:lineRule="auto"/>
        <w:ind w:firstLine="420"/>
        <w:rPr>
          <w:sz w:val="21"/>
          <w:szCs w:val="21"/>
        </w:rPr>
      </w:pPr>
      <w:r>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2、基金托管人应安全保管基金财产，未经基金管理人的合法合规指令或法律法规、《基金合同》及本协议另有规定，不得自行运用、处分、分配基金的任何财产。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3、基金托管人按照规定开设基金财产的资金账户、证券账户、期货结算账户等投资所需账户。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5、除依据《基金法》、《运作办法》、《基金合同》及其他有关法律法规规定外，基金托管人不得委托第三人托管基金财产。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（二）基金合同生效前募集资金的验资和入账 </w:t>
      </w:r>
    </w:p>
    <w:p>
      <w:pPr>
        <w:pStyle w:val="7"/>
        <w:spacing w:before="0" w:beforeAutospacing="0" w:after="0" w:afterAutospacing="0" w:line="360" w:lineRule="auto"/>
        <w:ind w:firstLine="420"/>
        <w:rPr>
          <w:sz w:val="21"/>
          <w:szCs w:val="21"/>
        </w:rPr>
      </w:pPr>
      <w:r>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2、基金管理人应将属于本基金财产的全部资金划入在基金托管人处为本基金开立的基金银行账户中，并确保划入的资金与验资确认金额相一致。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1、基金托管人应负责本基金的银行账户的开设和管理。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pPr>
        <w:pStyle w:val="7"/>
        <w:spacing w:before="0" w:beforeAutospacing="0" w:after="0" w:afterAutospacing="0" w:line="360" w:lineRule="auto"/>
        <w:ind w:firstLine="420"/>
        <w:rPr>
          <w:sz w:val="21"/>
          <w:szCs w:val="21"/>
        </w:rPr>
      </w:pPr>
      <w:r>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4、基金银行账户的管理应符合法律法规的有关规定。 </w:t>
      </w:r>
    </w:p>
    <w:p>
      <w:pPr>
        <w:pStyle w:val="7"/>
        <w:spacing w:before="0" w:beforeAutospacing="0" w:after="0" w:afterAutospacing="0" w:line="360" w:lineRule="auto"/>
        <w:ind w:firstLine="420"/>
        <w:rPr>
          <w:sz w:val="21"/>
          <w:szCs w:val="21"/>
        </w:rPr>
      </w:pPr>
      <w:r>
        <w:rPr>
          <w:rFonts w:hint="eastAsia"/>
          <w:sz w:val="21"/>
          <w:szCs w:val="21"/>
        </w:rPr>
        <w:t xml:space="preserve">（四）基金进行定期存款投资的账户开设和管理 </w:t>
      </w:r>
    </w:p>
    <w:p>
      <w:pPr>
        <w:pStyle w:val="7"/>
        <w:spacing w:before="0" w:beforeAutospacing="0" w:after="0" w:afterAutospacing="0" w:line="360" w:lineRule="auto"/>
        <w:ind w:firstLine="420"/>
        <w:rPr>
          <w:sz w:val="21"/>
          <w:szCs w:val="21"/>
        </w:rPr>
      </w:pPr>
      <w:r>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pPr>
        <w:pStyle w:val="7"/>
        <w:spacing w:before="0" w:beforeAutospacing="0" w:after="0" w:afterAutospacing="0" w:line="360" w:lineRule="auto"/>
        <w:ind w:firstLine="420"/>
        <w:rPr>
          <w:sz w:val="21"/>
          <w:szCs w:val="21"/>
        </w:rPr>
      </w:pPr>
      <w:r>
        <w:rPr>
          <w:rFonts w:hint="eastAsia"/>
          <w:sz w:val="21"/>
          <w:szCs w:val="21"/>
        </w:rPr>
        <w:t xml:space="preserve">（五）基金证券账户、结算备付金账户及其他投资账户的开设和管理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1、基金托管人应当代表本基金，以基金托管人和本基金联名的方式在中国证券登记结算有限责任公司开设证券账户。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pPr>
        <w:pStyle w:val="7"/>
        <w:spacing w:before="0" w:beforeAutospacing="0" w:after="0" w:afterAutospacing="0" w:line="360" w:lineRule="auto"/>
        <w:ind w:firstLine="420"/>
        <w:rPr>
          <w:sz w:val="21"/>
          <w:szCs w:val="21"/>
        </w:rPr>
      </w:pPr>
      <w:r>
        <w:rPr>
          <w:rFonts w:hint="eastAsia"/>
          <w:sz w:val="21"/>
          <w:szCs w:val="21"/>
        </w:rPr>
        <w:t xml:space="preserve">（六）债券托管专户的开设和管理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基金财产投资的实物证券、银行定期存款存单等有价凭证由基金托管人负责妥善保管。基金托管人对其以外机构实际有效控制的有价凭证不承担责任。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（八）与基金财产有关的重大合同及有关凭证的保管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五、基金资产净值计算和会计复核</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（一）基金资产净值的计算和复核 </w:t>
      </w:r>
    </w:p>
    <w:p>
      <w:pPr>
        <w:pStyle w:val="7"/>
        <w:spacing w:before="0" w:beforeAutospacing="0" w:after="0" w:afterAutospacing="0" w:line="360" w:lineRule="auto"/>
        <w:ind w:firstLine="420"/>
        <w:rPr>
          <w:sz w:val="21"/>
          <w:szCs w:val="21"/>
        </w:rPr>
      </w:pPr>
      <w:r>
        <w:rPr>
          <w:rFonts w:hint="eastAsia"/>
          <w:sz w:val="21"/>
          <w:szCs w:val="21"/>
        </w:rPr>
        <w:t xml:space="preserve">1、基金资产净值是指基金资产总值减去负债后的价值。各类基金份额净值是指计算日各类基金资产净值除以计算日该类基金份额总数后的价值。 </w:t>
      </w:r>
    </w:p>
    <w:p>
      <w:pPr>
        <w:pStyle w:val="7"/>
        <w:spacing w:before="0" w:beforeAutospacing="0" w:after="0" w:afterAutospacing="0" w:line="360" w:lineRule="auto"/>
        <w:ind w:firstLine="420"/>
        <w:rPr>
          <w:sz w:val="21"/>
          <w:szCs w:val="21"/>
        </w:rPr>
      </w:pPr>
      <w:r>
        <w:rPr>
          <w:rFonts w:hint="eastAsia"/>
          <w:sz w:val="21"/>
          <w:szCs w:val="21"/>
        </w:rPr>
        <w:t xml:space="preserve">2、基金管理人应每开放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开放日结束后计算得出当日的该类基金份额净值，并在盖章后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pPr>
        <w:pStyle w:val="7"/>
        <w:spacing w:before="0" w:beforeAutospacing="0" w:after="0" w:afterAutospacing="0" w:line="360" w:lineRule="auto"/>
        <w:ind w:firstLine="420"/>
        <w:rPr>
          <w:sz w:val="21"/>
          <w:szCs w:val="21"/>
        </w:rPr>
      </w:pPr>
      <w:r>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pPr>
        <w:pStyle w:val="7"/>
        <w:spacing w:before="0" w:beforeAutospacing="0" w:after="0" w:afterAutospacing="0" w:line="360" w:lineRule="auto"/>
        <w:ind w:firstLine="420"/>
        <w:rPr>
          <w:sz w:val="21"/>
          <w:szCs w:val="21"/>
        </w:rPr>
      </w:pPr>
      <w:r>
        <w:rPr>
          <w:rFonts w:hint="eastAsia"/>
          <w:sz w:val="21"/>
          <w:szCs w:val="21"/>
        </w:rPr>
        <w:t xml:space="preserve">5、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pPr>
        <w:pStyle w:val="7"/>
        <w:spacing w:before="0" w:beforeAutospacing="0" w:after="0" w:afterAutospacing="0" w:line="360" w:lineRule="auto"/>
        <w:ind w:firstLine="420"/>
        <w:rPr>
          <w:sz w:val="21"/>
          <w:szCs w:val="21"/>
        </w:rPr>
      </w:pPr>
      <w:r>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pPr>
        <w:pStyle w:val="7"/>
        <w:spacing w:before="0" w:beforeAutospacing="0" w:after="0" w:afterAutospacing="0" w:line="360" w:lineRule="auto"/>
        <w:ind w:firstLine="420"/>
        <w:rPr>
          <w:sz w:val="21"/>
          <w:szCs w:val="21"/>
        </w:rPr>
      </w:pPr>
      <w:r>
        <w:rPr>
          <w:rFonts w:hint="eastAsia"/>
          <w:sz w:val="21"/>
          <w:szCs w:val="21"/>
        </w:rPr>
        <w:t xml:space="preserve">7、 由于不可抗力原因，或由于证券、期货交易所及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8、如果基金托管人的复核结果与基金管理人的计算结果存在差异，且双方经协商未能达成一致，基金管理人可以按照其对基金净值的计算结果对外予以公布，基金托管人可以将相关情况报中国证监会备案。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（二）基金会计核算 </w:t>
      </w:r>
    </w:p>
    <w:p>
      <w:pPr>
        <w:pStyle w:val="7"/>
        <w:spacing w:before="0" w:beforeAutospacing="0" w:after="0" w:afterAutospacing="0" w:line="360" w:lineRule="auto"/>
        <w:ind w:firstLine="420"/>
        <w:rPr>
          <w:sz w:val="21"/>
          <w:szCs w:val="21"/>
        </w:rPr>
      </w:pPr>
      <w:r>
        <w:rPr>
          <w:rFonts w:hint="eastAsia"/>
          <w:sz w:val="21"/>
          <w:szCs w:val="21"/>
        </w:rPr>
        <w:t xml:space="preserve">1、基金账册的建立 </w:t>
      </w:r>
    </w:p>
    <w:p>
      <w:pPr>
        <w:pStyle w:val="7"/>
        <w:spacing w:before="0" w:beforeAutospacing="0" w:after="0" w:afterAutospacing="0" w:line="360" w:lineRule="auto"/>
        <w:ind w:firstLine="420"/>
        <w:rPr>
          <w:sz w:val="21"/>
          <w:szCs w:val="21"/>
        </w:rPr>
      </w:pPr>
      <w:r>
        <w:rPr>
          <w:rFonts w:hint="eastAsia"/>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r>
        <w:rPr>
          <w:rFonts w:hint="eastAsia"/>
          <w:sz w:val="21"/>
          <w:szCs w:val="21"/>
        </w:rPr>
        <w:br w:type="textWrapping"/>
      </w:r>
      <w:r>
        <w:rPr>
          <w:rFonts w:hint="eastAsia"/>
          <w:sz w:val="21"/>
          <w:szCs w:val="21"/>
        </w:rPr>
        <w:t xml:space="preserve">    2、会计数据和财务指标的核对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基金管理人和基金托管人应定期就会计数据和财务指标进行核对。如发现存在不符，双方应及时查明原因并纠正。 </w:t>
      </w:r>
    </w:p>
    <w:p>
      <w:pPr>
        <w:pStyle w:val="7"/>
        <w:spacing w:before="0" w:beforeAutospacing="0" w:after="0" w:afterAutospacing="0" w:line="360" w:lineRule="auto"/>
        <w:ind w:firstLine="420"/>
        <w:rPr>
          <w:sz w:val="21"/>
          <w:szCs w:val="21"/>
        </w:rPr>
      </w:pPr>
      <w:r>
        <w:rPr>
          <w:rFonts w:hint="eastAsia"/>
          <w:sz w:val="21"/>
          <w:szCs w:val="21"/>
        </w:rPr>
        <w:t xml:space="preserve">3、基金财务报表和定期报告的编制和复核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pPr>
        <w:pStyle w:val="7"/>
        <w:spacing w:before="0" w:beforeAutospacing="0" w:after="0" w:afterAutospacing="0" w:line="360" w:lineRule="auto"/>
        <w:ind w:firstLine="420"/>
        <w:rPr>
          <w:sz w:val="21"/>
          <w:szCs w:val="21"/>
        </w:rPr>
      </w:pPr>
      <w:r>
        <w:rPr>
          <w:rFonts w:hint="eastAsia"/>
          <w:sz w:val="21"/>
          <w:szCs w:val="21"/>
        </w:rPr>
        <w:t xml:space="preserve">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（一）基金份额持有人名册的内容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基金份额持有人名册的内容包括但不限于基金份额持有人的名称和持有的基金份额。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基金份额持有人名册包括以下几类： </w:t>
      </w:r>
    </w:p>
    <w:p>
      <w:pPr>
        <w:pStyle w:val="7"/>
        <w:spacing w:before="0" w:beforeAutospacing="0" w:after="0" w:afterAutospacing="0" w:line="360" w:lineRule="auto"/>
        <w:ind w:firstLine="420"/>
        <w:rPr>
          <w:sz w:val="21"/>
          <w:szCs w:val="21"/>
        </w:rPr>
      </w:pPr>
      <w:r>
        <w:rPr>
          <w:rFonts w:hint="eastAsia"/>
          <w:sz w:val="21"/>
          <w:szCs w:val="21"/>
        </w:rPr>
        <w:t xml:space="preserve">1、基金募集期结束时的基金份额持有人名册；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2、基金权益登记日的基金份额持有人名册；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4、每半年度最后一个交易日的基金份额持有人名册。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（二）基金份额持有人名册的提供 </w:t>
      </w:r>
    </w:p>
    <w:p>
      <w:pPr>
        <w:pStyle w:val="7"/>
        <w:spacing w:before="0" w:beforeAutospacing="0" w:after="0" w:afterAutospacing="0" w:line="360" w:lineRule="auto"/>
        <w:ind w:firstLine="420"/>
        <w:rPr>
          <w:sz w:val="21"/>
          <w:szCs w:val="21"/>
        </w:rPr>
      </w:pPr>
      <w:r>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（三）基金份额持有人名册的保管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pPr>
        <w:pStyle w:val="7"/>
        <w:spacing w:before="0" w:beforeAutospacing="0" w:after="0" w:afterAutospacing="0" w:line="360" w:lineRule="auto"/>
        <w:ind w:firstLine="420"/>
        <w:rPr>
          <w:sz w:val="21"/>
          <w:szCs w:val="21"/>
        </w:rPr>
      </w:pPr>
      <w:r>
        <w:rPr>
          <w:rStyle w:val="11"/>
          <w:rFonts w:hint="eastAsia"/>
          <w:sz w:val="21"/>
          <w:szCs w:val="21"/>
        </w:rPr>
        <w:t>七、适用法律与争议解决方式</w:t>
      </w:r>
    </w:p>
    <w:p>
      <w:pPr>
        <w:pStyle w:val="7"/>
        <w:spacing w:before="0" w:beforeAutospacing="0" w:after="0" w:afterAutospacing="0" w:line="360" w:lineRule="auto"/>
        <w:ind w:firstLine="420"/>
        <w:rPr>
          <w:sz w:val="21"/>
          <w:szCs w:val="21"/>
        </w:rPr>
      </w:pPr>
      <w:r>
        <w:rPr>
          <w:rFonts w:hint="eastAsia"/>
          <w:sz w:val="21"/>
          <w:szCs w:val="21"/>
        </w:rPr>
        <w:t xml:space="preserve">（一）本协议适用中华人民共和国法律并从其解释。 </w:t>
      </w:r>
    </w:p>
    <w:p>
      <w:pPr>
        <w:pStyle w:val="7"/>
        <w:spacing w:before="0" w:beforeAutospacing="0" w:after="0" w:afterAutospacing="0" w:line="360" w:lineRule="auto"/>
        <w:ind w:firstLine="420"/>
        <w:rPr>
          <w:sz w:val="21"/>
          <w:szCs w:val="21"/>
        </w:rPr>
      </w:pPr>
      <w:r>
        <w:rPr>
          <w:rFonts w:hint="eastAsia"/>
          <w:sz w:val="21"/>
          <w:szCs w:val="21"/>
        </w:rPr>
        <w:t xml:space="preserve">（二）基金管理人与基金托管人之间因本协议产生的或与本协议有关的争议可通过友好协商解决。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Fonts w:hint="eastAsia"/>
          <w:sz w:val="21"/>
          <w:szCs w:val="21"/>
        </w:rPr>
        <w:t xml:space="preserve">（三）除争议所涉的内容之外，本协议的当事人仍应履行本协议的其他规定。 </w:t>
      </w:r>
    </w:p>
    <w:p>
      <w:pPr>
        <w:pStyle w:val="7"/>
        <w:spacing w:before="0" w:beforeAutospacing="0" w:after="0" w:afterAutospacing="0" w:line="360" w:lineRule="auto"/>
        <w:ind w:firstLine="420"/>
        <w:rPr>
          <w:sz w:val="21"/>
          <w:szCs w:val="21"/>
        </w:rPr>
      </w:pPr>
      <w:r>
        <w:rPr>
          <w:rStyle w:val="11"/>
          <w:rFonts w:hint="eastAsia"/>
          <w:sz w:val="21"/>
          <w:szCs w:val="21"/>
        </w:rPr>
        <w:t>八、托管协议的变更、终止与基金财产的清算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（一）托管协议的变更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（二）托管协议的终止 </w:t>
      </w:r>
    </w:p>
    <w:p>
      <w:pPr>
        <w:pStyle w:val="7"/>
        <w:spacing w:before="0" w:beforeAutospacing="0" w:after="0" w:afterAutospacing="0" w:line="360" w:lineRule="auto"/>
        <w:ind w:firstLine="420"/>
        <w:rPr>
          <w:sz w:val="21"/>
          <w:szCs w:val="21"/>
        </w:rPr>
      </w:pPr>
      <w:r>
        <w:rPr>
          <w:rFonts w:hint="eastAsia"/>
          <w:sz w:val="21"/>
          <w:szCs w:val="21"/>
        </w:rPr>
        <w:t xml:space="preserve">发生以下情况，本托管协议应当终止：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2、本基金更换基金托管人； </w:t>
      </w:r>
    </w:p>
    <w:p>
      <w:pPr>
        <w:pStyle w:val="7"/>
        <w:spacing w:before="0" w:beforeAutospacing="0" w:after="0" w:afterAutospacing="0" w:line="360" w:lineRule="auto"/>
        <w:ind w:firstLine="420"/>
        <w:rPr>
          <w:sz w:val="21"/>
          <w:szCs w:val="21"/>
        </w:rPr>
      </w:pPr>
      <w:r>
        <w:rPr>
          <w:rFonts w:hint="eastAsia"/>
          <w:sz w:val="21"/>
          <w:szCs w:val="21"/>
        </w:rPr>
        <w:t xml:space="preserve">3、本基金更换基金管理人； </w:t>
      </w:r>
    </w:p>
    <w:p>
      <w:pPr>
        <w:pStyle w:val="7"/>
        <w:spacing w:before="0" w:beforeAutospacing="0" w:after="0" w:afterAutospacing="0" w:line="360" w:lineRule="auto"/>
        <w:ind w:firstLine="420"/>
        <w:rPr>
          <w:sz w:val="21"/>
          <w:szCs w:val="21"/>
        </w:rPr>
      </w:pPr>
      <w:r>
        <w:rPr>
          <w:rFonts w:hint="eastAsia"/>
          <w:sz w:val="21"/>
          <w:szCs w:val="21"/>
        </w:rPr>
        <w:t xml:space="preserve">4、发生《基金法》、《运作办法》或其他法律法规规定的终止事项。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基金管理人和基金托管人应按照《基金合同》及有关法律法规的规定对本基金的财产进</w:t>
      </w:r>
      <w:bookmarkStart w:id="208" w:name="chapter_level1_22_72_section_1_end"/>
      <w:bookmarkEnd w:id="208"/>
      <w:r>
        <w:rPr>
          <w:rFonts w:hint="eastAsia"/>
          <w:sz w:val="21"/>
          <w:szCs w:val="21"/>
        </w:rPr>
        <w:t xml:space="preserve">行清算。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9" w:name="chapter_level1_23_75"/>
      <w:bookmarkStart w:id="210" w:name="_Toc113632948"/>
      <w:r>
        <w:rPr>
          <w:rFonts w:hint="eastAsia" w:ascii="宋体" w:hAnsi="宋体" w:eastAsia="宋体"/>
          <w:sz w:val="30"/>
        </w:rPr>
        <w:t>第二十部分  对基金份额持有人的服务</w:t>
      </w:r>
      <w:bookmarkEnd w:id="209"/>
      <w:bookmarkEnd w:id="210"/>
    </w:p>
    <w:p>
      <w:pPr>
        <w:pStyle w:val="7"/>
        <w:spacing w:before="0" w:beforeAutospacing="0" w:after="0" w:afterAutospacing="0" w:line="360" w:lineRule="auto"/>
        <w:ind w:firstLine="420"/>
        <w:rPr>
          <w:sz w:val="21"/>
          <w:szCs w:val="21"/>
        </w:rPr>
      </w:pPr>
      <w:bookmarkStart w:id="211" w:name="chapter_level1_23_75_section_1"/>
      <w:bookmarkEnd w:id="211"/>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和修改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一、基金份额持有人交易资料的寄送服务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2、电子对账单  </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r>
        <w:rPr>
          <w:rFonts w:hint="eastAsia"/>
          <w:sz w:val="21"/>
          <w:szCs w:val="21"/>
        </w:rPr>
        <w:t>基金管理人为投资者提供电子邮件方式的业务咨询、投诉受理、基金份额净值查询等服</w:t>
      </w:r>
      <w:bookmarkStart w:id="212" w:name="chapter_level1_23_75_section_1_end"/>
      <w:bookmarkEnd w:id="212"/>
      <w:r>
        <w:rPr>
          <w:rFonts w:hint="eastAsia"/>
          <w:sz w:val="21"/>
          <w:szCs w:val="21"/>
        </w:rPr>
        <w:t xml:space="preserve">务。 </w:t>
      </w:r>
    </w:p>
    <w:p>
      <w:pPr>
        <w:pStyle w:val="7"/>
        <w:spacing w:before="0" w:beforeAutospacing="0" w:after="0" w:afterAutospacing="0" w:line="360" w:lineRule="auto"/>
        <w:ind w:firstLine="420"/>
        <w:rPr>
          <w:sz w:val="21"/>
          <w:szCs w:val="21"/>
        </w:rPr>
      </w:pPr>
      <w:bookmarkStart w:id="213" w:name="chapter_level1_23_75_section_2"/>
      <w:bookmarkEnd w:id="213"/>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公司网址：www.bosera.com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14" w:name="chapter_level1_23_75_section_2_end"/>
      <w:bookmarkEnd w:id="214"/>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5" w:name="chapter_level1_24_3499"/>
      <w:bookmarkStart w:id="216" w:name="_Toc113632949"/>
      <w:r>
        <w:rPr>
          <w:rFonts w:hint="eastAsia" w:ascii="宋体" w:hAnsi="宋体" w:eastAsia="宋体"/>
          <w:sz w:val="30"/>
        </w:rPr>
        <w:t>第二十一部分 其他应披露的事项</w:t>
      </w:r>
      <w:bookmarkEnd w:id="215"/>
      <w:bookmarkEnd w:id="216"/>
    </w:p>
    <w:p>
      <w:pPr>
        <w:pStyle w:val="7"/>
        <w:spacing w:before="0" w:beforeAutospacing="0" w:after="0" w:afterAutospacing="0" w:line="360" w:lineRule="auto"/>
        <w:ind w:firstLine="420"/>
        <w:rPr>
          <w:sz w:val="21"/>
          <w:szCs w:val="21"/>
        </w:rPr>
      </w:pPr>
      <w:bookmarkStart w:id="217" w:name="field_0_bsrevealinfo_1_start"/>
      <w:bookmarkEnd w:id="217"/>
      <w:bookmarkStart w:id="218" w:name="chapter_level1_24_3499_section_1"/>
      <w:bookmarkEnd w:id="218"/>
      <w:r>
        <w:rPr>
          <w:rFonts w:hint="eastAsia"/>
          <w:sz w:val="21"/>
          <w:szCs w:val="21"/>
        </w:rPr>
        <w:t>（一）、 2022年08月31日，我公司公告了《博时新兴消费主题混合型证券投资基金2022年中期报告》；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新兴消费主题混合型证券投资基金（博时新兴消费主题混合A）基金产品资料概要更新》、《博时新兴消费主题混合型证券投资基金（博时新兴消费主题混合C）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2022年07月21日，我公司公告了《博时新兴消费主题混合型证券投资基金2022年第2季度报告》；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（十一）、 2022年04月22日，我公司公告了《博时新兴消费主题混合型证券投资基金2022年第1季度报告》；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（十二）、 2022年03月30日，我公司公告了《博时新兴消费主题混合型证券投资基金2021年年度报告》；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（十三）、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（十四）、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（十五）、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（十六）、 2022年01月24日，我公司公告了《博时新兴消费主题混合型证券投资基金2021年第4季度报告》；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（十七）、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（十八）、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（十九）、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（二十一）、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（二十二）、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（二十三）、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（二十四）、 2021年10月27日，我公司公告了《博时新兴消费主题混合型证券投资基金2021年第3季度报告》；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（二十五）、 2021年09月30日，我公司公告了《博时基金管理有限公司关于对投资者在直销网上交易申购、认购及定投基金实施费率优惠的公告》、《博时新兴消费主题混合型证券投资基金更新招募说明书》；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（二十六）、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（二十七）、 2021年08月31日，我公司公告了《博时新兴消费主题混合型证券投资基金2021年中期报告》。</w:t>
      </w:r>
      <w:bookmarkStart w:id="219" w:name="field_0_bsrevealinfo_1_end"/>
      <w:bookmarkEnd w:id="219"/>
      <w:r>
        <w:rPr>
          <w:rFonts w:hint="eastAsia"/>
          <w:sz w:val="21"/>
          <w:szCs w:val="21"/>
        </w:rPr>
        <w:t xml:space="preserve">  </w:t>
      </w:r>
    </w:p>
    <w:p>
      <w:pPr>
        <w:widowControl/>
        <w:jc w:val="left"/>
        <w:rPr>
          <w:rFonts w:ascii="宋体" w:hAnsi="宋体" w:eastAsia="宋体"/>
        </w:rPr>
      </w:pPr>
      <w:bookmarkStart w:id="220" w:name="chapter_level1_24_3499_section_1_end"/>
      <w:bookmarkEnd w:id="220"/>
      <w:r>
        <w:rPr>
          <w:rFonts w:ascii="宋体" w:hAnsi="宋体" w:eastAsia="宋体"/>
        </w:rPr>
        <w:br w:type="page"/>
      </w:r>
    </w:p>
    <w:p>
      <w:pPr>
        <w:pStyle w:val="2"/>
        <w:jc w:val="center"/>
        <w:rPr>
          <w:rFonts w:ascii="宋体" w:hAnsi="宋体" w:eastAsia="宋体"/>
          <w:sz w:val="30"/>
        </w:rPr>
      </w:pPr>
      <w:bookmarkStart w:id="221" w:name="_Toc113632950"/>
      <w:bookmarkStart w:id="222" w:name="chapter_level1_25_77"/>
      <w:r>
        <w:rPr>
          <w:rFonts w:hint="eastAsia" w:ascii="宋体" w:hAnsi="宋体" w:eastAsia="宋体"/>
          <w:sz w:val="30"/>
        </w:rPr>
        <w:t>第二十二部分  招募说明书存放及查阅方式</w:t>
      </w:r>
      <w:bookmarkEnd w:id="221"/>
      <w:bookmarkEnd w:id="222"/>
    </w:p>
    <w:p>
      <w:pPr>
        <w:pStyle w:val="7"/>
        <w:spacing w:before="0" w:beforeAutospacing="0" w:after="0" w:afterAutospacing="0" w:line="360" w:lineRule="auto"/>
        <w:ind w:firstLine="420"/>
        <w:rPr>
          <w:sz w:val="21"/>
          <w:szCs w:val="21"/>
        </w:rPr>
      </w:pPr>
      <w:bookmarkStart w:id="223" w:name="chapter_level1_25_77_section_1"/>
      <w:bookmarkEnd w:id="223"/>
      <w:r>
        <w:rPr>
          <w:rFonts w:hint="eastAsia"/>
          <w:sz w:val="21"/>
          <w:szCs w:val="21"/>
        </w:rPr>
        <w:t xml:space="preserve">依法必须披露的信息发布后，基金管理人、基金托管人应当按照相关法律法规规定将信息置备于公司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4" w:name="chapter_level1_25_77_section_1_end"/>
      <w:bookmarkEnd w:id="224"/>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5" w:name="chapter_level1_26_332"/>
      <w:bookmarkStart w:id="226" w:name="_Toc113632951"/>
      <w:r>
        <w:rPr>
          <w:rFonts w:hint="eastAsia" w:ascii="宋体" w:hAnsi="宋体" w:eastAsia="宋体"/>
          <w:sz w:val="30"/>
        </w:rPr>
        <w:t>第二十三部分  备查文件</w:t>
      </w:r>
      <w:bookmarkEnd w:id="225"/>
      <w:bookmarkEnd w:id="226"/>
    </w:p>
    <w:p>
      <w:pPr>
        <w:pStyle w:val="7"/>
        <w:spacing w:before="0" w:beforeAutospacing="0" w:after="0" w:afterAutospacing="0" w:line="360" w:lineRule="auto"/>
        <w:ind w:firstLine="420"/>
        <w:rPr>
          <w:sz w:val="21"/>
          <w:szCs w:val="21"/>
        </w:rPr>
      </w:pPr>
      <w:bookmarkStart w:id="227" w:name="chapter_level1_26_332_section_1"/>
      <w:bookmarkEnd w:id="227"/>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8" w:name="field_0_productfullname_11"/>
      <w:r>
        <w:rPr>
          <w:rFonts w:hint="eastAsia"/>
          <w:sz w:val="21"/>
          <w:szCs w:val="21"/>
        </w:rPr>
        <w:t>博时新兴消费主题混合型证券投资基金</w:t>
      </w:r>
      <w:bookmarkEnd w:id="228"/>
      <w:r>
        <w:rPr>
          <w:rFonts w:hint="eastAsia"/>
          <w:sz w:val="21"/>
          <w:szCs w:val="21"/>
        </w:rPr>
        <w:t xml:space="preserve">募集注册的文件 </w:t>
      </w:r>
    </w:p>
    <w:p>
      <w:pPr>
        <w:pStyle w:val="7"/>
        <w:spacing w:before="0" w:beforeAutospacing="0" w:after="0" w:afterAutospacing="0" w:line="360" w:lineRule="auto"/>
        <w:ind w:firstLine="420"/>
        <w:rPr>
          <w:sz w:val="21"/>
          <w:szCs w:val="21"/>
        </w:rPr>
      </w:pPr>
      <w:r>
        <w:rPr>
          <w:rFonts w:hint="eastAsia"/>
          <w:sz w:val="21"/>
          <w:szCs w:val="21"/>
        </w:rPr>
        <w:t>（二）《</w:t>
      </w:r>
      <w:bookmarkStart w:id="229" w:name="field_0_productfullname_12"/>
      <w:r>
        <w:rPr>
          <w:rFonts w:hint="eastAsia"/>
          <w:sz w:val="21"/>
          <w:szCs w:val="21"/>
        </w:rPr>
        <w:t>博时新兴消费主题混合型证券投资基金</w:t>
      </w:r>
      <w:bookmarkEnd w:id="229"/>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30" w:name="field_0_productfullname_13"/>
      <w:r>
        <w:rPr>
          <w:rFonts w:hint="eastAsia"/>
          <w:sz w:val="21"/>
          <w:szCs w:val="21"/>
        </w:rPr>
        <w:t>博时新兴消费主题混合型证券投资基金</w:t>
      </w:r>
      <w:bookmarkEnd w:id="230"/>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31" w:name="field_0_productfullname_14"/>
      <w:r>
        <w:rPr>
          <w:rFonts w:hint="eastAsia"/>
          <w:sz w:val="21"/>
          <w:szCs w:val="21"/>
        </w:rPr>
        <w:t>博时新兴消费主题混合型证券投资基金</w:t>
      </w:r>
      <w:bookmarkEnd w:id="231"/>
      <w:r>
        <w:rPr>
          <w:rFonts w:hint="eastAsia"/>
          <w:sz w:val="21"/>
          <w:szCs w:val="21"/>
        </w:rPr>
        <w:t xml:space="preserve">的法律意见书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32" w:name="field_0_managerorgfullname_9"/>
      <w:r>
        <w:rPr>
          <w:rFonts w:hint="eastAsia"/>
          <w:sz w:val="21"/>
          <w:szCs w:val="21"/>
        </w:rPr>
        <w:t>博时基金管理有限公司</w:t>
      </w:r>
      <w:bookmarkEnd w:id="232"/>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3" w:name="chapter_level1_26_332_section_1_end"/>
      <w:bookmarkEnd w:id="233"/>
      <w:bookmarkStart w:id="234"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34"/>
      <w:r>
        <w:rPr>
          <w:rFonts w:hint="eastAsia"/>
          <w:sz w:val="21"/>
          <w:szCs w:val="21"/>
        </w:rPr>
        <w:t xml:space="preserve">  </w:t>
      </w:r>
    </w:p>
    <w:p>
      <w:pPr>
        <w:rPr>
          <w:rFonts w:ascii="宋体" w:hAnsi="宋体" w:eastAsia="宋体"/>
        </w:rPr>
      </w:pPr>
      <w:bookmarkStart w:id="235" w:name="end"/>
      <w:bookmarkEnd w:id="235"/>
      <w:bookmarkStart w:id="236" w:name="_GoBack"/>
      <w:bookmarkEnd w:id="236"/>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144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博时新兴消费主题混合型证券投资基金更新招募说明书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71"/>
    <w:rsid w:val="00073E1B"/>
    <w:rsid w:val="001F589A"/>
    <w:rsid w:val="00362570"/>
    <w:rsid w:val="00432AB4"/>
    <w:rsid w:val="004F4490"/>
    <w:rsid w:val="00550A71"/>
    <w:rsid w:val="0057683C"/>
    <w:rsid w:val="00615B62"/>
    <w:rsid w:val="00A512E5"/>
    <w:rsid w:val="00A961DD"/>
    <w:rsid w:val="00AB22EB"/>
    <w:rsid w:val="00B638F9"/>
    <w:rsid w:val="00D66895"/>
    <w:rsid w:val="00D9709D"/>
    <w:rsid w:val="00E769BE"/>
    <w:rsid w:val="00E7724C"/>
    <w:rsid w:val="00F12E01"/>
    <w:rsid w:val="02D84BB7"/>
    <w:rsid w:val="0A823654"/>
    <w:rsid w:val="10911D8F"/>
    <w:rsid w:val="1A3B743B"/>
    <w:rsid w:val="3B0007F5"/>
    <w:rsid w:val="3DF717FC"/>
    <w:rsid w:val="496F0092"/>
    <w:rsid w:val="4AA05FF1"/>
    <w:rsid w:val="4B4F12C1"/>
    <w:rsid w:val="4CBF30BF"/>
    <w:rsid w:val="5DBF0AEF"/>
    <w:rsid w:val="61C131EE"/>
    <w:rsid w:val="691D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B2A1-09BC-4450-BB20-CBE90B88E37B}">
  <ds:schemaRefs/>
</ds:datastoreItem>
</file>

<file path=docProps/app.xml><?xml version="1.0" encoding="utf-8"?>
<Properties xmlns="http://schemas.openxmlformats.org/officeDocument/2006/extended-properties" xmlns:vt="http://schemas.openxmlformats.org/officeDocument/2006/docPropsVTypes">
  <Template>Normal.dotm</Template>
  <Company>mycompany</Company>
  <Pages>144</Pages>
  <Words>16771</Words>
  <Characters>95596</Characters>
  <Lines>796</Lines>
  <Paragraphs>224</Paragraphs>
  <TotalTime>16</TotalTime>
  <ScaleCrop>false</ScaleCrop>
  <LinksUpToDate>false</LinksUpToDate>
  <CharactersWithSpaces>112143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2022-09-09T08:21:00Z</dcterms:created>
  <dc:creator>BSKMadminDev</dc:creator>
  <cp:lastModifiedBy>Liwen Xiao</cp:lastModifiedBy>
  <dcterms:modified xsi:type="dcterms:W3CDTF">2023-07-08T14:06:22Z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C827B1A3B3D94008B0A4CC8A04F085C6</vt:lpwstr>
  </property>
</Properties>
</file>