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博时军工主题股票型证券投资基金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中国建设银行股份有限公司</w:t>
      </w:r>
      <w:r>
        <w:rPr>
          <w:rFonts w:ascii="宋体" w:hAnsi="宋体" w:eastAsia="宋体"/>
          <w:b/>
          <w:sz w:val="30"/>
        </w:rPr>
        <w:br w:type="page"/>
      </w:r>
    </w:p>
    <w:p>
      <w:pPr>
        <w:pStyle w:val="2"/>
        <w:jc w:val="center"/>
        <w:rPr>
          <w:rFonts w:ascii="宋体" w:hAnsi="宋体" w:eastAsia="宋体"/>
          <w:sz w:val="30"/>
        </w:rPr>
      </w:pPr>
      <w:bookmarkStart w:id="0" w:name="_Toc113560411"/>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 xml:space="preserve">1、本基金经中国证监会2015年09月11日证监许可[2015]2100号文准予注册募集。   </w:t>
      </w:r>
    </w:p>
    <w:p>
      <w:pPr>
        <w:pStyle w:val="7"/>
        <w:spacing w:before="0" w:beforeAutospacing="0" w:after="0" w:afterAutospacing="0" w:line="360" w:lineRule="auto"/>
        <w:ind w:firstLine="420"/>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投资价值和市场前景作出实质性判断或保证，也不表明投资于本基金没有风险。中国证监会不对基金的投资价值及市场前景等作出实质性判断或者保证。   </w:t>
      </w:r>
    </w:p>
    <w:p>
      <w:pPr>
        <w:pStyle w:val="7"/>
        <w:spacing w:before="0" w:beforeAutospacing="0" w:after="0" w:afterAutospacing="0" w:line="360" w:lineRule="auto"/>
        <w:ind w:firstLine="420"/>
        <w:rPr>
          <w:sz w:val="21"/>
          <w:szCs w:val="21"/>
        </w:rPr>
      </w:pPr>
      <w:r>
        <w:rPr>
          <w:rFonts w:hint="eastAsia"/>
          <w:sz w:val="21"/>
          <w:szCs w:val="21"/>
        </w:rPr>
        <w:t xml:space="preserve">3、投资有风险，投资者认购（或申购）基金份额时应认真阅读基金合同、本招募说明书、基金产品资料概要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pPr>
        <w:pStyle w:val="7"/>
        <w:spacing w:before="0" w:beforeAutospacing="0" w:after="0" w:afterAutospacing="0" w:line="360" w:lineRule="auto"/>
        <w:ind w:firstLine="420"/>
        <w:rPr>
          <w:sz w:val="21"/>
          <w:szCs w:val="21"/>
        </w:rPr>
      </w:pPr>
      <w:r>
        <w:rPr>
          <w:rFonts w:hint="eastAsia"/>
          <w:sz w:val="21"/>
          <w:szCs w:val="21"/>
        </w:rPr>
        <w:t xml:space="preserve">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含存托凭证）、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 xml:space="preserve">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5、本基金是股票型基金，其预期收益及风险水平高于货币市场基金、债券型基金与混合型基金，属于风险水平较高的基金。   </w:t>
      </w:r>
    </w:p>
    <w:p>
      <w:pPr>
        <w:pStyle w:val="7"/>
        <w:spacing w:before="0" w:beforeAutospacing="0" w:after="0" w:afterAutospacing="0" w:line="360" w:lineRule="auto"/>
        <w:ind w:firstLine="420"/>
        <w:rPr>
          <w:sz w:val="21"/>
          <w:szCs w:val="21"/>
        </w:rPr>
      </w:pPr>
      <w:r>
        <w:rPr>
          <w:rFonts w:hint="eastAsia"/>
          <w:sz w:val="21"/>
          <w:szCs w:val="21"/>
        </w:rPr>
        <w:t xml:space="preserve">6、本基金的投资范围主要为具有良好流动性的金融工具，包括国内依法发行上市的股票(包括中小板、创业板及其他经中国证监会核准上市的股票、存托凭证)、权证、股指期货等权益类金融工具，以及债券、资产支持证券等固定收益类金融工具及法律法规或中国证监会允许基金投资的其他金融工具(但须符合中国证监会的相关规定)。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本基金可参与融资业务。基金参与融资业务后，在任何交易日日终，基金持有的融资买入股票与其他有价证券市值之和，不得超过基金资产净值的95%。   </w:t>
      </w:r>
    </w:p>
    <w:p>
      <w:pPr>
        <w:pStyle w:val="7"/>
        <w:spacing w:before="0" w:beforeAutospacing="0" w:after="0" w:afterAutospacing="0" w:line="360" w:lineRule="auto"/>
        <w:ind w:firstLine="420"/>
        <w:rPr>
          <w:sz w:val="21"/>
          <w:szCs w:val="21"/>
        </w:rPr>
      </w:pPr>
      <w:r>
        <w:rPr>
          <w:rFonts w:hint="eastAsia"/>
          <w:sz w:val="21"/>
          <w:szCs w:val="21"/>
        </w:rPr>
        <w:t xml:space="preserve">7、投资组合比例为: 股票资产（含存托凭证）占基金资产的80%-95%，其中投资于本基金所界定的军工主题证券的比例不低于非现金产的80%；中小企业私募债占基金资产净值的比例不高于20%；每个交易日日终在扣除股指期货保证金以后，本基金保留的现金或者到期日在一年以内的政府债券不低于基金资产净值的5%，其中，现金不包括结算备付金、存出保证金、应收申购款等；权证投资占基金资产净值的0-3%。股指期货的投资比例依照法律法规或监管机构的规定执行。   </w:t>
      </w:r>
    </w:p>
    <w:p>
      <w:pPr>
        <w:pStyle w:val="7"/>
        <w:spacing w:before="0" w:beforeAutospacing="0" w:after="0" w:afterAutospacing="0" w:line="360" w:lineRule="auto"/>
        <w:ind w:firstLine="420"/>
        <w:rPr>
          <w:sz w:val="21"/>
          <w:szCs w:val="21"/>
        </w:rPr>
      </w:pPr>
      <w:r>
        <w:rPr>
          <w:rFonts w:hint="eastAsia"/>
          <w:sz w:val="21"/>
          <w:szCs w:val="21"/>
        </w:rPr>
        <w:t xml:space="preserve">如果法律法规或中国证监会变更投资品种的投资比例限制，基金管理人在履行适当程序后，可以调整上述投资品种的投资比例。   </w:t>
      </w:r>
    </w:p>
    <w:p>
      <w:pPr>
        <w:pStyle w:val="7"/>
        <w:spacing w:before="0" w:beforeAutospacing="0" w:after="0" w:afterAutospacing="0" w:line="360" w:lineRule="auto"/>
        <w:ind w:firstLine="420"/>
        <w:rPr>
          <w:sz w:val="21"/>
          <w:szCs w:val="21"/>
        </w:rPr>
      </w:pPr>
      <w:r>
        <w:rPr>
          <w:rFonts w:hint="eastAsia"/>
          <w:sz w:val="21"/>
          <w:szCs w:val="21"/>
        </w:rPr>
        <w:t xml:space="preserve">8、本基金初始募集面值为人民币1.00元。在市场波动因素影响下，本基金净值可能低于初始面值，本基金投资者有可能出现亏损。   </w:t>
      </w:r>
    </w:p>
    <w:p>
      <w:pPr>
        <w:pStyle w:val="7"/>
        <w:spacing w:before="0" w:beforeAutospacing="0" w:after="0" w:afterAutospacing="0" w:line="360" w:lineRule="auto"/>
        <w:ind w:firstLine="420"/>
        <w:rPr>
          <w:sz w:val="21"/>
          <w:szCs w:val="21"/>
        </w:rPr>
      </w:pPr>
      <w:r>
        <w:rPr>
          <w:rFonts w:hint="eastAsia"/>
          <w:sz w:val="21"/>
          <w:szCs w:val="21"/>
        </w:rPr>
        <w:t xml:space="preserve">9、基金的过往业绩并不预示其未来表现，基金管理人管理的其他基金的业绩也不构成对本基金业绩表现的保证。   </w:t>
      </w:r>
    </w:p>
    <w:p>
      <w:pPr>
        <w:pStyle w:val="7"/>
        <w:spacing w:before="0" w:beforeAutospacing="0" w:after="0" w:afterAutospacing="0" w:line="360" w:lineRule="auto"/>
        <w:ind w:firstLine="420"/>
        <w:rPr>
          <w:rFonts w:hint="eastAsia"/>
          <w:sz w:val="21"/>
          <w:szCs w:val="21"/>
        </w:rPr>
      </w:pPr>
      <w:r>
        <w:rPr>
          <w:rFonts w:hint="eastAsia"/>
          <w:sz w:val="21"/>
          <w:szCs w:val="21"/>
        </w:rPr>
        <w:t>10、基金管理人依照恪尽职守、诚实信用、谨慎勤勉的原则管理和运用基金财产，但不保证基金一定盈利，也不保证最低收益。</w:t>
      </w:r>
    </w:p>
    <w:p>
      <w:pPr>
        <w:pStyle w:val="7"/>
        <w:spacing w:before="0" w:beforeAutospacing="0" w:after="0" w:afterAutospacing="0" w:line="360" w:lineRule="auto"/>
        <w:ind w:firstLine="420"/>
        <w:rPr>
          <w:sz w:val="21"/>
          <w:szCs w:val="21"/>
        </w:rPr>
      </w:pPr>
      <w:r>
        <w:rPr>
          <w:rFonts w:hint="eastAsia"/>
          <w:sz w:val="21"/>
          <w:szCs w:val="21"/>
        </w:rPr>
        <w:t>11、本招募说明书（更新）所载内容截止日为</w:t>
      </w:r>
      <w:bookmarkStart w:id="1" w:name="field_2343_infoendday_1"/>
      <w:r>
        <w:rPr>
          <w:sz w:val="21"/>
          <w:szCs w:val="21"/>
        </w:rPr>
        <w:t>202</w:t>
      </w:r>
      <w:r>
        <w:rPr>
          <w:rFonts w:hint="eastAsia"/>
          <w:sz w:val="21"/>
          <w:szCs w:val="21"/>
          <w:lang w:val="en-US" w:eastAsia="zh-CN"/>
        </w:rPr>
        <w:t>3</w:t>
      </w:r>
      <w:r>
        <w:rPr>
          <w:sz w:val="21"/>
          <w:szCs w:val="21"/>
        </w:rPr>
        <w:t>年</w:t>
      </w:r>
      <w:r>
        <w:rPr>
          <w:rFonts w:hint="eastAsia"/>
          <w:sz w:val="21"/>
          <w:szCs w:val="21"/>
          <w:lang w:val="en-US" w:eastAsia="zh-CN"/>
        </w:rPr>
        <w:t>7</w:t>
      </w:r>
      <w:r>
        <w:rPr>
          <w:sz w:val="21"/>
          <w:szCs w:val="21"/>
        </w:rPr>
        <w:t>月</w:t>
      </w:r>
      <w:r>
        <w:rPr>
          <w:rFonts w:hint="eastAsia"/>
          <w:sz w:val="21"/>
          <w:szCs w:val="21"/>
          <w:lang w:val="en-US" w:eastAsia="zh-CN"/>
        </w:rPr>
        <w:t>8</w:t>
      </w:r>
      <w:r>
        <w:rPr>
          <w:sz w:val="21"/>
          <w:szCs w:val="21"/>
        </w:rPr>
        <w:t>日</w:t>
      </w:r>
      <w:bookmarkEnd w:id="1"/>
      <w:r>
        <w:rPr>
          <w:rFonts w:hint="eastAsia"/>
          <w:sz w:val="21"/>
          <w:szCs w:val="21"/>
        </w:rPr>
        <w:t>，有关财务数据和净值表现截止日为</w:t>
      </w:r>
      <w:bookmarkStart w:id="2" w:name="field_2343_financeendday_1"/>
      <w:r>
        <w:rPr>
          <w:sz w:val="21"/>
          <w:szCs w:val="21"/>
        </w:rPr>
        <w:t>2022年6月30日</w:t>
      </w:r>
      <w:bookmarkEnd w:id="2"/>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"_Toc113560411" </w:instrText>
      </w:r>
      <w:r>
        <w:fldChar w:fldCharType="separate"/>
      </w:r>
      <w:r>
        <w:rPr>
          <w:rStyle w:val="12"/>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_Toc113560411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"_Toc113560412" </w:instrText>
      </w:r>
      <w:r>
        <w:fldChar w:fldCharType="separate"/>
      </w:r>
      <w:r>
        <w:rPr>
          <w:rStyle w:val="12"/>
          <w:rFonts w:hint="eastAsia" w:ascii="宋体" w:hAnsi="宋体" w:eastAsia="宋体"/>
          <w:u w:val="none"/>
        </w:rPr>
        <w:t>第一部分</w:t>
      </w:r>
      <w:r>
        <w:rPr>
          <w:rStyle w:val="12"/>
          <w:rFonts w:ascii="宋体" w:hAnsi="宋体" w:eastAsia="宋体"/>
          <w:u w:val="none"/>
        </w:rPr>
        <w:t xml:space="preserve">  </w:t>
      </w:r>
      <w:r>
        <w:rPr>
          <w:rStyle w:val="12"/>
          <w:rFonts w:hint="eastAsia" w:ascii="宋体" w:hAnsi="宋体" w:eastAsia="宋体"/>
          <w:u w:val="none"/>
        </w:rPr>
        <w:t>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_Toc113560412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"_Toc113560413" </w:instrText>
      </w:r>
      <w:r>
        <w:fldChar w:fldCharType="separate"/>
      </w:r>
      <w:r>
        <w:rPr>
          <w:rStyle w:val="12"/>
          <w:rFonts w:hint="eastAsia" w:ascii="宋体" w:hAnsi="宋体" w:eastAsia="宋体"/>
          <w:u w:val="none"/>
        </w:rPr>
        <w:t>第二部分</w:t>
      </w:r>
      <w:r>
        <w:rPr>
          <w:rStyle w:val="12"/>
          <w:rFonts w:ascii="宋体" w:hAnsi="宋体" w:eastAsia="宋体"/>
          <w:u w:val="none"/>
        </w:rPr>
        <w:t xml:space="preserve">  </w:t>
      </w:r>
      <w:r>
        <w:rPr>
          <w:rStyle w:val="12"/>
          <w:rFonts w:hint="eastAsia" w:ascii="宋体" w:hAnsi="宋体" w:eastAsia="宋体"/>
          <w:u w:val="none"/>
        </w:rPr>
        <w:t>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_Toc113560413 \h </w:instrText>
      </w:r>
      <w:r>
        <w:rPr>
          <w:rFonts w:ascii="宋体" w:hAnsi="宋体" w:eastAsia="宋体"/>
        </w:rPr>
        <w:fldChar w:fldCharType="separate"/>
      </w:r>
      <w:r>
        <w:rPr>
          <w:rFonts w:ascii="宋体" w:hAnsi="宋体" w:eastAsia="宋体"/>
        </w:rPr>
        <w:t>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"_Toc113560414" </w:instrText>
      </w:r>
      <w:r>
        <w:fldChar w:fldCharType="separate"/>
      </w:r>
      <w:r>
        <w:rPr>
          <w:rStyle w:val="12"/>
          <w:rFonts w:hint="eastAsia" w:ascii="宋体" w:hAnsi="宋体" w:eastAsia="宋体"/>
          <w:u w:val="none"/>
        </w:rPr>
        <w:t>第三部分</w:t>
      </w:r>
      <w:r>
        <w:rPr>
          <w:rStyle w:val="12"/>
          <w:rFonts w:ascii="宋体" w:hAnsi="宋体" w:eastAsia="宋体"/>
          <w:u w:val="none"/>
        </w:rPr>
        <w:t xml:space="preserve">  </w:t>
      </w:r>
      <w:r>
        <w:rPr>
          <w:rStyle w:val="12"/>
          <w:rFonts w:hint="eastAsia" w:ascii="宋体" w:hAnsi="宋体" w:eastAsia="宋体"/>
          <w:u w:val="none"/>
        </w:rPr>
        <w:t>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_Toc113560414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"_Toc113560415" </w:instrText>
      </w:r>
      <w:r>
        <w:fldChar w:fldCharType="separate"/>
      </w:r>
      <w:r>
        <w:rPr>
          <w:rStyle w:val="12"/>
          <w:rFonts w:hint="eastAsia" w:ascii="宋体" w:hAnsi="宋体" w:eastAsia="宋体"/>
          <w:u w:val="none"/>
        </w:rPr>
        <w:t>第四部分</w:t>
      </w:r>
      <w:r>
        <w:rPr>
          <w:rStyle w:val="12"/>
          <w:rFonts w:ascii="宋体" w:hAnsi="宋体" w:eastAsia="宋体"/>
          <w:u w:val="none"/>
        </w:rPr>
        <w:t xml:space="preserve">  </w:t>
      </w:r>
      <w:r>
        <w:rPr>
          <w:rStyle w:val="12"/>
          <w:rFonts w:hint="eastAsia" w:ascii="宋体" w:hAnsi="宋体" w:eastAsia="宋体"/>
          <w:u w:val="none"/>
        </w:rPr>
        <w:t>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_Toc113560415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"_Toc113560416" </w:instrText>
      </w:r>
      <w:r>
        <w:fldChar w:fldCharType="separate"/>
      </w:r>
      <w:r>
        <w:rPr>
          <w:rStyle w:val="12"/>
          <w:rFonts w:hint="eastAsia" w:ascii="宋体" w:hAnsi="宋体" w:eastAsia="宋体"/>
          <w:u w:val="none"/>
        </w:rPr>
        <w:t>第五部分</w:t>
      </w:r>
      <w:r>
        <w:rPr>
          <w:rStyle w:val="12"/>
          <w:rFonts w:ascii="宋体" w:hAnsi="宋体" w:eastAsia="宋体"/>
          <w:u w:val="none"/>
        </w:rPr>
        <w:t xml:space="preserve">  </w:t>
      </w:r>
      <w:r>
        <w:rPr>
          <w:rStyle w:val="12"/>
          <w:rFonts w:hint="eastAsia" w:ascii="宋体" w:hAnsi="宋体" w:eastAsia="宋体"/>
          <w:u w:val="none"/>
        </w:rPr>
        <w:t>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_Toc113560416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"_Toc113560417" </w:instrText>
      </w:r>
      <w:r>
        <w:fldChar w:fldCharType="separate"/>
      </w:r>
      <w:r>
        <w:rPr>
          <w:rStyle w:val="12"/>
          <w:rFonts w:hint="eastAsia" w:ascii="宋体" w:hAnsi="宋体" w:eastAsia="宋体"/>
          <w:u w:val="none"/>
        </w:rPr>
        <w:t>第六部分</w:t>
      </w:r>
      <w:r>
        <w:rPr>
          <w:rStyle w:val="12"/>
          <w:rFonts w:ascii="宋体" w:hAnsi="宋体" w:eastAsia="宋体"/>
          <w:u w:val="none"/>
        </w:rPr>
        <w:t xml:space="preserve"> </w:t>
      </w:r>
      <w:r>
        <w:rPr>
          <w:rStyle w:val="12"/>
          <w:rFonts w:hint="eastAsia" w:ascii="宋体" w:hAnsi="宋体" w:eastAsia="宋体"/>
          <w:u w:val="none"/>
        </w:rPr>
        <w:t>基金的募集与基金合同的生效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_Toc113560417 \h </w:instrText>
      </w:r>
      <w:r>
        <w:rPr>
          <w:rFonts w:ascii="宋体" w:hAnsi="宋体" w:eastAsia="宋体"/>
        </w:rPr>
        <w:fldChar w:fldCharType="separate"/>
      </w:r>
      <w:r>
        <w:rPr>
          <w:rFonts w:ascii="宋体" w:hAnsi="宋体" w:eastAsia="宋体"/>
        </w:rPr>
        <w:t>64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"_Toc113560418" </w:instrText>
      </w:r>
      <w:r>
        <w:fldChar w:fldCharType="separate"/>
      </w:r>
      <w:r>
        <w:rPr>
          <w:rStyle w:val="12"/>
          <w:rFonts w:hint="eastAsia" w:ascii="宋体" w:hAnsi="宋体" w:eastAsia="宋体"/>
          <w:u w:val="none"/>
        </w:rPr>
        <w:t>第七部分</w:t>
      </w:r>
      <w:r>
        <w:rPr>
          <w:rStyle w:val="12"/>
          <w:rFonts w:ascii="宋体" w:hAnsi="宋体" w:eastAsia="宋体"/>
          <w:u w:val="none"/>
        </w:rPr>
        <w:t xml:space="preserve">  </w:t>
      </w:r>
      <w:r>
        <w:rPr>
          <w:rStyle w:val="12"/>
          <w:rFonts w:hint="eastAsia" w:ascii="宋体" w:hAnsi="宋体" w:eastAsia="宋体"/>
          <w:u w:val="none"/>
        </w:rPr>
        <w:t>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_Toc113560418 \h </w:instrText>
      </w:r>
      <w:r>
        <w:rPr>
          <w:rFonts w:ascii="宋体" w:hAnsi="宋体" w:eastAsia="宋体"/>
        </w:rPr>
        <w:fldChar w:fldCharType="separate"/>
      </w:r>
      <w:r>
        <w:rPr>
          <w:rFonts w:ascii="宋体" w:hAnsi="宋体" w:eastAsia="宋体"/>
        </w:rPr>
        <w:t>65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"_Toc113560419" </w:instrText>
      </w:r>
      <w:r>
        <w:fldChar w:fldCharType="separate"/>
      </w:r>
      <w:r>
        <w:rPr>
          <w:rStyle w:val="12"/>
          <w:rFonts w:hint="eastAsia" w:ascii="宋体" w:hAnsi="宋体" w:eastAsia="宋体"/>
          <w:u w:val="none"/>
        </w:rPr>
        <w:t>第八部分</w:t>
      </w:r>
      <w:r>
        <w:rPr>
          <w:rStyle w:val="12"/>
          <w:rFonts w:ascii="宋体" w:hAnsi="宋体" w:eastAsia="宋体"/>
          <w:u w:val="none"/>
        </w:rPr>
        <w:t xml:space="preserve">  </w:t>
      </w:r>
      <w:r>
        <w:rPr>
          <w:rStyle w:val="12"/>
          <w:rFonts w:hint="eastAsia" w:ascii="宋体" w:hAnsi="宋体" w:eastAsia="宋体"/>
          <w:u w:val="none"/>
        </w:rPr>
        <w:t>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_Toc113560419 \h </w:instrText>
      </w:r>
      <w:r>
        <w:rPr>
          <w:rFonts w:ascii="宋体" w:hAnsi="宋体" w:eastAsia="宋体"/>
        </w:rPr>
        <w:fldChar w:fldCharType="separate"/>
      </w:r>
      <w:r>
        <w:rPr>
          <w:rFonts w:ascii="宋体" w:hAnsi="宋体" w:eastAsia="宋体"/>
        </w:rPr>
        <w:t>77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"_Toc113560420" </w:instrText>
      </w:r>
      <w:r>
        <w:fldChar w:fldCharType="separate"/>
      </w:r>
      <w:r>
        <w:rPr>
          <w:rStyle w:val="12"/>
          <w:rFonts w:hint="eastAsia" w:ascii="宋体" w:hAnsi="宋体" w:eastAsia="宋体"/>
          <w:u w:val="none"/>
        </w:rPr>
        <w:t>第九部分</w:t>
      </w:r>
      <w:r>
        <w:rPr>
          <w:rStyle w:val="12"/>
          <w:rFonts w:ascii="宋体" w:hAnsi="宋体" w:eastAsia="宋体"/>
          <w:u w:val="none"/>
        </w:rPr>
        <w:t xml:space="preserve"> </w:t>
      </w:r>
      <w:r>
        <w:rPr>
          <w:rStyle w:val="12"/>
          <w:rFonts w:hint="eastAsia" w:ascii="宋体" w:hAnsi="宋体" w:eastAsia="宋体"/>
          <w:u w:val="none"/>
        </w:rPr>
        <w:t>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_Toc113560420 \h </w:instrText>
      </w:r>
      <w:r>
        <w:rPr>
          <w:rFonts w:ascii="宋体" w:hAnsi="宋体" w:eastAsia="宋体"/>
        </w:rPr>
        <w:fldChar w:fldCharType="separate"/>
      </w:r>
      <w:r>
        <w:rPr>
          <w:rFonts w:ascii="宋体" w:hAnsi="宋体" w:eastAsia="宋体"/>
        </w:rPr>
        <w:t>87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"_Toc113560421" </w:instrText>
      </w:r>
      <w:r>
        <w:fldChar w:fldCharType="separate"/>
      </w:r>
      <w:r>
        <w:rPr>
          <w:rStyle w:val="12"/>
          <w:rFonts w:hint="eastAsia" w:ascii="宋体" w:hAnsi="宋体" w:eastAsia="宋体"/>
          <w:u w:val="none"/>
        </w:rPr>
        <w:t>第十部分</w:t>
      </w:r>
      <w:r>
        <w:rPr>
          <w:rStyle w:val="12"/>
          <w:rFonts w:ascii="宋体" w:hAnsi="宋体" w:eastAsia="宋体"/>
          <w:u w:val="none"/>
        </w:rPr>
        <w:t xml:space="preserve">  </w:t>
      </w:r>
      <w:r>
        <w:rPr>
          <w:rStyle w:val="12"/>
          <w:rFonts w:hint="eastAsia" w:ascii="宋体" w:hAnsi="宋体" w:eastAsia="宋体"/>
          <w:u w:val="none"/>
        </w:rPr>
        <w:t>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_Toc113560421 \h </w:instrText>
      </w:r>
      <w:r>
        <w:rPr>
          <w:rFonts w:ascii="宋体" w:hAnsi="宋体" w:eastAsia="宋体"/>
        </w:rPr>
        <w:fldChar w:fldCharType="separate"/>
      </w:r>
      <w:r>
        <w:rPr>
          <w:rFonts w:ascii="宋体" w:hAnsi="宋体" w:eastAsia="宋体"/>
        </w:rPr>
        <w:t>88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"_Toc113560422" </w:instrText>
      </w:r>
      <w:r>
        <w:fldChar w:fldCharType="separate"/>
      </w:r>
      <w:r>
        <w:rPr>
          <w:rStyle w:val="12"/>
          <w:rFonts w:hint="eastAsia" w:ascii="宋体" w:hAnsi="宋体" w:eastAsia="宋体"/>
          <w:u w:val="none"/>
        </w:rPr>
        <w:t>第十一部分</w:t>
      </w:r>
      <w:r>
        <w:rPr>
          <w:rStyle w:val="12"/>
          <w:rFonts w:ascii="宋体" w:hAnsi="宋体" w:eastAsia="宋体"/>
          <w:u w:val="none"/>
        </w:rPr>
        <w:t xml:space="preserve">  </w:t>
      </w:r>
      <w:r>
        <w:rPr>
          <w:rStyle w:val="12"/>
          <w:rFonts w:hint="eastAsia" w:ascii="宋体" w:hAnsi="宋体" w:eastAsia="宋体"/>
          <w:u w:val="none"/>
        </w:rPr>
        <w:t>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_Toc113560422 \h </w:instrText>
      </w:r>
      <w:r>
        <w:rPr>
          <w:rFonts w:ascii="宋体" w:hAnsi="宋体" w:eastAsia="宋体"/>
        </w:rPr>
        <w:fldChar w:fldCharType="separate"/>
      </w:r>
      <w:r>
        <w:rPr>
          <w:rFonts w:ascii="宋体" w:hAnsi="宋体" w:eastAsia="宋体"/>
        </w:rPr>
        <w:t>89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"_Toc113560423" </w:instrText>
      </w:r>
      <w:r>
        <w:fldChar w:fldCharType="separate"/>
      </w:r>
      <w:r>
        <w:rPr>
          <w:rStyle w:val="12"/>
          <w:rFonts w:hint="eastAsia" w:ascii="宋体" w:hAnsi="宋体" w:eastAsia="宋体"/>
          <w:u w:val="none"/>
        </w:rPr>
        <w:t>第十二部分</w:t>
      </w:r>
      <w:r>
        <w:rPr>
          <w:rStyle w:val="12"/>
          <w:rFonts w:ascii="宋体" w:hAnsi="宋体" w:eastAsia="宋体"/>
          <w:u w:val="none"/>
        </w:rPr>
        <w:t xml:space="preserve">  </w:t>
      </w:r>
      <w:r>
        <w:rPr>
          <w:rStyle w:val="12"/>
          <w:rFonts w:hint="eastAsia" w:ascii="宋体" w:hAnsi="宋体" w:eastAsia="宋体"/>
          <w:u w:val="none"/>
        </w:rPr>
        <w:t>基金的收益分配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_Toc113560423 \h </w:instrText>
      </w:r>
      <w:r>
        <w:rPr>
          <w:rFonts w:ascii="宋体" w:hAnsi="宋体" w:eastAsia="宋体"/>
        </w:rPr>
        <w:fldChar w:fldCharType="separate"/>
      </w:r>
      <w:r>
        <w:rPr>
          <w:rFonts w:ascii="宋体" w:hAnsi="宋体" w:eastAsia="宋体"/>
        </w:rPr>
        <w:t>94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"_Toc113560424" </w:instrText>
      </w:r>
      <w:r>
        <w:fldChar w:fldCharType="separate"/>
      </w:r>
      <w:r>
        <w:rPr>
          <w:rStyle w:val="12"/>
          <w:rFonts w:hint="eastAsia" w:ascii="宋体" w:hAnsi="宋体" w:eastAsia="宋体"/>
          <w:u w:val="none"/>
        </w:rPr>
        <w:t>第十三部分</w:t>
      </w:r>
      <w:r>
        <w:rPr>
          <w:rStyle w:val="12"/>
          <w:rFonts w:ascii="宋体" w:hAnsi="宋体" w:eastAsia="宋体"/>
          <w:u w:val="none"/>
        </w:rPr>
        <w:t xml:space="preserve">  </w:t>
      </w:r>
      <w:r>
        <w:rPr>
          <w:rStyle w:val="12"/>
          <w:rFonts w:hint="eastAsia" w:ascii="宋体" w:hAnsi="宋体" w:eastAsia="宋体"/>
          <w:u w:val="none"/>
        </w:rPr>
        <w:t>基金的费用与税收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_Toc113560424 \h </w:instrText>
      </w:r>
      <w:r>
        <w:rPr>
          <w:rFonts w:ascii="宋体" w:hAnsi="宋体" w:eastAsia="宋体"/>
        </w:rPr>
        <w:fldChar w:fldCharType="separate"/>
      </w:r>
      <w:r>
        <w:rPr>
          <w:rFonts w:ascii="宋体" w:hAnsi="宋体" w:eastAsia="宋体"/>
        </w:rPr>
        <w:t>96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"_Toc113560425" </w:instrText>
      </w:r>
      <w:r>
        <w:fldChar w:fldCharType="separate"/>
      </w:r>
      <w:r>
        <w:rPr>
          <w:rStyle w:val="12"/>
          <w:rFonts w:hint="eastAsia" w:ascii="宋体" w:hAnsi="宋体" w:eastAsia="宋体"/>
          <w:u w:val="none"/>
        </w:rPr>
        <w:t>第十四部分</w:t>
      </w:r>
      <w:r>
        <w:rPr>
          <w:rStyle w:val="12"/>
          <w:rFonts w:ascii="宋体" w:hAnsi="宋体" w:eastAsia="宋体"/>
          <w:u w:val="none"/>
        </w:rPr>
        <w:t xml:space="preserve">  </w:t>
      </w:r>
      <w:r>
        <w:rPr>
          <w:rStyle w:val="12"/>
          <w:rFonts w:hint="eastAsia" w:ascii="宋体" w:hAnsi="宋体" w:eastAsia="宋体"/>
          <w:u w:val="none"/>
        </w:rPr>
        <w:t>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_Toc113560425 \h </w:instrText>
      </w:r>
      <w:r>
        <w:rPr>
          <w:rFonts w:ascii="宋体" w:hAnsi="宋体" w:eastAsia="宋体"/>
        </w:rPr>
        <w:fldChar w:fldCharType="separate"/>
      </w:r>
      <w:r>
        <w:rPr>
          <w:rFonts w:ascii="宋体" w:hAnsi="宋体" w:eastAsia="宋体"/>
        </w:rPr>
        <w:t>98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"_Toc113560426" </w:instrText>
      </w:r>
      <w:r>
        <w:fldChar w:fldCharType="separate"/>
      </w:r>
      <w:r>
        <w:rPr>
          <w:rStyle w:val="12"/>
          <w:rFonts w:hint="eastAsia" w:ascii="宋体" w:hAnsi="宋体" w:eastAsia="宋体"/>
          <w:u w:val="none"/>
        </w:rPr>
        <w:t>第十五部分</w:t>
      </w:r>
      <w:r>
        <w:rPr>
          <w:rStyle w:val="12"/>
          <w:rFonts w:ascii="宋体" w:hAnsi="宋体" w:eastAsia="宋体"/>
          <w:u w:val="none"/>
        </w:rPr>
        <w:t xml:space="preserve">  </w:t>
      </w:r>
      <w:r>
        <w:rPr>
          <w:rStyle w:val="12"/>
          <w:rFonts w:hint="eastAsia" w:ascii="宋体" w:hAnsi="宋体" w:eastAsia="宋体"/>
          <w:u w:val="none"/>
        </w:rPr>
        <w:t>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_Toc113560426 \h </w:instrText>
      </w:r>
      <w:r>
        <w:rPr>
          <w:rFonts w:ascii="宋体" w:hAnsi="宋体" w:eastAsia="宋体"/>
        </w:rPr>
        <w:fldChar w:fldCharType="separate"/>
      </w:r>
      <w:r>
        <w:rPr>
          <w:rFonts w:ascii="宋体" w:hAnsi="宋体" w:eastAsia="宋体"/>
        </w:rPr>
        <w:t>99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"_Toc113560427" </w:instrText>
      </w:r>
      <w:r>
        <w:fldChar w:fldCharType="separate"/>
      </w:r>
      <w:r>
        <w:rPr>
          <w:rStyle w:val="12"/>
          <w:rFonts w:hint="eastAsia" w:ascii="宋体" w:hAnsi="宋体" w:eastAsia="宋体"/>
          <w:u w:val="none"/>
        </w:rPr>
        <w:t>第十六部分</w:t>
      </w:r>
      <w:r>
        <w:rPr>
          <w:rStyle w:val="12"/>
          <w:rFonts w:ascii="宋体" w:hAnsi="宋体" w:eastAsia="宋体"/>
          <w:u w:val="none"/>
        </w:rPr>
        <w:t xml:space="preserve">  </w:t>
      </w:r>
      <w:r>
        <w:rPr>
          <w:rStyle w:val="12"/>
          <w:rFonts w:hint="eastAsia" w:ascii="宋体" w:hAnsi="宋体" w:eastAsia="宋体"/>
          <w:u w:val="none"/>
        </w:rPr>
        <w:t>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_Toc113560427 \h </w:instrText>
      </w:r>
      <w:r>
        <w:rPr>
          <w:rFonts w:ascii="宋体" w:hAnsi="宋体" w:eastAsia="宋体"/>
        </w:rPr>
        <w:fldChar w:fldCharType="separate"/>
      </w:r>
      <w:r>
        <w:rPr>
          <w:rFonts w:ascii="宋体" w:hAnsi="宋体" w:eastAsia="宋体"/>
        </w:rPr>
        <w:t>105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"_Toc113560428" </w:instrText>
      </w:r>
      <w:r>
        <w:fldChar w:fldCharType="separate"/>
      </w:r>
      <w:r>
        <w:rPr>
          <w:rStyle w:val="12"/>
          <w:rFonts w:hint="eastAsia" w:ascii="宋体" w:hAnsi="宋体" w:eastAsia="宋体"/>
          <w:u w:val="none"/>
        </w:rPr>
        <w:t>第十七部分</w:t>
      </w:r>
      <w:r>
        <w:rPr>
          <w:rStyle w:val="12"/>
          <w:rFonts w:ascii="宋体" w:hAnsi="宋体" w:eastAsia="宋体"/>
          <w:u w:val="none"/>
        </w:rPr>
        <w:t xml:space="preserve">  </w:t>
      </w:r>
      <w:r>
        <w:rPr>
          <w:rStyle w:val="12"/>
          <w:rFonts w:hint="eastAsia" w:ascii="宋体" w:hAnsi="宋体" w:eastAsia="宋体"/>
          <w:u w:val="none"/>
        </w:rPr>
        <w:t>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_Toc113560428 \h </w:instrText>
      </w:r>
      <w:r>
        <w:rPr>
          <w:rFonts w:ascii="宋体" w:hAnsi="宋体" w:eastAsia="宋体"/>
        </w:rPr>
        <w:fldChar w:fldCharType="separate"/>
      </w:r>
      <w:r>
        <w:rPr>
          <w:rFonts w:ascii="宋体" w:hAnsi="宋体" w:eastAsia="宋体"/>
        </w:rPr>
        <w:t>109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"_Toc113560429" </w:instrText>
      </w:r>
      <w:r>
        <w:fldChar w:fldCharType="separate"/>
      </w:r>
      <w:r>
        <w:rPr>
          <w:rStyle w:val="12"/>
          <w:rFonts w:hint="eastAsia" w:ascii="宋体" w:hAnsi="宋体" w:eastAsia="宋体"/>
          <w:u w:val="none"/>
        </w:rPr>
        <w:t>第十八部分</w:t>
      </w:r>
      <w:r>
        <w:rPr>
          <w:rStyle w:val="12"/>
          <w:rFonts w:ascii="宋体" w:hAnsi="宋体" w:eastAsia="宋体"/>
          <w:u w:val="none"/>
        </w:rPr>
        <w:t xml:space="preserve">  </w:t>
      </w:r>
      <w:r>
        <w:rPr>
          <w:rStyle w:val="12"/>
          <w:rFonts w:hint="eastAsia" w:ascii="宋体" w:hAnsi="宋体" w:eastAsia="宋体"/>
          <w:u w:val="none"/>
        </w:rPr>
        <w:t>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_Toc113560429 \h </w:instrText>
      </w:r>
      <w:r>
        <w:rPr>
          <w:rFonts w:ascii="宋体" w:hAnsi="宋体" w:eastAsia="宋体"/>
        </w:rPr>
        <w:fldChar w:fldCharType="separate"/>
      </w:r>
      <w:r>
        <w:rPr>
          <w:rFonts w:ascii="宋体" w:hAnsi="宋体" w:eastAsia="宋体"/>
        </w:rPr>
        <w:t>111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"_Toc113560430" </w:instrText>
      </w:r>
      <w:r>
        <w:fldChar w:fldCharType="separate"/>
      </w:r>
      <w:r>
        <w:rPr>
          <w:rStyle w:val="12"/>
          <w:rFonts w:hint="eastAsia" w:ascii="宋体" w:hAnsi="宋体" w:eastAsia="宋体"/>
          <w:u w:val="none"/>
        </w:rPr>
        <w:t>第十九部分</w:t>
      </w:r>
      <w:r>
        <w:rPr>
          <w:rStyle w:val="12"/>
          <w:rFonts w:ascii="宋体" w:hAnsi="宋体" w:eastAsia="宋体"/>
          <w:u w:val="none"/>
        </w:rPr>
        <w:t xml:space="preserve">  </w:t>
      </w:r>
      <w:r>
        <w:rPr>
          <w:rStyle w:val="12"/>
          <w:rFonts w:hint="eastAsia" w:ascii="宋体" w:hAnsi="宋体" w:eastAsia="宋体"/>
          <w:u w:val="none"/>
        </w:rPr>
        <w:t>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_Toc113560430 \h </w:instrText>
      </w:r>
      <w:r>
        <w:rPr>
          <w:rFonts w:ascii="宋体" w:hAnsi="宋体" w:eastAsia="宋体"/>
        </w:rPr>
        <w:fldChar w:fldCharType="separate"/>
      </w:r>
      <w:r>
        <w:rPr>
          <w:rFonts w:ascii="宋体" w:hAnsi="宋体" w:eastAsia="宋体"/>
        </w:rPr>
        <w:t>126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"_Toc113560431" </w:instrText>
      </w:r>
      <w:r>
        <w:fldChar w:fldCharType="separate"/>
      </w:r>
      <w:r>
        <w:rPr>
          <w:rStyle w:val="12"/>
          <w:rFonts w:hint="eastAsia" w:ascii="宋体" w:hAnsi="宋体" w:eastAsia="宋体"/>
          <w:u w:val="none"/>
        </w:rPr>
        <w:t>第二十部分</w:t>
      </w:r>
      <w:r>
        <w:rPr>
          <w:rStyle w:val="12"/>
          <w:rFonts w:ascii="宋体" w:hAnsi="宋体" w:eastAsia="宋体"/>
          <w:u w:val="none"/>
        </w:rPr>
        <w:t xml:space="preserve">  </w:t>
      </w:r>
      <w:r>
        <w:rPr>
          <w:rStyle w:val="12"/>
          <w:rFonts w:hint="eastAsia" w:ascii="宋体" w:hAnsi="宋体" w:eastAsia="宋体"/>
          <w:u w:val="none"/>
        </w:rPr>
        <w:t>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_Toc113560431 \h </w:instrText>
      </w:r>
      <w:r>
        <w:rPr>
          <w:rFonts w:ascii="宋体" w:hAnsi="宋体" w:eastAsia="宋体"/>
        </w:rPr>
        <w:fldChar w:fldCharType="separate"/>
      </w:r>
      <w:r>
        <w:rPr>
          <w:rFonts w:ascii="宋体" w:hAnsi="宋体" w:eastAsia="宋体"/>
        </w:rPr>
        <w:t>143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"_Toc113560432" </w:instrText>
      </w:r>
      <w:r>
        <w:fldChar w:fldCharType="separate"/>
      </w:r>
      <w:r>
        <w:rPr>
          <w:rStyle w:val="12"/>
          <w:rFonts w:hint="eastAsia" w:ascii="宋体" w:hAnsi="宋体" w:eastAsia="宋体"/>
          <w:u w:val="none"/>
        </w:rPr>
        <w:t>第二十一部分</w:t>
      </w:r>
      <w:r>
        <w:rPr>
          <w:rStyle w:val="12"/>
          <w:rFonts w:ascii="宋体" w:hAnsi="宋体" w:eastAsia="宋体"/>
          <w:u w:val="none"/>
        </w:rPr>
        <w:t xml:space="preserve"> </w:t>
      </w:r>
      <w:r>
        <w:rPr>
          <w:rStyle w:val="12"/>
          <w:rFonts w:hint="eastAsia" w:ascii="宋体" w:hAnsi="宋体" w:eastAsia="宋体"/>
          <w:u w:val="none"/>
        </w:rPr>
        <w:t>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_Toc113560432 \h </w:instrText>
      </w:r>
      <w:r>
        <w:rPr>
          <w:rFonts w:ascii="宋体" w:hAnsi="宋体" w:eastAsia="宋体"/>
        </w:rPr>
        <w:fldChar w:fldCharType="separate"/>
      </w:r>
      <w:r>
        <w:rPr>
          <w:rFonts w:ascii="宋体" w:hAnsi="宋体" w:eastAsia="宋体"/>
        </w:rPr>
        <w:t>146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"_Toc113560433" </w:instrText>
      </w:r>
      <w:r>
        <w:fldChar w:fldCharType="separate"/>
      </w:r>
      <w:r>
        <w:rPr>
          <w:rStyle w:val="12"/>
          <w:rFonts w:hint="eastAsia" w:ascii="宋体" w:hAnsi="宋体" w:eastAsia="宋体"/>
          <w:u w:val="none"/>
        </w:rPr>
        <w:t>第二十二部分</w:t>
      </w:r>
      <w:r>
        <w:rPr>
          <w:rStyle w:val="12"/>
          <w:rFonts w:ascii="宋体" w:hAnsi="宋体" w:eastAsia="宋体"/>
          <w:u w:val="none"/>
        </w:rPr>
        <w:t xml:space="preserve">  </w:t>
      </w:r>
      <w:r>
        <w:rPr>
          <w:rStyle w:val="12"/>
          <w:rFonts w:hint="eastAsia" w:ascii="宋体" w:hAnsi="宋体" w:eastAsia="宋体"/>
          <w:u w:val="none"/>
        </w:rPr>
        <w:t>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_Toc113560433 \h </w:instrText>
      </w:r>
      <w:r>
        <w:rPr>
          <w:rFonts w:ascii="宋体" w:hAnsi="宋体" w:eastAsia="宋体"/>
        </w:rPr>
        <w:fldChar w:fldCharType="separate"/>
      </w:r>
      <w:r>
        <w:rPr>
          <w:rFonts w:ascii="宋体" w:hAnsi="宋体" w:eastAsia="宋体"/>
        </w:rPr>
        <w:t>149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"_Toc113560434" </w:instrText>
      </w:r>
      <w:r>
        <w:fldChar w:fldCharType="separate"/>
      </w:r>
      <w:r>
        <w:rPr>
          <w:rStyle w:val="12"/>
          <w:rFonts w:hint="eastAsia" w:ascii="宋体" w:hAnsi="宋体" w:eastAsia="宋体"/>
          <w:u w:val="none"/>
        </w:rPr>
        <w:t>第二十三部分</w:t>
      </w:r>
      <w:r>
        <w:rPr>
          <w:rStyle w:val="12"/>
          <w:rFonts w:ascii="宋体" w:hAnsi="宋体" w:eastAsia="宋体"/>
          <w:u w:val="none"/>
        </w:rPr>
        <w:t xml:space="preserve">  </w:t>
      </w:r>
      <w:r>
        <w:rPr>
          <w:rStyle w:val="12"/>
          <w:rFonts w:hint="eastAsia" w:ascii="宋体" w:hAnsi="宋体" w:eastAsia="宋体"/>
          <w:u w:val="none"/>
        </w:rPr>
        <w:t>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_Toc113560434 \h </w:instrText>
      </w:r>
      <w:r>
        <w:rPr>
          <w:rFonts w:ascii="宋体" w:hAnsi="宋体" w:eastAsia="宋体"/>
        </w:rPr>
        <w:fldChar w:fldCharType="separate"/>
      </w:r>
      <w:r>
        <w:rPr>
          <w:rFonts w:ascii="宋体" w:hAnsi="宋体" w:eastAsia="宋体"/>
        </w:rPr>
        <w:t>150</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 w:name="chapter_level1_3_2344"/>
      <w:bookmarkStart w:id="4" w:name="_Toc113560412"/>
      <w:r>
        <w:rPr>
          <w:rFonts w:hint="eastAsia" w:ascii="宋体" w:hAnsi="宋体" w:eastAsia="宋体"/>
          <w:sz w:val="30"/>
        </w:rPr>
        <w:t>第一部分  绪言</w:t>
      </w:r>
      <w:bookmarkEnd w:id="3"/>
      <w:bookmarkEnd w:id="4"/>
    </w:p>
    <w:p>
      <w:pPr>
        <w:pStyle w:val="7"/>
        <w:spacing w:before="0" w:beforeAutospacing="0" w:after="0" w:afterAutospacing="0" w:line="360" w:lineRule="auto"/>
        <w:ind w:firstLine="420"/>
        <w:rPr>
          <w:sz w:val="21"/>
          <w:szCs w:val="21"/>
        </w:rPr>
      </w:pPr>
      <w:bookmarkStart w:id="5" w:name="chapter_level1_3_2344_section_1"/>
      <w:bookmarkEnd w:id="5"/>
      <w:r>
        <w:rPr>
          <w:rFonts w:hint="eastAsia"/>
          <w:sz w:val="21"/>
          <w:szCs w:val="21"/>
        </w:rPr>
        <w:t>《</w:t>
      </w:r>
      <w:bookmarkStart w:id="6" w:name="field_0_productfullname_1"/>
      <w:r>
        <w:rPr>
          <w:rFonts w:hint="eastAsia"/>
          <w:sz w:val="21"/>
          <w:szCs w:val="21"/>
        </w:rPr>
        <w:t>博时军工主题股票型证券投资基金</w:t>
      </w:r>
      <w:bookmarkEnd w:id="6"/>
      <w:r>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以及《</w:t>
      </w:r>
      <w:bookmarkStart w:id="7" w:name="field_0_productfullname_2"/>
      <w:r>
        <w:rPr>
          <w:rFonts w:hint="eastAsia"/>
          <w:sz w:val="21"/>
          <w:szCs w:val="21"/>
        </w:rPr>
        <w:t>博时军工主题股票型证券投资基金</w:t>
      </w:r>
      <w:bookmarkEnd w:id="7"/>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本招募说明书阐述了</w:t>
      </w:r>
      <w:bookmarkStart w:id="8" w:name="field_0_productfullname_3"/>
      <w:r>
        <w:rPr>
          <w:rFonts w:hint="eastAsia"/>
          <w:sz w:val="21"/>
          <w:szCs w:val="21"/>
        </w:rPr>
        <w:t>博时军工主题股票型证券投资基金</w:t>
      </w:r>
      <w:bookmarkEnd w:id="8"/>
      <w:r>
        <w:rPr>
          <w:rFonts w:hint="eastAsia"/>
          <w:sz w:val="21"/>
          <w:szCs w:val="21"/>
        </w:rPr>
        <w:t xml:space="preserve">的投资目标、策略、风险、费率等与投资人投资决策有关的必要事项，投资人在作出投资决策前应仔细阅读本招募说明书。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基金管理人承诺本招募说明书不存在任何虚假记载、误导性陈述或重大遗漏，并对其真实性、准确性、完整性承担法律责任。 </w:t>
      </w:r>
    </w:p>
    <w:p>
      <w:pPr>
        <w:pStyle w:val="7"/>
        <w:spacing w:before="0" w:beforeAutospacing="0" w:after="0" w:afterAutospacing="0" w:line="360" w:lineRule="auto"/>
        <w:ind w:firstLine="420"/>
        <w:rPr>
          <w:sz w:val="21"/>
          <w:szCs w:val="21"/>
        </w:rPr>
      </w:pPr>
      <w:bookmarkStart w:id="9" w:name="field_0_productfullname_4"/>
      <w:r>
        <w:rPr>
          <w:rFonts w:hint="eastAsia"/>
          <w:sz w:val="21"/>
          <w:szCs w:val="21"/>
        </w:rPr>
        <w:t>博时军工主题股票型证券投资基金</w:t>
      </w:r>
      <w:bookmarkEnd w:id="9"/>
      <w:r>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券监督管理委员会（以下简称“中国证监会”）注册。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w:t>
      </w:r>
      <w:bookmarkStart w:id="10" w:name="chapter_level1_3_2344_section_1_end"/>
      <w:bookmarkEnd w:id="10"/>
      <w:r>
        <w:rPr>
          <w:rFonts w:hint="eastAsia"/>
          <w:sz w:val="21"/>
          <w:szCs w:val="21"/>
        </w:rPr>
        <w:t xml:space="preserve">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 w:name="_Toc113560413"/>
      <w:bookmarkStart w:id="12" w:name="chapter_level1_4_49"/>
      <w:r>
        <w:rPr>
          <w:rFonts w:hint="eastAsia" w:ascii="宋体" w:hAnsi="宋体" w:eastAsia="宋体"/>
          <w:sz w:val="30"/>
        </w:rPr>
        <w:t>第二部分  释义</w:t>
      </w:r>
      <w:bookmarkEnd w:id="11"/>
      <w:bookmarkEnd w:id="12"/>
    </w:p>
    <w:p>
      <w:pPr>
        <w:pStyle w:val="7"/>
        <w:spacing w:before="0" w:beforeAutospacing="0" w:after="0" w:afterAutospacing="0" w:line="360" w:lineRule="auto"/>
        <w:ind w:firstLine="420"/>
        <w:rPr>
          <w:sz w:val="21"/>
          <w:szCs w:val="21"/>
        </w:rPr>
      </w:pPr>
      <w:bookmarkStart w:id="13" w:name="chapter_level1_4_49_section_1"/>
      <w:bookmarkEnd w:id="13"/>
      <w:r>
        <w:rPr>
          <w:rFonts w:hint="eastAsia"/>
          <w:sz w:val="21"/>
          <w:szCs w:val="21"/>
        </w:rPr>
        <w:t xml:space="preserve">在本招募说明书中，除非文意另有所指，下列词语或简称具有如下含义：  </w:t>
      </w:r>
    </w:p>
    <w:p>
      <w:pPr>
        <w:pStyle w:val="7"/>
        <w:spacing w:before="0" w:beforeAutospacing="0" w:after="0" w:afterAutospacing="0" w:line="360" w:lineRule="auto"/>
        <w:ind w:firstLine="420"/>
        <w:rPr>
          <w:sz w:val="21"/>
          <w:szCs w:val="21"/>
        </w:rPr>
      </w:pPr>
      <w:r>
        <w:rPr>
          <w:rFonts w:hint="eastAsia"/>
          <w:sz w:val="21"/>
          <w:szCs w:val="21"/>
        </w:rPr>
        <w:t>1、基金或本基金：指</w:t>
      </w:r>
      <w:bookmarkStart w:id="14" w:name="field_0_productfullname_5"/>
      <w:r>
        <w:rPr>
          <w:rFonts w:hint="eastAsia"/>
          <w:sz w:val="21"/>
          <w:szCs w:val="21"/>
        </w:rPr>
        <w:t>博时军工主题股票型证券投资基金</w:t>
      </w:r>
      <w:bookmarkEnd w:id="14"/>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2、基金管理人：指</w:t>
      </w:r>
      <w:bookmarkStart w:id="15" w:name="field_0_managerorgfullname_1"/>
      <w:r>
        <w:rPr>
          <w:rFonts w:hint="eastAsia"/>
          <w:sz w:val="21"/>
          <w:szCs w:val="21"/>
        </w:rPr>
        <w:t>博时基金管理有限公司</w:t>
      </w:r>
      <w:bookmarkEnd w:id="1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3、基金托管人：指</w:t>
      </w:r>
      <w:bookmarkStart w:id="16" w:name="field_0_trustorgfullname_1"/>
      <w:r>
        <w:rPr>
          <w:rFonts w:hint="eastAsia"/>
          <w:sz w:val="21"/>
          <w:szCs w:val="21"/>
        </w:rPr>
        <w:t>中国建设银行股份有限公司</w:t>
      </w:r>
      <w:bookmarkEnd w:id="1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4、基金合同：指《</w:t>
      </w:r>
      <w:bookmarkStart w:id="17" w:name="field_0_productfullname_6"/>
      <w:r>
        <w:rPr>
          <w:rFonts w:hint="eastAsia"/>
          <w:sz w:val="21"/>
          <w:szCs w:val="21"/>
        </w:rPr>
        <w:t>博时军工主题股票型证券投资基金</w:t>
      </w:r>
      <w:bookmarkEnd w:id="17"/>
      <w:r>
        <w:rPr>
          <w:rFonts w:hint="eastAsia"/>
          <w:sz w:val="21"/>
          <w:szCs w:val="21"/>
        </w:rPr>
        <w:t xml:space="preserve">基金合同》及对基金合同的任何有效修订和补充 </w:t>
      </w:r>
    </w:p>
    <w:p>
      <w:pPr>
        <w:pStyle w:val="7"/>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18" w:name="field_0_productfullname_7"/>
      <w:r>
        <w:rPr>
          <w:rFonts w:hint="eastAsia"/>
          <w:sz w:val="21"/>
          <w:szCs w:val="21"/>
        </w:rPr>
        <w:t>博时军工主题股票型证券投资基金</w:t>
      </w:r>
      <w:bookmarkEnd w:id="18"/>
      <w:r>
        <w:rPr>
          <w:rFonts w:hint="eastAsia"/>
          <w:sz w:val="21"/>
          <w:szCs w:val="21"/>
        </w:rPr>
        <w:t xml:space="preserve">托管协议》及对该托管协议的任何有效修订和补充 </w:t>
      </w:r>
    </w:p>
    <w:p>
      <w:pPr>
        <w:pStyle w:val="7"/>
        <w:spacing w:before="0" w:beforeAutospacing="0" w:after="0" w:afterAutospacing="0" w:line="360" w:lineRule="auto"/>
        <w:ind w:firstLine="420"/>
        <w:rPr>
          <w:sz w:val="21"/>
          <w:szCs w:val="21"/>
        </w:rPr>
      </w:pPr>
      <w:r>
        <w:rPr>
          <w:rFonts w:hint="eastAsia"/>
          <w:sz w:val="21"/>
          <w:szCs w:val="21"/>
        </w:rPr>
        <w:t>6、招募说明书或本招募说明书：指《</w:t>
      </w:r>
      <w:bookmarkStart w:id="19" w:name="field_0_productfullname_8"/>
      <w:r>
        <w:rPr>
          <w:rFonts w:hint="eastAsia"/>
          <w:sz w:val="21"/>
          <w:szCs w:val="21"/>
        </w:rPr>
        <w:t>博时军工主题股票型证券投资基金</w:t>
      </w:r>
      <w:bookmarkEnd w:id="19"/>
      <w:r>
        <w:rPr>
          <w:rFonts w:hint="eastAsia"/>
          <w:sz w:val="21"/>
          <w:szCs w:val="21"/>
        </w:rPr>
        <w:t xml:space="preserve">招募说明书》及其更新 </w:t>
      </w:r>
    </w:p>
    <w:p>
      <w:pPr>
        <w:pStyle w:val="7"/>
        <w:spacing w:before="0" w:beforeAutospacing="0" w:after="0" w:afterAutospacing="0" w:line="360" w:lineRule="auto"/>
        <w:ind w:firstLine="420"/>
        <w:rPr>
          <w:sz w:val="21"/>
          <w:szCs w:val="21"/>
        </w:rPr>
      </w:pPr>
      <w:r>
        <w:rPr>
          <w:rFonts w:hint="eastAsia"/>
          <w:sz w:val="21"/>
          <w:szCs w:val="21"/>
        </w:rPr>
        <w:t>7、基金份额发售公告：指《</w:t>
      </w:r>
      <w:bookmarkStart w:id="20" w:name="field_0_productfullname_9"/>
      <w:r>
        <w:rPr>
          <w:rFonts w:hint="eastAsia"/>
          <w:sz w:val="21"/>
          <w:szCs w:val="21"/>
        </w:rPr>
        <w:t>博时军工主题股票型证券投资基金</w:t>
      </w:r>
      <w:bookmarkEnd w:id="20"/>
      <w:r>
        <w:rPr>
          <w:rFonts w:hint="eastAsia"/>
          <w:sz w:val="21"/>
          <w:szCs w:val="21"/>
        </w:rPr>
        <w:t xml:space="preserve">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8、法律法规：指中国现行有效并公布实施的法律、行政法规、规范性文件、司法解释、行政规章以及其他对基金合同当事人有约束力的决定、决议、通知等 </w:t>
      </w:r>
    </w:p>
    <w:p>
      <w:pPr>
        <w:pStyle w:val="7"/>
        <w:spacing w:before="0" w:beforeAutospacing="0" w:after="0" w:afterAutospacing="0" w:line="360" w:lineRule="auto"/>
        <w:ind w:firstLine="420"/>
        <w:rPr>
          <w:sz w:val="21"/>
          <w:szCs w:val="21"/>
        </w:rPr>
      </w:pPr>
      <w:r>
        <w:rPr>
          <w:rFonts w:hint="eastAsia"/>
          <w:sz w:val="21"/>
          <w:szCs w:val="21"/>
        </w:rPr>
        <w:t xml:space="preserve">9、《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10、《销售办法》：指中国证监会2013年3月15日颁布、同年6月1日实施的《证券投资基金销售管理办法》及颁布机关对其不时做出的修订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11、《信息披露办法》：指中国证监会2019年7月26日颁布、同年9月1日实施的《公开募集证券投资基金信息披露管理办法》及颁布机关对其不时做出的修订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12、《运作办法》：指中国证监会2014年7月7日颁布、同年8月8日实施的《公开募集证券投资基金运作管理办法》及颁布机关对其不时做出的修订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13、《流动性风险管理规定》：指中国证监会2017年8月31日颁布、同年10月1日实施的《公开募集开放式证券投资基金流动性风险管理规定》及颁布机关对其不时做出的修订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14、中国证监会：指中国证券监督管理委员会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15、银行业监督管理机构：指中国人民银行和/或中国银行业监督管理委员会 </w:t>
      </w:r>
    </w:p>
    <w:p>
      <w:pPr>
        <w:pStyle w:val="7"/>
        <w:spacing w:before="0" w:beforeAutospacing="0" w:after="0" w:afterAutospacing="0" w:line="360" w:lineRule="auto"/>
        <w:ind w:firstLine="420"/>
        <w:rPr>
          <w:sz w:val="21"/>
          <w:szCs w:val="21"/>
        </w:rPr>
      </w:pPr>
      <w:r>
        <w:rPr>
          <w:rFonts w:hint="eastAsia"/>
          <w:sz w:val="21"/>
          <w:szCs w:val="21"/>
        </w:rPr>
        <w:t xml:space="preserve">16、基金合同当事人：指受基金合同约束，根据基金合同享有权利并承担义务的法律主体，包括基金管理人、基金托管人和基金份额持有人 </w:t>
      </w:r>
    </w:p>
    <w:p>
      <w:pPr>
        <w:pStyle w:val="7"/>
        <w:spacing w:before="0" w:beforeAutospacing="0" w:after="0" w:afterAutospacing="0" w:line="360" w:lineRule="auto"/>
        <w:ind w:firstLine="420"/>
        <w:rPr>
          <w:sz w:val="21"/>
          <w:szCs w:val="21"/>
        </w:rPr>
      </w:pPr>
      <w:r>
        <w:rPr>
          <w:rFonts w:hint="eastAsia"/>
          <w:sz w:val="21"/>
          <w:szCs w:val="21"/>
        </w:rPr>
        <w:t xml:space="preserve">17、个人投资者：指依据有关法律法规规定可投资于证券投资基金的自然人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18、机构投资者：指依法可以投资证券投资基金的、在中华人民共和国境内合法登记并存续或经有关政府部门批准设立并存续的企业法人、事业法人、社会团体或其他组织 </w:t>
      </w:r>
    </w:p>
    <w:p>
      <w:pPr>
        <w:pStyle w:val="7"/>
        <w:spacing w:before="0" w:beforeAutospacing="0" w:after="0" w:afterAutospacing="0" w:line="360" w:lineRule="auto"/>
        <w:ind w:firstLine="420"/>
        <w:rPr>
          <w:sz w:val="21"/>
          <w:szCs w:val="21"/>
        </w:rPr>
      </w:pPr>
      <w:r>
        <w:rPr>
          <w:rFonts w:hint="eastAsia"/>
          <w:sz w:val="21"/>
          <w:szCs w:val="21"/>
        </w:rPr>
        <w:t xml:space="preserve">19、合格境外机构投资者：指符合《合格境外机构投资者境内证券投资管理办法》及相关法律法规规定可以投资于在中国境内依法募集的证券投资基金的中国境外的机构投资者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20、投资人：指个人投资者、机构投资者和合格境外机构投资者以及法律法规或中国证监会允许购买证券投资基金的其他投资人的合称 </w:t>
      </w:r>
    </w:p>
    <w:p>
      <w:pPr>
        <w:pStyle w:val="7"/>
        <w:spacing w:before="0" w:beforeAutospacing="0" w:after="0" w:afterAutospacing="0" w:line="360" w:lineRule="auto"/>
        <w:ind w:firstLine="420"/>
        <w:rPr>
          <w:sz w:val="21"/>
          <w:szCs w:val="21"/>
        </w:rPr>
      </w:pPr>
      <w:r>
        <w:rPr>
          <w:rFonts w:hint="eastAsia"/>
          <w:sz w:val="21"/>
          <w:szCs w:val="21"/>
        </w:rPr>
        <w:t xml:space="preserve">21、基金份额持有人：指依基金合同和招募说明书合法取得基金份额的投资人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22、基金销售业务：指基金管理人或销售机构宣传推介基金，发售基金份额，办理基金份额的申购、赎回、转换、转托管及定期定额投资等业务 </w:t>
      </w:r>
    </w:p>
    <w:p>
      <w:pPr>
        <w:pStyle w:val="7"/>
        <w:spacing w:before="0" w:beforeAutospacing="0" w:after="0" w:afterAutospacing="0" w:line="360" w:lineRule="auto"/>
        <w:ind w:firstLine="420"/>
        <w:rPr>
          <w:sz w:val="21"/>
          <w:szCs w:val="21"/>
        </w:rPr>
      </w:pPr>
      <w:r>
        <w:rPr>
          <w:rFonts w:hint="eastAsia"/>
          <w:sz w:val="21"/>
          <w:szCs w:val="21"/>
        </w:rPr>
        <w:t>23、销售机构：指</w:t>
      </w:r>
      <w:bookmarkStart w:id="21" w:name="field_0_managerorgfullname_2"/>
      <w:r>
        <w:rPr>
          <w:rFonts w:hint="eastAsia"/>
          <w:sz w:val="21"/>
          <w:szCs w:val="21"/>
        </w:rPr>
        <w:t>博时基金管理有限公司</w:t>
      </w:r>
      <w:bookmarkEnd w:id="21"/>
      <w:r>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pPr>
        <w:pStyle w:val="7"/>
        <w:spacing w:before="0" w:beforeAutospacing="0" w:after="0" w:afterAutospacing="0" w:line="360" w:lineRule="auto"/>
        <w:ind w:firstLine="420"/>
        <w:rPr>
          <w:sz w:val="21"/>
          <w:szCs w:val="21"/>
        </w:rPr>
      </w:pPr>
      <w:r>
        <w:rPr>
          <w:rFonts w:hint="eastAsia"/>
          <w:sz w:val="21"/>
          <w:szCs w:val="21"/>
        </w:rPr>
        <w:t xml:space="preserve">24、登记业务：指基金登记、存管、过户、清算和结算业务，具体内容包括投资人基金账户的建立和管理、基金份额登记、基金销售业务的确认、清算和结算、代理发放红利、建立并保管基金份额持有人名册和办理非交易过户等 </w:t>
      </w:r>
    </w:p>
    <w:p>
      <w:pPr>
        <w:pStyle w:val="7"/>
        <w:spacing w:before="0" w:beforeAutospacing="0" w:after="0" w:afterAutospacing="0" w:line="360" w:lineRule="auto"/>
        <w:ind w:firstLine="420"/>
        <w:rPr>
          <w:sz w:val="21"/>
          <w:szCs w:val="21"/>
        </w:rPr>
      </w:pPr>
      <w:r>
        <w:rPr>
          <w:rFonts w:hint="eastAsia"/>
          <w:sz w:val="21"/>
          <w:szCs w:val="21"/>
        </w:rPr>
        <w:t>25、登记机构：指办理登记业务的机构。基金的登记机构为</w:t>
      </w:r>
      <w:bookmarkStart w:id="22" w:name="field_0_managerorgfullname_3"/>
      <w:r>
        <w:rPr>
          <w:rFonts w:hint="eastAsia"/>
          <w:sz w:val="21"/>
          <w:szCs w:val="21"/>
        </w:rPr>
        <w:t>博时基金管理有限公司</w:t>
      </w:r>
      <w:bookmarkEnd w:id="22"/>
      <w:r>
        <w:rPr>
          <w:rFonts w:hint="eastAsia"/>
          <w:sz w:val="21"/>
          <w:szCs w:val="21"/>
        </w:rPr>
        <w:t>或接受</w:t>
      </w:r>
      <w:bookmarkStart w:id="23" w:name="field_0_managerorgfullname_4"/>
      <w:r>
        <w:rPr>
          <w:rFonts w:hint="eastAsia"/>
          <w:sz w:val="21"/>
          <w:szCs w:val="21"/>
        </w:rPr>
        <w:t>博时基金管理有限公司</w:t>
      </w:r>
      <w:bookmarkEnd w:id="23"/>
      <w:r>
        <w:rPr>
          <w:rFonts w:hint="eastAsia"/>
          <w:sz w:val="21"/>
          <w:szCs w:val="21"/>
        </w:rPr>
        <w:t>委托代为办</w:t>
      </w:r>
      <w:bookmarkStart w:id="24" w:name="chapter_level1_4_49_section_1_end"/>
      <w:bookmarkEnd w:id="24"/>
      <w:r>
        <w:rPr>
          <w:rFonts w:hint="eastAsia"/>
          <w:sz w:val="21"/>
          <w:szCs w:val="21"/>
        </w:rPr>
        <w:t xml:space="preserve">理登记业务的机构 </w:t>
      </w:r>
    </w:p>
    <w:p>
      <w:pPr>
        <w:pStyle w:val="7"/>
        <w:spacing w:before="0" w:beforeAutospacing="0" w:after="0" w:afterAutospacing="0" w:line="360" w:lineRule="auto"/>
        <w:ind w:firstLine="420"/>
        <w:rPr>
          <w:sz w:val="21"/>
          <w:szCs w:val="21"/>
        </w:rPr>
      </w:pPr>
      <w:bookmarkStart w:id="25" w:name="chapter_level1_4_49_section_2"/>
      <w:bookmarkEnd w:id="25"/>
      <w:r>
        <w:rPr>
          <w:rFonts w:hint="eastAsia"/>
          <w:sz w:val="21"/>
          <w:szCs w:val="21"/>
        </w:rPr>
        <w:t xml:space="preserve">26、基金账户：指登记机构为投资人开立的、记录其持有的、基金管理人所管理的基金份额余额及其变动情况的账户  </w:t>
      </w:r>
    </w:p>
    <w:p>
      <w:pPr>
        <w:pStyle w:val="7"/>
        <w:spacing w:before="0" w:beforeAutospacing="0" w:after="0" w:afterAutospacing="0" w:line="360" w:lineRule="auto"/>
        <w:ind w:firstLine="420"/>
        <w:rPr>
          <w:sz w:val="21"/>
          <w:szCs w:val="21"/>
        </w:rPr>
      </w:pPr>
      <w:r>
        <w:rPr>
          <w:rFonts w:hint="eastAsia"/>
          <w:sz w:val="21"/>
          <w:szCs w:val="21"/>
        </w:rPr>
        <w:t xml:space="preserve">27、基金交易账户：指销售机构为投资人开立的、记录投资人通过该销售机构办理认购、申购、赎回、转换、转托管及定期定额投资等业务而引起的基金份额变动及结余情况的账户 </w:t>
      </w:r>
    </w:p>
    <w:p>
      <w:pPr>
        <w:pStyle w:val="7"/>
        <w:spacing w:before="0" w:beforeAutospacing="0" w:after="0" w:afterAutospacing="0" w:line="360" w:lineRule="auto"/>
        <w:ind w:firstLine="420"/>
        <w:rPr>
          <w:sz w:val="21"/>
          <w:szCs w:val="21"/>
        </w:rPr>
      </w:pPr>
      <w:r>
        <w:rPr>
          <w:rFonts w:hint="eastAsia"/>
          <w:sz w:val="21"/>
          <w:szCs w:val="21"/>
        </w:rPr>
        <w:t xml:space="preserve">28、基金合同生效日：指基金募集达到法律法规规定及基金合同规定的条件，基金管理人向中国证监会办理基金备案手续完毕，并获得中国证监会书面确认的日期 </w:t>
      </w:r>
    </w:p>
    <w:p>
      <w:pPr>
        <w:pStyle w:val="7"/>
        <w:spacing w:before="0" w:beforeAutospacing="0" w:after="0" w:afterAutospacing="0" w:line="360" w:lineRule="auto"/>
        <w:ind w:firstLine="420"/>
        <w:rPr>
          <w:sz w:val="21"/>
          <w:szCs w:val="21"/>
        </w:rPr>
      </w:pPr>
      <w:r>
        <w:rPr>
          <w:rFonts w:hint="eastAsia"/>
          <w:sz w:val="21"/>
          <w:szCs w:val="21"/>
        </w:rPr>
        <w:t xml:space="preserve">29、基金合同终止日：指基金合同规定的基金合同终止事由出现后，基金财产清算完毕，清算结果报中国证监会备案并予以公告的日期 </w:t>
      </w:r>
    </w:p>
    <w:p>
      <w:pPr>
        <w:pStyle w:val="7"/>
        <w:spacing w:before="0" w:beforeAutospacing="0" w:after="0" w:afterAutospacing="0" w:line="360" w:lineRule="auto"/>
        <w:ind w:firstLine="420"/>
        <w:rPr>
          <w:sz w:val="21"/>
          <w:szCs w:val="21"/>
        </w:rPr>
      </w:pPr>
      <w:r>
        <w:rPr>
          <w:rFonts w:hint="eastAsia"/>
          <w:sz w:val="21"/>
          <w:szCs w:val="21"/>
        </w:rPr>
        <w:t xml:space="preserve">30、基金募集期：指自基金份额发售之日起至发售结束之日止的期间，最长不得超过3个月 </w:t>
      </w:r>
    </w:p>
    <w:p>
      <w:pPr>
        <w:pStyle w:val="7"/>
        <w:spacing w:before="0" w:beforeAutospacing="0" w:after="0" w:afterAutospacing="0" w:line="360" w:lineRule="auto"/>
        <w:ind w:firstLine="420"/>
        <w:rPr>
          <w:sz w:val="21"/>
          <w:szCs w:val="21"/>
        </w:rPr>
      </w:pPr>
      <w:r>
        <w:rPr>
          <w:rFonts w:hint="eastAsia"/>
          <w:sz w:val="21"/>
          <w:szCs w:val="21"/>
        </w:rPr>
        <w:t xml:space="preserve">31、存续期：指基金合同生效至终止之间的不定期期限 </w:t>
      </w:r>
    </w:p>
    <w:p>
      <w:pPr>
        <w:pStyle w:val="7"/>
        <w:spacing w:before="0" w:beforeAutospacing="0" w:after="0" w:afterAutospacing="0" w:line="360" w:lineRule="auto"/>
        <w:ind w:firstLine="420"/>
        <w:rPr>
          <w:sz w:val="21"/>
          <w:szCs w:val="21"/>
        </w:rPr>
      </w:pPr>
      <w:r>
        <w:rPr>
          <w:rFonts w:hint="eastAsia"/>
          <w:sz w:val="21"/>
          <w:szCs w:val="21"/>
        </w:rPr>
        <w:t xml:space="preserve">32、工作日：指上海证券交易所、深圳证券交易所的正常交易日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33、T日：指销售机构在规定时间受理投资人申购、赎回或其他业务申请的开放日 </w:t>
      </w:r>
    </w:p>
    <w:p>
      <w:pPr>
        <w:pStyle w:val="7"/>
        <w:spacing w:before="0" w:beforeAutospacing="0" w:after="0" w:afterAutospacing="0" w:line="360" w:lineRule="auto"/>
        <w:ind w:firstLine="420"/>
        <w:rPr>
          <w:sz w:val="21"/>
          <w:szCs w:val="21"/>
        </w:rPr>
      </w:pPr>
      <w:r>
        <w:rPr>
          <w:rFonts w:hint="eastAsia"/>
          <w:sz w:val="21"/>
          <w:szCs w:val="21"/>
        </w:rPr>
        <w:t xml:space="preserve">34、T+n日：指自T日起第n个工作日(不包含T日)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35、开放日：指为投资人办理基金份额申购、赎回或其他业务的工作日 </w:t>
      </w:r>
    </w:p>
    <w:p>
      <w:pPr>
        <w:pStyle w:val="7"/>
        <w:spacing w:before="0" w:beforeAutospacing="0" w:after="0" w:afterAutospacing="0" w:line="360" w:lineRule="auto"/>
        <w:ind w:firstLine="420"/>
        <w:rPr>
          <w:sz w:val="21"/>
          <w:szCs w:val="21"/>
        </w:rPr>
      </w:pPr>
      <w:r>
        <w:rPr>
          <w:rFonts w:hint="eastAsia"/>
          <w:sz w:val="21"/>
          <w:szCs w:val="21"/>
        </w:rPr>
        <w:t xml:space="preserve">36、开放时间：指开放日基金接受申购、赎回或其他交易的时间段 </w:t>
      </w:r>
    </w:p>
    <w:p>
      <w:pPr>
        <w:pStyle w:val="7"/>
        <w:spacing w:before="0" w:beforeAutospacing="0" w:after="0" w:afterAutospacing="0" w:line="360" w:lineRule="auto"/>
        <w:ind w:firstLine="420"/>
        <w:rPr>
          <w:sz w:val="21"/>
          <w:szCs w:val="21"/>
        </w:rPr>
      </w:pPr>
      <w:r>
        <w:rPr>
          <w:rFonts w:hint="eastAsia"/>
          <w:sz w:val="21"/>
          <w:szCs w:val="21"/>
        </w:rPr>
        <w:t>37、《业务规则》：指《</w:t>
      </w:r>
      <w:bookmarkStart w:id="26" w:name="field_0_managerorgfullname_5"/>
      <w:r>
        <w:rPr>
          <w:rFonts w:hint="eastAsia"/>
          <w:sz w:val="21"/>
          <w:szCs w:val="21"/>
        </w:rPr>
        <w:t>博时基金管理有限公司</w:t>
      </w:r>
      <w:bookmarkEnd w:id="26"/>
      <w:r>
        <w:rPr>
          <w:rFonts w:hint="eastAsia"/>
          <w:sz w:val="21"/>
          <w:szCs w:val="21"/>
        </w:rPr>
        <w:t xml:space="preserve">开放式基金业务规则》，是规范基金管理人所管理的开放式证券投资基金登记方面的业务规则，由基金管理人和投资人共同遵守 </w:t>
      </w:r>
    </w:p>
    <w:p>
      <w:pPr>
        <w:pStyle w:val="7"/>
        <w:spacing w:before="0" w:beforeAutospacing="0" w:after="0" w:afterAutospacing="0" w:line="360" w:lineRule="auto"/>
        <w:ind w:firstLine="420"/>
        <w:rPr>
          <w:sz w:val="21"/>
          <w:szCs w:val="21"/>
        </w:rPr>
      </w:pPr>
      <w:r>
        <w:rPr>
          <w:rFonts w:hint="eastAsia"/>
          <w:sz w:val="21"/>
          <w:szCs w:val="21"/>
        </w:rPr>
        <w:t xml:space="preserve">38、认购：指在基金募集期内，投资人根据基金合同和招募说明书的规定申请购买基金份额的行为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39、申购：指基金合同生效后，投资人根据基金合同和招募说明书的规定申请购买基金份额的行为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40、赎回：指基金合同生效后，基金份额持有人按基金合同和招募说明书规定的条件要求将基金份额兑换为现金的行为 </w:t>
      </w:r>
    </w:p>
    <w:p>
      <w:pPr>
        <w:pStyle w:val="7"/>
        <w:spacing w:before="0" w:beforeAutospacing="0" w:after="0" w:afterAutospacing="0" w:line="360" w:lineRule="auto"/>
        <w:ind w:firstLine="420"/>
        <w:rPr>
          <w:sz w:val="21"/>
          <w:szCs w:val="21"/>
        </w:rPr>
      </w:pPr>
      <w:r>
        <w:rPr>
          <w:rFonts w:hint="eastAsia"/>
          <w:sz w:val="21"/>
          <w:szCs w:val="21"/>
        </w:rPr>
        <w:t xml:space="preserve">41、基金转换：指基金份额持有人按照基金合同和基金管理人届时有效公告规定的条件，申请将其持有基金管理人管理的、某一基金的基金份额转换为基金管理人管理的其他基金基金份额的行为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42、转托管：指基金份额持有人在本基金的不同销售机构之间实施的变更所持基金份额销售机构的操作 </w:t>
      </w:r>
    </w:p>
    <w:p>
      <w:pPr>
        <w:pStyle w:val="7"/>
        <w:spacing w:before="0" w:beforeAutospacing="0" w:after="0" w:afterAutospacing="0" w:line="360" w:lineRule="auto"/>
        <w:ind w:firstLine="420"/>
        <w:rPr>
          <w:sz w:val="21"/>
          <w:szCs w:val="21"/>
        </w:rPr>
      </w:pPr>
      <w:r>
        <w:rPr>
          <w:rFonts w:hint="eastAsia"/>
          <w:sz w:val="21"/>
          <w:szCs w:val="21"/>
        </w:rPr>
        <w:t xml:space="preserve">43、定期定额投资计划：指投资人通过有关销售机构提出申请，约定每期申购日、扣款金额及扣款方式，由销售机构于每期约定扣款日在投资人指定银行账户内自动完成扣款及受理基金申购申请的一种投资方式 </w:t>
      </w:r>
    </w:p>
    <w:p>
      <w:pPr>
        <w:pStyle w:val="7"/>
        <w:spacing w:before="0" w:beforeAutospacing="0" w:after="0" w:afterAutospacing="0" w:line="360" w:lineRule="auto"/>
        <w:ind w:firstLine="420"/>
        <w:rPr>
          <w:sz w:val="21"/>
          <w:szCs w:val="21"/>
        </w:rPr>
      </w:pPr>
      <w:r>
        <w:rPr>
          <w:rFonts w:hint="eastAsia"/>
          <w:sz w:val="21"/>
          <w:szCs w:val="21"/>
        </w:rPr>
        <w:t>44、巨额赎回：指本基金单个开放日，基金净赎回申请(赎回申请份额总数加上基金转换中转出申请份额总数后扣除申购申请份额总数及基金转换中转入申请份额总数后的余额)超过上一开放日基金总份额的</w:t>
      </w:r>
      <w:bookmarkStart w:id="27" w:name="field_49_mintredeemscale_1"/>
      <w:r>
        <w:rPr>
          <w:sz w:val="21"/>
          <w:szCs w:val="21"/>
        </w:rPr>
        <w:t>10</w:t>
      </w:r>
      <w:bookmarkEnd w:id="2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45、元：指人民币元 </w:t>
      </w:r>
    </w:p>
    <w:p>
      <w:pPr>
        <w:pStyle w:val="7"/>
        <w:spacing w:before="0" w:beforeAutospacing="0" w:after="0" w:afterAutospacing="0" w:line="360" w:lineRule="auto"/>
        <w:ind w:firstLine="420"/>
        <w:rPr>
          <w:sz w:val="21"/>
          <w:szCs w:val="21"/>
        </w:rPr>
      </w:pPr>
      <w:r>
        <w:rPr>
          <w:rFonts w:hint="eastAsia"/>
          <w:sz w:val="21"/>
          <w:szCs w:val="21"/>
        </w:rPr>
        <w:t xml:space="preserve">46、基金收益：指基金投资所得红利、股息、债券利息、买卖证券价差、银行存款利息、已实现的其他合法收入及因运用基金财产带来的成本和费用的节约 </w:t>
      </w:r>
    </w:p>
    <w:p>
      <w:pPr>
        <w:pStyle w:val="7"/>
        <w:spacing w:before="0" w:beforeAutospacing="0" w:after="0" w:afterAutospacing="0" w:line="360" w:lineRule="auto"/>
        <w:ind w:firstLine="420"/>
        <w:rPr>
          <w:sz w:val="21"/>
          <w:szCs w:val="21"/>
        </w:rPr>
      </w:pPr>
      <w:r>
        <w:rPr>
          <w:rFonts w:hint="eastAsia"/>
          <w:sz w:val="21"/>
          <w:szCs w:val="21"/>
        </w:rPr>
        <w:t xml:space="preserve">47、基金资产总值：指基金拥有的各类有价证券、银行存款本息、基金应收申购款及其他资产的价值总和 </w:t>
      </w:r>
    </w:p>
    <w:p>
      <w:pPr>
        <w:pStyle w:val="7"/>
        <w:spacing w:before="0" w:beforeAutospacing="0" w:after="0" w:afterAutospacing="0" w:line="360" w:lineRule="auto"/>
        <w:ind w:firstLine="420"/>
        <w:rPr>
          <w:sz w:val="21"/>
          <w:szCs w:val="21"/>
        </w:rPr>
      </w:pPr>
      <w:r>
        <w:rPr>
          <w:rFonts w:hint="eastAsia"/>
          <w:sz w:val="21"/>
          <w:szCs w:val="21"/>
        </w:rPr>
        <w:t xml:space="preserve">48、基金资产净值：指基金资产总值减去基金负债后的价值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49、基金份额净值：指计算日基金资产净值除以计算日基金份额总数 </w:t>
      </w:r>
    </w:p>
    <w:p>
      <w:pPr>
        <w:pStyle w:val="7"/>
        <w:spacing w:before="0" w:beforeAutospacing="0" w:after="0" w:afterAutospacing="0" w:line="360" w:lineRule="auto"/>
        <w:ind w:firstLine="420"/>
        <w:rPr>
          <w:sz w:val="21"/>
          <w:szCs w:val="21"/>
        </w:rPr>
      </w:pPr>
      <w:r>
        <w:rPr>
          <w:rFonts w:hint="eastAsia"/>
          <w:sz w:val="21"/>
          <w:szCs w:val="21"/>
        </w:rPr>
        <w:t xml:space="preserve">50、基金资产估值：指计算评估基金资产和负债的价值，以确定基金资产净值和基金份额净值的过程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51、指定媒介：指中国证监会指定的用以进行信息披露的全国性报刊及指定互联网网站（包括基金管理人网站、基金托管人网站、中国证监会基金电子披露网站）等媒介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r>
        <w:rPr>
          <w:rFonts w:hint="eastAsia"/>
          <w:sz w:val="21"/>
          <w:szCs w:val="21"/>
        </w:rPr>
        <w:t xml:space="preserve">52、不可抗力：指基金合同当事人不能预见、不能避免且不能克服的客观事件 </w:t>
      </w:r>
    </w:p>
    <w:p>
      <w:pPr>
        <w:pStyle w:val="7"/>
        <w:spacing w:before="0" w:beforeAutospacing="0" w:after="0" w:afterAutospacing="0" w:line="360" w:lineRule="auto"/>
        <w:ind w:firstLine="420"/>
        <w:rPr>
          <w:sz w:val="21"/>
          <w:szCs w:val="21"/>
        </w:rPr>
      </w:pPr>
      <w:r>
        <w:rPr>
          <w:rFonts w:hint="eastAsia"/>
          <w:sz w:val="21"/>
          <w:szCs w:val="21"/>
        </w:rPr>
        <w:t xml:space="preserve">53、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pPr>
        <w:pStyle w:val="7"/>
        <w:spacing w:before="0" w:beforeAutospacing="0" w:after="0" w:afterAutospacing="0" w:line="360" w:lineRule="auto"/>
        <w:ind w:firstLine="420"/>
        <w:rPr>
          <w:sz w:val="21"/>
          <w:szCs w:val="21"/>
        </w:rPr>
      </w:pPr>
      <w:r>
        <w:rPr>
          <w:rFonts w:hint="eastAsia"/>
          <w:sz w:val="21"/>
          <w:szCs w:val="21"/>
        </w:rPr>
        <w:t>54、基金产品资料概要：指《</w:t>
      </w:r>
      <w:bookmarkStart w:id="28" w:name="field_0_productfullname_10"/>
      <w:r>
        <w:rPr>
          <w:rFonts w:hint="eastAsia"/>
          <w:sz w:val="21"/>
          <w:szCs w:val="21"/>
        </w:rPr>
        <w:t>博时军工主题股票型证券投资基金</w:t>
      </w:r>
      <w:bookmarkEnd w:id="28"/>
      <w:r>
        <w:rPr>
          <w:rFonts w:hint="eastAsia"/>
          <w:sz w:val="21"/>
          <w:szCs w:val="21"/>
        </w:rPr>
        <w:t xml:space="preserve">基金产品资料概要》及其更新  </w:t>
      </w:r>
    </w:p>
    <w:p>
      <w:pPr>
        <w:pStyle w:val="7"/>
        <w:spacing w:before="0" w:beforeAutospacing="0" w:after="0" w:afterAutospacing="0" w:line="360" w:lineRule="auto"/>
        <w:ind w:firstLine="420"/>
        <w:rPr>
          <w:sz w:val="21"/>
          <w:szCs w:val="21"/>
        </w:rPr>
      </w:pPr>
      <w:r>
        <w:rPr>
          <w:rFonts w:hint="eastAsia"/>
          <w:sz w:val="21"/>
          <w:szCs w:val="21"/>
        </w:rPr>
        <w:t xml:space="preserve">55、销售服务费：指从基金财产中计提的，用于本基金市场推广、销售以及基金份额持有人服务的费用  </w:t>
      </w:r>
    </w:p>
    <w:p>
      <w:pPr>
        <w:pStyle w:val="7"/>
        <w:spacing w:before="0" w:beforeAutospacing="0" w:after="0" w:afterAutospacing="0" w:line="360" w:lineRule="auto"/>
        <w:ind w:firstLine="420"/>
        <w:rPr>
          <w:sz w:val="21"/>
          <w:szCs w:val="21"/>
        </w:rPr>
      </w:pPr>
      <w:r>
        <w:rPr>
          <w:rFonts w:hint="eastAsia"/>
          <w:sz w:val="21"/>
          <w:szCs w:val="21"/>
        </w:rPr>
        <w:t xml:space="preserve">56、基金份额的类别：指本基金根据申购费用与销售服务费收取方式等不同，将基金份额分为不同的类别  </w:t>
      </w:r>
    </w:p>
    <w:p>
      <w:pPr>
        <w:pStyle w:val="7"/>
        <w:spacing w:before="0" w:beforeAutospacing="0" w:after="0" w:afterAutospacing="0" w:line="360" w:lineRule="auto"/>
        <w:ind w:firstLine="420"/>
        <w:rPr>
          <w:sz w:val="21"/>
          <w:szCs w:val="21"/>
        </w:rPr>
      </w:pPr>
      <w:r>
        <w:rPr>
          <w:rFonts w:hint="eastAsia"/>
          <w:sz w:val="21"/>
          <w:szCs w:val="21"/>
        </w:rPr>
        <w:t xml:space="preserve">57、A类基金份额：指本基金在投资者申购基金时收取申购费，不收取销售服务费的基金份额  </w:t>
      </w:r>
    </w:p>
    <w:p>
      <w:pPr>
        <w:pStyle w:val="7"/>
        <w:spacing w:before="0" w:beforeAutospacing="0" w:after="0" w:afterAutospacing="0" w:line="360" w:lineRule="auto"/>
        <w:ind w:firstLine="420"/>
        <w:rPr>
          <w:sz w:val="21"/>
          <w:szCs w:val="21"/>
        </w:rPr>
      </w:pPr>
      <w:r>
        <w:rPr>
          <w:rFonts w:hint="eastAsia"/>
          <w:sz w:val="21"/>
          <w:szCs w:val="21"/>
        </w:rPr>
        <w:t>58、C类基金份额：指本基金在投资者申购基金时不收取申购费，而是从本类别基金资</w:t>
      </w:r>
      <w:bookmarkStart w:id="29" w:name="chapter_level1_4_49_section_2_end"/>
      <w:bookmarkEnd w:id="29"/>
      <w:r>
        <w:rPr>
          <w:rFonts w:hint="eastAsia"/>
          <w:sz w:val="21"/>
          <w:szCs w:val="21"/>
        </w:rPr>
        <w:t xml:space="preserve">产中计提销售服务费的基金份额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0" w:name="_Toc113560414"/>
      <w:bookmarkStart w:id="31" w:name="chapter_level1_5_53"/>
      <w:r>
        <w:rPr>
          <w:rFonts w:hint="eastAsia" w:ascii="宋体" w:hAnsi="宋体" w:eastAsia="宋体"/>
          <w:sz w:val="30"/>
        </w:rPr>
        <w:t>第三部分  基金管理人</w:t>
      </w:r>
      <w:bookmarkEnd w:id="30"/>
      <w:bookmarkEnd w:id="31"/>
    </w:p>
    <w:p>
      <w:pPr>
        <w:pStyle w:val="7"/>
        <w:spacing w:before="0" w:beforeAutospacing="0" w:after="0" w:afterAutospacing="0" w:line="360" w:lineRule="auto"/>
        <w:ind w:firstLine="420"/>
        <w:rPr>
          <w:sz w:val="21"/>
          <w:szCs w:val="21"/>
        </w:rPr>
      </w:pPr>
      <w:bookmarkStart w:id="32" w:name="chapter_level1_5_53_section_1"/>
      <w:bookmarkEnd w:id="32"/>
      <w:r>
        <w:rPr>
          <w:rStyle w:val="11"/>
          <w:rFonts w:hint="eastAsia"/>
          <w:sz w:val="21"/>
          <w:szCs w:val="21"/>
        </w:rPr>
        <w:t>一、基金管理人概况</w:t>
      </w:r>
    </w:p>
    <w:p>
      <w:pPr>
        <w:widowControl/>
        <w:spacing w:line="360" w:lineRule="auto"/>
        <w:ind w:firstLine="420" w:firstLineChars="200"/>
        <w:rPr>
          <w:rFonts w:hint="eastAsia" w:ascii="宋体" w:hAnsi="宋体" w:eastAsiaTheme="minorEastAsia" w:cstheme="minorBidi"/>
          <w:kern w:val="2"/>
          <w:szCs w:val="24"/>
        </w:rPr>
      </w:pPr>
      <w:bookmarkStart w:id="33" w:name="field_0_managercompanyinfo_1_start"/>
      <w:bookmarkEnd w:id="33"/>
      <w:r>
        <w:rPr>
          <w:rFonts w:hint="eastAsia" w:ascii="宋体" w:hAnsi="宋体" w:eastAsiaTheme="minorEastAsia" w:cstheme="minorBidi"/>
          <w:kern w:val="2"/>
          <w:szCs w:val="24"/>
        </w:rPr>
        <w:t>名称：</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博时基金管理有限公司</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住所：</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深圳市福田区莲花街道福新社区益田路5999号基金大厦21层</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办公地址：</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广东省深圳市福田区益田路5999号基金大厦21层</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法定代表人：江向阳</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成立时间：</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1998年7月13日</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注册资本：</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2.5亿元人民币</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存续期间：</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持续经营</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联系人：    韩强</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联系电话：  （0755）8316 9999</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公司设立了投资决策委员会。投资决策委员会负责指导基金资产的运作、确定基本的投资策略和投资组合的原则。</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公司已经建立健全投资管理制度、风险控制制度、内部监察制度、财务管理制度、人事管理制度、信息披露制度和员工行为准则等公司管理制度体系。</w:t>
      </w:r>
    </w:p>
    <w:p>
      <w:pPr>
        <w:widowControl w:val="0"/>
        <w:spacing w:line="360" w:lineRule="auto"/>
        <w:ind w:firstLine="422" w:firstLineChars="200"/>
        <w:rPr>
          <w:rFonts w:ascii="宋体" w:hAnsi="宋体" w:eastAsia="宋体" w:cs="Times New Roman"/>
          <w:b/>
          <w:kern w:val="0"/>
          <w:szCs w:val="21"/>
        </w:rPr>
      </w:pPr>
      <w:r>
        <w:rPr>
          <w:rFonts w:hint="eastAsia" w:ascii="宋体" w:hAnsi="宋体" w:eastAsia="宋体" w:cs="Times New Roman"/>
          <w:b/>
          <w:kern w:val="0"/>
          <w:szCs w:val="21"/>
        </w:rPr>
        <w:t>二、主要成员情况</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1、基金管理人董事会成员</w:t>
      </w:r>
    </w:p>
    <w:p>
      <w:pPr>
        <w:widowControl/>
        <w:snapToGrid/>
        <w:spacing w:line="360" w:lineRule="auto"/>
        <w:ind w:firstLine="420" w:firstLineChars="200"/>
        <w:rPr>
          <w:rFonts w:hint="eastAsia" w:ascii="宋体" w:hAnsi="宋体" w:eastAsiaTheme="minorEastAsia" w:cstheme="minorBidi"/>
          <w:szCs w:val="24"/>
        </w:rPr>
      </w:pPr>
      <w:r>
        <w:rPr>
          <w:rFonts w:hint="eastAsia" w:ascii="宋体" w:hAnsi="宋体" w:eastAsiaTheme="minorEastAsia" w:cstheme="minorBidi"/>
          <w:szCs w:val="24"/>
        </w:rPr>
        <w:t>江向阳先生，博士。中共党员，南开大学国际金融博士，清华大学金融媒体EMBA。1986-1990</w:t>
      </w:r>
      <w:r>
        <w:rPr>
          <w:rFonts w:hint="eastAsia" w:ascii="宋体" w:hAnsi="宋体"/>
          <w:szCs w:val="24"/>
        </w:rPr>
        <w:fldChar w:fldCharType="begin"/>
      </w:r>
      <w:r>
        <w:rPr>
          <w:rFonts w:hint="eastAsia" w:ascii="宋体" w:hAnsi="宋体"/>
          <w:szCs w:val="24"/>
        </w:rPr>
        <w:instrText xml:space="preserve"> HYPERLINK "tel:%E2%80%AA1986-1990%E2%80%AC" </w:instrText>
      </w:r>
      <w:r>
        <w:rPr>
          <w:rFonts w:hint="eastAsia" w:ascii="宋体" w:hAnsi="宋体"/>
          <w:szCs w:val="24"/>
        </w:rPr>
        <w:fldChar w:fldCharType="separate"/>
      </w:r>
      <w:r>
        <w:rPr>
          <w:rFonts w:hint="eastAsia" w:ascii="宋体" w:hAnsi="宋体"/>
          <w:szCs w:val="24"/>
        </w:rPr>
        <w:fldChar w:fldCharType="end"/>
      </w:r>
      <w:r>
        <w:rPr>
          <w:rFonts w:hint="eastAsia" w:ascii="宋体" w:hAnsi="宋体" w:eastAsiaTheme="minorEastAsia" w:cstheme="minorBidi"/>
          <w:szCs w:val="24"/>
        </w:rPr>
        <w:t>年就读于北京师范大学信息与情报学系，获学士学位；1994-1997</w:t>
      </w:r>
      <w:r>
        <w:rPr>
          <w:rFonts w:hint="eastAsia" w:ascii="宋体" w:hAnsi="宋体"/>
          <w:szCs w:val="24"/>
        </w:rPr>
        <w:fldChar w:fldCharType="begin"/>
      </w:r>
      <w:r>
        <w:rPr>
          <w:rFonts w:hint="eastAsia" w:ascii="宋体" w:hAnsi="宋体"/>
          <w:szCs w:val="24"/>
        </w:rPr>
        <w:instrText xml:space="preserve"> HYPERLINK "tel:%E2%80%AA1994-1997%E2%80%AC" </w:instrText>
      </w:r>
      <w:r>
        <w:rPr>
          <w:rFonts w:hint="eastAsia" w:ascii="宋体" w:hAnsi="宋体"/>
          <w:szCs w:val="24"/>
        </w:rPr>
        <w:fldChar w:fldCharType="separate"/>
      </w:r>
      <w:r>
        <w:rPr>
          <w:rFonts w:hint="eastAsia" w:ascii="宋体" w:hAnsi="宋体"/>
          <w:szCs w:val="24"/>
        </w:rPr>
        <w:fldChar w:fldCharType="end"/>
      </w:r>
      <w:r>
        <w:rPr>
          <w:rFonts w:hint="eastAsia" w:ascii="宋体" w:hAnsi="宋体" w:eastAsiaTheme="minorEastAsia" w:cstheme="minorBidi"/>
          <w:szCs w:val="24"/>
        </w:rPr>
        <w:t>年就读于中国政法大学研究生院，获法学硕士学位；2003-2006</w:t>
      </w:r>
      <w:r>
        <w:rPr>
          <w:rFonts w:hint="eastAsia" w:ascii="宋体" w:hAnsi="宋体"/>
          <w:szCs w:val="24"/>
        </w:rPr>
        <w:fldChar w:fldCharType="begin"/>
      </w:r>
      <w:r>
        <w:rPr>
          <w:rFonts w:hint="eastAsia" w:ascii="宋体" w:hAnsi="宋体"/>
          <w:szCs w:val="24"/>
        </w:rPr>
        <w:instrText xml:space="preserve"> HYPERLINK "tel:%E2%80%AA2003-2006%E2%80%AC" </w:instrText>
      </w:r>
      <w:r>
        <w:rPr>
          <w:rFonts w:hint="eastAsia" w:ascii="宋体" w:hAnsi="宋体"/>
          <w:szCs w:val="24"/>
        </w:rPr>
        <w:fldChar w:fldCharType="separate"/>
      </w:r>
      <w:r>
        <w:rPr>
          <w:rFonts w:hint="eastAsia" w:ascii="宋体" w:hAnsi="宋体"/>
          <w:szCs w:val="24"/>
        </w:rPr>
        <w:fldChar w:fldCharType="end"/>
      </w:r>
      <w:r>
        <w:rPr>
          <w:rFonts w:hint="eastAsia" w:ascii="宋体" w:hAnsi="宋体" w:eastAsiaTheme="minorEastAsia" w:cstheme="minorBidi"/>
          <w:szCs w:val="24"/>
        </w:rPr>
        <w:t>年，就读于南开大学国际经济研究所，获国际金融博士学位。</w:t>
      </w:r>
      <w:r>
        <w:rPr>
          <w:rFonts w:hint="eastAsia" w:ascii="宋体" w:hAnsi="宋体" w:eastAsiaTheme="minorEastAsia" w:cstheme="minorBidi"/>
          <w:bCs w:val="0"/>
          <w:szCs w:val="24"/>
        </w:rPr>
        <w:t>1997年8月至2014年12月就职于中国证监会，历任办公厅、党办副主任兼新闻办（网信办）主任；中国证监会办公厅副巡视员；中国证监会深圳专员办处长、副专员；中国证监会期货监管部副处长、处长。</w:t>
      </w:r>
      <w:r>
        <w:rPr>
          <w:rFonts w:hint="eastAsia" w:ascii="宋体" w:hAnsi="宋体" w:eastAsiaTheme="minorEastAsia" w:cstheme="minorBidi"/>
          <w:szCs w:val="24"/>
        </w:rPr>
        <w:t>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widowControl/>
        <w:snapToGrid/>
        <w:spacing w:line="360" w:lineRule="auto"/>
        <w:ind w:firstLine="420" w:firstLineChars="200"/>
        <w:rPr>
          <w:rFonts w:hint="eastAsia" w:ascii="宋体" w:hAnsi="宋体" w:eastAsiaTheme="minorEastAsia" w:cstheme="minorBidi"/>
          <w:szCs w:val="24"/>
        </w:rPr>
      </w:pPr>
      <w:r>
        <w:rPr>
          <w:rFonts w:hint="eastAsia" w:ascii="宋体" w:hAnsi="宋体" w:eastAsiaTheme="minorEastAsia" w:cstheme="minorBidi"/>
          <w:szCs w:val="24"/>
        </w:rPr>
        <w:t>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月及2015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年1月至2018年8月任招商局资本投资有限责任公司监事；自2015年11月至2018年8月任招商局创新投资管理有限公司董事；自2015年11月至2017年4月任深圳招商启航互联网投资管理有限公司董事长；自2013年5月至2015年8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 月至2011年5月担任徽商银行股份有限公司（香港联交所上市公司，股票代码：3698）董事；自2008 年3月至2011年9月担任安徽省皖能股份有限公司（深圳证券交易所上市公司，股票代码︰000543）董事。苏女士亦拥有会计等相关管理经验，其经验包括：自2011年3 月至2015 年8月担任中国海运（集团）总公司总会计师；自2007年5月至2011年4月担任安徽省能源集团有限公司总会计师，并于2010年11月至2011年4 月担任该公司副总经理。自2018年9月3日起，任博时基金管理有限公司董事。</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自2021年2月5日起，任博时基金管理有限公司总经理。自2021年4月7日起，任博时基金管理有限公司第八届董事会董事。</w:t>
      </w:r>
    </w:p>
    <w:p>
      <w:pPr>
        <w:widowControl/>
        <w:spacing w:line="360" w:lineRule="auto"/>
        <w:ind w:firstLine="420" w:firstLineChars="200"/>
        <w:rPr>
          <w:rFonts w:hint="eastAsia" w:ascii="宋体" w:hAnsi="宋体"/>
          <w:szCs w:val="24"/>
        </w:rPr>
      </w:pPr>
      <w:r>
        <w:rPr>
          <w:rFonts w:hint="eastAsia" w:ascii="宋体" w:hAnsi="宋体" w:eastAsiaTheme="minorEastAsia" w:cstheme="minorBidi"/>
          <w:szCs w:val="24"/>
        </w:rPr>
        <w:t>姚俊</w:t>
      </w:r>
      <w:r>
        <w:rPr>
          <w:rFonts w:hint="eastAsia" w:ascii="宋体" w:hAnsi="宋体"/>
          <w:szCs w:val="24"/>
        </w:rPr>
        <w:t>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widowControl/>
        <w:spacing w:line="360" w:lineRule="auto"/>
        <w:ind w:firstLine="420" w:firstLineChars="200"/>
        <w:rPr>
          <w:rFonts w:hint="eastAsia" w:ascii="宋体" w:hAnsi="宋体"/>
          <w:szCs w:val="24"/>
        </w:rPr>
      </w:pPr>
      <w:r>
        <w:rPr>
          <w:rFonts w:hint="eastAsia" w:ascii="宋体" w:hAnsi="宋体"/>
          <w:szCs w:val="24"/>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widowControl/>
        <w:spacing w:line="360" w:lineRule="auto"/>
        <w:ind w:firstLine="420" w:firstLineChars="200"/>
        <w:rPr>
          <w:rFonts w:hint="eastAsia" w:ascii="宋体" w:hAnsi="宋体"/>
          <w:szCs w:val="24"/>
        </w:rPr>
      </w:pPr>
      <w:r>
        <w:rPr>
          <w:rFonts w:hint="eastAsia" w:ascii="宋体" w:hAnsi="宋体"/>
          <w:szCs w:val="24"/>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widowControl/>
        <w:spacing w:line="360" w:lineRule="auto"/>
        <w:ind w:firstLine="420" w:firstLineChars="200"/>
        <w:rPr>
          <w:rFonts w:hint="eastAsia" w:ascii="宋体" w:hAnsi="宋体"/>
          <w:szCs w:val="24"/>
        </w:rPr>
      </w:pPr>
      <w:r>
        <w:rPr>
          <w:rFonts w:hint="eastAsia" w:ascii="宋体" w:hAnsi="宋体"/>
          <w:szCs w:val="24"/>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widowControl/>
        <w:spacing w:line="360" w:lineRule="auto"/>
        <w:ind w:firstLine="420" w:firstLineChars="200"/>
        <w:rPr>
          <w:rFonts w:hint="eastAsia" w:ascii="宋体" w:hAnsi="宋体"/>
          <w:szCs w:val="24"/>
        </w:rPr>
      </w:pPr>
      <w:r>
        <w:rPr>
          <w:rFonts w:hint="eastAsia" w:ascii="宋体" w:hAnsi="宋体"/>
          <w:szCs w:val="24"/>
        </w:rPr>
        <w:t>赵如冰先生，1956年生，教授级高级工程师，国际金融专业经济学硕士研究生。赵如冰先生历任葛洲坝水力发电厂工程师、高级工程师、葛洲坝二江电厂电气分厂主任、书记；1989年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widowControl/>
        <w:spacing w:line="360" w:lineRule="auto"/>
        <w:ind w:firstLine="420" w:firstLineChars="200"/>
        <w:rPr>
          <w:rFonts w:hint="eastAsia" w:ascii="宋体" w:hAnsi="宋体"/>
          <w:szCs w:val="24"/>
        </w:rPr>
      </w:pPr>
      <w:r>
        <w:rPr>
          <w:rFonts w:hint="eastAsia" w:ascii="宋体" w:hAnsi="宋体"/>
          <w:szCs w:val="24"/>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widowControl/>
        <w:spacing w:line="360" w:lineRule="auto"/>
        <w:ind w:firstLine="420" w:firstLineChars="200"/>
        <w:rPr>
          <w:rFonts w:hint="eastAsia" w:ascii="宋体" w:hAnsi="宋体"/>
          <w:szCs w:val="24"/>
        </w:rPr>
      </w:pPr>
      <w:r>
        <w:rPr>
          <w:rFonts w:hint="eastAsia" w:ascii="宋体" w:hAnsi="宋体"/>
          <w:szCs w:val="24"/>
        </w:rPr>
        <w:t>2、基金管理人监事会成员</w:t>
      </w:r>
    </w:p>
    <w:p>
      <w:pPr>
        <w:widowControl/>
        <w:spacing w:line="360" w:lineRule="auto"/>
        <w:ind w:firstLine="420" w:firstLineChars="200"/>
        <w:rPr>
          <w:rFonts w:hint="eastAsia" w:ascii="宋体" w:hAnsi="宋体"/>
          <w:szCs w:val="24"/>
        </w:rPr>
      </w:pPr>
      <w:r>
        <w:rPr>
          <w:rFonts w:hint="eastAsia" w:ascii="宋体" w:hAnsi="宋体"/>
          <w:szCs w:val="24"/>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widowControl/>
        <w:spacing w:line="360" w:lineRule="auto"/>
        <w:ind w:firstLine="420" w:firstLineChars="200"/>
        <w:rPr>
          <w:rFonts w:hint="eastAsia" w:ascii="宋体" w:hAnsi="宋体"/>
          <w:szCs w:val="24"/>
        </w:rPr>
      </w:pPr>
      <w:r>
        <w:rPr>
          <w:rFonts w:hint="eastAsia" w:ascii="宋体" w:hAnsi="宋体"/>
          <w:szCs w:val="24"/>
        </w:rPr>
        <w:t>蒋伟先生，硕士。2011年3月至2017年5月就职于中国长城资产管理公司，分别任办公室外事处一级业务员、业务副主管、业务主管。2017年5月至2020年7月职于长城罗斯基金管理有限公司任行政总监/执行董事。2020年7月至今任中国长城资产管理有限公司资产经营三部副高级经理（处室负责人）。</w:t>
      </w:r>
    </w:p>
    <w:p>
      <w:pPr>
        <w:widowControl/>
        <w:spacing w:line="360" w:lineRule="auto"/>
        <w:ind w:firstLine="420" w:firstLineChars="200"/>
        <w:rPr>
          <w:rFonts w:hint="eastAsia" w:ascii="宋体" w:hAnsi="宋体"/>
          <w:szCs w:val="24"/>
        </w:rPr>
      </w:pPr>
      <w:r>
        <w:rPr>
          <w:rFonts w:hint="eastAsia" w:ascii="宋体" w:hAnsi="宋体"/>
          <w:szCs w:val="24"/>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widowControl/>
        <w:spacing w:line="360" w:lineRule="auto"/>
        <w:ind w:firstLine="420" w:firstLineChars="200"/>
        <w:rPr>
          <w:rFonts w:hint="eastAsia" w:ascii="宋体" w:hAnsi="宋体"/>
          <w:szCs w:val="24"/>
        </w:rPr>
      </w:pPr>
      <w:r>
        <w:rPr>
          <w:rFonts w:hint="eastAsia" w:ascii="宋体" w:hAnsi="宋体"/>
          <w:szCs w:val="24"/>
        </w:rPr>
        <w:t>严斌先生，硕士。1997年7月起先后在华侨城集团公司、博时基金管理有限公司工作。现任博时基金管理有限公司财务部总经理。自2015年5月起，任博时基金管理有限公司监事。</w:t>
      </w:r>
    </w:p>
    <w:p>
      <w:pPr>
        <w:widowControl/>
        <w:spacing w:line="360" w:lineRule="auto"/>
        <w:ind w:firstLine="420" w:firstLineChars="200"/>
        <w:rPr>
          <w:rFonts w:hint="eastAsia" w:ascii="宋体" w:hAnsi="宋体"/>
          <w:szCs w:val="24"/>
        </w:rPr>
      </w:pPr>
      <w:r>
        <w:rPr>
          <w:rFonts w:hint="eastAsia" w:ascii="宋体" w:hAnsi="宋体"/>
          <w:szCs w:val="24"/>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widowControl/>
        <w:spacing w:line="360" w:lineRule="auto"/>
        <w:ind w:firstLine="420" w:firstLineChars="200"/>
        <w:rPr>
          <w:rFonts w:hint="eastAsia" w:ascii="宋体" w:hAnsi="宋体"/>
          <w:szCs w:val="24"/>
        </w:rPr>
      </w:pPr>
      <w:r>
        <w:rPr>
          <w:rFonts w:hint="eastAsia" w:ascii="宋体" w:hAnsi="宋体"/>
          <w:szCs w:val="24"/>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widowControl/>
        <w:numPr>
          <w:ilvl w:val="-1"/>
          <w:numId w:val="0"/>
        </w:numPr>
        <w:spacing w:line="360" w:lineRule="auto"/>
        <w:ind w:firstLine="420" w:firstLineChars="200"/>
        <w:rPr>
          <w:rFonts w:hint="eastAsia" w:ascii="宋体" w:hAnsi="宋体"/>
          <w:szCs w:val="24"/>
        </w:rPr>
      </w:pPr>
      <w:r>
        <w:rPr>
          <w:rFonts w:hint="eastAsia" w:ascii="宋体" w:hAnsi="宋体"/>
          <w:szCs w:val="24"/>
        </w:rPr>
        <w:t>高级管理人员</w:t>
      </w:r>
    </w:p>
    <w:p>
      <w:pPr>
        <w:widowControl/>
        <w:spacing w:line="360" w:lineRule="auto"/>
        <w:ind w:firstLine="420" w:firstLineChars="200"/>
        <w:rPr>
          <w:rFonts w:hint="eastAsia" w:ascii="宋体" w:hAnsi="宋体"/>
          <w:szCs w:val="24"/>
        </w:rPr>
      </w:pPr>
      <w:r>
        <w:rPr>
          <w:rFonts w:hint="eastAsia" w:ascii="宋体" w:hAnsi="宋体"/>
          <w:szCs w:val="24"/>
        </w:rPr>
        <w:t>江向阳先生，简历同上。</w:t>
      </w:r>
    </w:p>
    <w:p>
      <w:pPr>
        <w:widowControl/>
        <w:spacing w:line="360" w:lineRule="auto"/>
        <w:ind w:firstLine="420" w:firstLineChars="200"/>
        <w:rPr>
          <w:rFonts w:hint="eastAsia" w:ascii="宋体" w:hAnsi="宋体"/>
          <w:szCs w:val="24"/>
        </w:rPr>
      </w:pPr>
      <w:r>
        <w:rPr>
          <w:rFonts w:hint="eastAsia" w:ascii="宋体" w:hAnsi="宋体"/>
          <w:szCs w:val="24"/>
        </w:rPr>
        <w:t>高阳先生，简历同上。</w:t>
      </w:r>
    </w:p>
    <w:p>
      <w:pPr>
        <w:widowControl/>
        <w:spacing w:line="360" w:lineRule="auto"/>
        <w:ind w:firstLine="420" w:firstLineChars="200"/>
        <w:rPr>
          <w:rFonts w:hint="eastAsia" w:ascii="宋体" w:hAnsi="宋体"/>
          <w:szCs w:val="24"/>
        </w:rPr>
      </w:pPr>
      <w:r>
        <w:rPr>
          <w:rFonts w:hint="eastAsia" w:ascii="宋体" w:hAnsi="宋体"/>
          <w:szCs w:val="24"/>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widowControl/>
        <w:spacing w:line="360" w:lineRule="auto"/>
        <w:ind w:firstLine="420" w:firstLineChars="200"/>
        <w:rPr>
          <w:rFonts w:hint="eastAsia" w:ascii="宋体" w:hAnsi="宋体"/>
          <w:szCs w:val="24"/>
        </w:rPr>
      </w:pPr>
      <w:r>
        <w:rPr>
          <w:rFonts w:hint="eastAsia" w:ascii="宋体" w:hAnsi="宋体"/>
          <w:szCs w:val="24"/>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widowControl/>
        <w:spacing w:line="360" w:lineRule="auto"/>
        <w:ind w:firstLine="420" w:firstLineChars="200"/>
        <w:rPr>
          <w:rFonts w:hint="eastAsia" w:ascii="宋体" w:hAnsi="宋体"/>
          <w:szCs w:val="24"/>
        </w:rPr>
      </w:pPr>
      <w:r>
        <w:rPr>
          <w:rFonts w:hint="eastAsia" w:ascii="宋体" w:hAnsi="宋体"/>
          <w:szCs w:val="24"/>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pStyle w:val="7"/>
        <w:spacing w:before="0" w:beforeAutospacing="0" w:after="0" w:afterAutospacing="0" w:line="360" w:lineRule="auto"/>
        <w:ind w:firstLine="420"/>
        <w:rPr>
          <w:sz w:val="21"/>
          <w:szCs w:val="21"/>
        </w:rPr>
      </w:pPr>
      <w:r>
        <w:rPr>
          <w:rFonts w:hint="eastAsia" w:ascii="宋体" w:hAnsi="宋体" w:eastAsiaTheme="minorEastAsia" w:cstheme="minorBidi"/>
          <w:kern w:val="2"/>
          <w:sz w:val="21"/>
          <w:szCs w:val="24"/>
        </w:rPr>
        <w:t>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w:t>
      </w:r>
      <w:r>
        <w:rPr>
          <w:rFonts w:hint="eastAsia"/>
          <w:sz w:val="21"/>
          <w:szCs w:val="21"/>
        </w:rPr>
        <w:t xml:space="preserve"> </w:t>
      </w:r>
      <w:bookmarkStart w:id="34" w:name="field_0_managerpersoninfo_1_end"/>
      <w:bookmarkEnd w:id="34"/>
      <w:r>
        <w:rPr>
          <w:rFonts w:hint="eastAsia"/>
          <w:sz w:val="21"/>
          <w:szCs w:val="21"/>
        </w:rPr>
        <w:t xml:space="preserve">  </w:t>
      </w:r>
    </w:p>
    <w:p>
      <w:pPr>
        <w:pStyle w:val="7"/>
        <w:spacing w:before="0" w:beforeAutospacing="0" w:after="0" w:afterAutospacing="0" w:line="360" w:lineRule="auto"/>
        <w:ind w:firstLine="420"/>
        <w:rPr>
          <w:sz w:val="21"/>
          <w:szCs w:val="21"/>
        </w:rPr>
      </w:pPr>
      <w:bookmarkStart w:id="35" w:name="chapter_level1_5_53_section_2"/>
      <w:bookmarkEnd w:id="35"/>
      <w:r>
        <w:rPr>
          <w:rFonts w:hint="eastAsia"/>
          <w:sz w:val="21"/>
          <w:szCs w:val="21"/>
        </w:rPr>
        <w:t xml:space="preserve">4、本基金基金经理 </w:t>
      </w:r>
    </w:p>
    <w:p>
      <w:pPr>
        <w:pStyle w:val="7"/>
        <w:spacing w:before="0" w:beforeAutospacing="0" w:after="0" w:afterAutospacing="0" w:line="360" w:lineRule="auto"/>
        <w:ind w:firstLine="420"/>
        <w:rPr>
          <w:sz w:val="21"/>
          <w:szCs w:val="21"/>
        </w:rPr>
      </w:pPr>
      <w:bookmarkStart w:id="36" w:name="field_0_fundmanagerresume_1_start"/>
      <w:bookmarkEnd w:id="36"/>
      <w:r>
        <w:rPr>
          <w:rFonts w:hint="eastAsia" w:ascii="宋体" w:hAnsi="宋体" w:eastAsiaTheme="minorEastAsia" w:cstheme="minorBidi"/>
          <w:i w:val="0"/>
          <w:iCs w:val="0"/>
          <w:caps w:val="0"/>
          <w:spacing w:val="0"/>
          <w:kern w:val="2"/>
          <w:sz w:val="21"/>
          <w:szCs w:val="24"/>
          <w:shd w:val="clear"/>
        </w:rPr>
        <w:t>曾鹏先生，硕士。2005年起先后在上投摩根基金、嘉实基金从事研究、投资工作。2012年加入博时基金管理有限公司。历任投资经理、博时灵活配置混合型证券投资基金(2015年2月9日-2016年4月25日)基金经理、权益投资主题组负责人、权益投资总部一体化投研总监、博时港股通领先趋势混合型证券投资基金(2021年2月9日-2022年7月9日)基金经理。现任公司董事总经理兼权益投研一体化总监、权益投资四部总经理、权益投资四部投资总监、境外投资部总经理、博时新兴成长混合型证券投资基金(2013年1月18日—至今)、博时特许价值混合型证券投资基金(2018年6月21日—至今)、博时科创主题灵活配置混合型证券投资基金（LOF）(2019年6月27日—至今)、博时科技创新混合型证券投资基金(2020年4月15日—至今)、博时新兴消费主题混合型证券投资基金(2021年1月20日—至今)、博时沪港深优质企业灵活配置混合型证券投资基金(2021年1月20日—至今)、博时半导体主题混合型证券投资基金(2021年7月20日—至今)、博时消费创新混合型证券投资基金(2021年11月8日—至今)、博时时代领航混合型证券投资基金(2022年1月25日—至今)、博时军工主题股票型证券投资基金(2022年6月29日—至今)的基金经理。</w:t>
      </w:r>
      <w:bookmarkStart w:id="37" w:name="field_0_fundmanagerresume_1_end"/>
      <w:bookmarkEnd w:id="37"/>
      <w:r>
        <w:rPr>
          <w:rFonts w:hint="eastAsia"/>
          <w:sz w:val="21"/>
          <w:szCs w:val="21"/>
        </w:rPr>
        <w:t xml:space="preserve">  </w:t>
      </w:r>
    </w:p>
    <w:p>
      <w:pPr>
        <w:pStyle w:val="7"/>
        <w:spacing w:before="0" w:beforeAutospacing="0" w:after="0" w:afterAutospacing="0" w:line="360" w:lineRule="auto"/>
        <w:ind w:firstLine="420"/>
        <w:rPr>
          <w:sz w:val="21"/>
          <w:szCs w:val="21"/>
        </w:rPr>
      </w:pPr>
      <w:bookmarkStart w:id="38" w:name="field_0_fundmanagershis_1_start"/>
      <w:bookmarkEnd w:id="38"/>
      <w:r>
        <w:rPr>
          <w:rFonts w:hint="eastAsia"/>
          <w:sz w:val="21"/>
          <w:szCs w:val="21"/>
        </w:rPr>
        <w:t>本基金历任基金经理：兰乔（2017年7月4日-2022年6月29</w:t>
      </w:r>
      <w:bookmarkStart w:id="39" w:name="chapter_level1_5_53_section_2_end"/>
      <w:bookmarkEnd w:id="39"/>
      <w:r>
        <w:rPr>
          <w:rFonts w:hint="eastAsia"/>
          <w:sz w:val="21"/>
          <w:szCs w:val="21"/>
        </w:rPr>
        <w:t>日）。</w:t>
      </w:r>
      <w:bookmarkStart w:id="40" w:name="field_0_fundmanagershis_1_end"/>
      <w:bookmarkEnd w:id="40"/>
      <w:r>
        <w:rPr>
          <w:rFonts w:hint="eastAsia"/>
          <w:sz w:val="21"/>
          <w:szCs w:val="21"/>
        </w:rPr>
        <w:t xml:space="preserve">  </w:t>
      </w:r>
    </w:p>
    <w:p>
      <w:pPr>
        <w:pStyle w:val="7"/>
        <w:spacing w:before="0" w:beforeAutospacing="0" w:after="0" w:afterAutospacing="0" w:line="360" w:lineRule="auto"/>
        <w:ind w:firstLine="420"/>
        <w:rPr>
          <w:sz w:val="21"/>
          <w:szCs w:val="21"/>
        </w:rPr>
      </w:pPr>
      <w:bookmarkStart w:id="41" w:name="chapter_level1_5_53_section_3"/>
      <w:bookmarkEnd w:id="41"/>
      <w:bookmarkStart w:id="42" w:name="field_0_managerpersoninfo2_1_start"/>
      <w:bookmarkEnd w:id="42"/>
      <w:r>
        <w:rPr>
          <w:rFonts w:hint="eastAsia"/>
          <w:sz w:val="21"/>
          <w:szCs w:val="21"/>
        </w:rPr>
        <w:t xml:space="preserve">5、投资决策委员会成员 </w:t>
      </w:r>
    </w:p>
    <w:p>
      <w:pPr>
        <w:widowControl/>
        <w:spacing w:line="360" w:lineRule="auto"/>
        <w:ind w:firstLine="420" w:firstLineChars="200"/>
        <w:rPr>
          <w:rFonts w:hint="eastAsia" w:ascii="宋体" w:hAnsi="宋体"/>
          <w:szCs w:val="24"/>
        </w:rPr>
      </w:pPr>
      <w:r>
        <w:rPr>
          <w:rFonts w:hint="eastAsia" w:ascii="宋体" w:hAnsi="宋体"/>
          <w:szCs w:val="24"/>
        </w:rPr>
        <w:t>公司总经理高阳先生。</w:t>
      </w:r>
    </w:p>
    <w:p>
      <w:pPr>
        <w:widowControl/>
        <w:spacing w:line="360" w:lineRule="auto"/>
        <w:ind w:firstLine="420" w:firstLineChars="200"/>
        <w:rPr>
          <w:rFonts w:hint="eastAsia" w:ascii="宋体" w:hAnsi="宋体"/>
          <w:szCs w:val="24"/>
        </w:rPr>
      </w:pPr>
      <w:r>
        <w:rPr>
          <w:rFonts w:hint="eastAsia" w:ascii="宋体" w:hAnsi="宋体"/>
          <w:szCs w:val="24"/>
        </w:rPr>
        <w:t>公司首席资产配置官黄健斌先生。</w:t>
      </w:r>
    </w:p>
    <w:p>
      <w:pPr>
        <w:widowControl/>
        <w:spacing w:line="360" w:lineRule="auto"/>
        <w:ind w:firstLine="420" w:firstLineChars="200"/>
        <w:rPr>
          <w:rFonts w:hint="eastAsia" w:ascii="宋体" w:hAnsi="宋体"/>
          <w:szCs w:val="24"/>
        </w:rPr>
      </w:pPr>
      <w:r>
        <w:rPr>
          <w:rFonts w:hint="eastAsia" w:ascii="宋体" w:hAnsi="宋体"/>
          <w:szCs w:val="24"/>
        </w:rPr>
        <w:t>首席基金经理过钧先生。</w:t>
      </w:r>
    </w:p>
    <w:p>
      <w:pPr>
        <w:widowControl/>
        <w:spacing w:line="360" w:lineRule="auto"/>
        <w:ind w:firstLine="420" w:firstLineChars="200"/>
        <w:rPr>
          <w:rFonts w:hint="eastAsia" w:ascii="宋体" w:hAnsi="宋体"/>
          <w:szCs w:val="24"/>
        </w:rPr>
      </w:pPr>
      <w:r>
        <w:rPr>
          <w:rFonts w:hint="eastAsia" w:ascii="宋体" w:hAnsi="宋体"/>
          <w:szCs w:val="24"/>
        </w:rPr>
        <w:t>公司董事总经理兼权益投研一体化总监、权益投资四部总经理、权益投资四部投资总监、境外投资部总经理曾鹏先生。</w:t>
      </w:r>
    </w:p>
    <w:p>
      <w:pPr>
        <w:widowControl/>
        <w:spacing w:line="360" w:lineRule="auto"/>
        <w:ind w:firstLine="420" w:firstLineChars="200"/>
        <w:rPr>
          <w:rFonts w:hint="eastAsia" w:ascii="宋体" w:hAnsi="宋体"/>
          <w:szCs w:val="24"/>
        </w:rPr>
      </w:pPr>
      <w:r>
        <w:rPr>
          <w:rFonts w:hint="eastAsia" w:ascii="宋体" w:hAnsi="宋体"/>
          <w:szCs w:val="24"/>
        </w:rPr>
        <w:t>权益投资三部投资总监蔡滨先生。</w:t>
      </w:r>
    </w:p>
    <w:p>
      <w:pPr>
        <w:widowControl/>
        <w:spacing w:line="360" w:lineRule="auto"/>
        <w:ind w:firstLine="420" w:firstLineChars="200"/>
        <w:rPr>
          <w:rFonts w:hint="eastAsia" w:ascii="宋体" w:hAnsi="宋体"/>
          <w:szCs w:val="24"/>
        </w:rPr>
      </w:pPr>
      <w:r>
        <w:rPr>
          <w:rFonts w:hint="eastAsia" w:ascii="宋体" w:hAnsi="宋体"/>
          <w:szCs w:val="24"/>
        </w:rPr>
        <w:t>公司董事总经理兼年金投资部总经理、投资总监杨帆先生。</w:t>
      </w:r>
    </w:p>
    <w:p>
      <w:pPr>
        <w:widowControl/>
        <w:spacing w:line="360" w:lineRule="auto"/>
        <w:ind w:firstLine="420" w:firstLineChars="200"/>
        <w:rPr>
          <w:rFonts w:hint="eastAsia" w:ascii="宋体" w:hAnsi="宋体"/>
          <w:szCs w:val="24"/>
        </w:rPr>
      </w:pPr>
      <w:r>
        <w:rPr>
          <w:rFonts w:hint="eastAsia" w:ascii="宋体" w:hAnsi="宋体"/>
          <w:szCs w:val="24"/>
        </w:rPr>
        <w:t>指数与量化投资部投资总监赵云阳先生。</w:t>
      </w:r>
    </w:p>
    <w:p>
      <w:pPr>
        <w:pStyle w:val="7"/>
        <w:spacing w:before="0" w:beforeAutospacing="0" w:after="0" w:afterAutospacing="0" w:line="360" w:lineRule="auto"/>
        <w:ind w:firstLine="420"/>
        <w:rPr>
          <w:sz w:val="21"/>
          <w:szCs w:val="21"/>
        </w:rPr>
      </w:pPr>
      <w:r>
        <w:rPr>
          <w:rFonts w:hint="eastAsia" w:ascii="宋体" w:hAnsi="宋体" w:eastAsiaTheme="minorEastAsia" w:cstheme="minorBidi"/>
          <w:kern w:val="2"/>
          <w:sz w:val="21"/>
          <w:szCs w:val="24"/>
        </w:rPr>
        <w:t>行业研究部研究总监兼副总经理金晟哲先生。</w:t>
      </w:r>
      <w:r>
        <w:rPr>
          <w:rFonts w:hint="eastAsia"/>
          <w:sz w:val="21"/>
          <w:szCs w:val="21"/>
        </w:rPr>
        <w:t xml:space="preserve"> </w:t>
      </w:r>
    </w:p>
    <w:p>
      <w:pPr>
        <w:pStyle w:val="7"/>
        <w:spacing w:before="0" w:beforeAutospacing="0" w:after="0" w:afterAutospacing="0" w:line="360" w:lineRule="auto"/>
        <w:ind w:firstLine="420"/>
        <w:rPr>
          <w:sz w:val="21"/>
          <w:szCs w:val="21"/>
        </w:rPr>
      </w:pPr>
      <w:bookmarkStart w:id="43" w:name="chapter_level1_5_53_section_3_end"/>
      <w:bookmarkEnd w:id="43"/>
      <w:r>
        <w:rPr>
          <w:rFonts w:hint="eastAsia"/>
          <w:sz w:val="21"/>
          <w:szCs w:val="21"/>
        </w:rPr>
        <w:t xml:space="preserve">6、上述人员之间均不存在近亲属关系。 </w:t>
      </w:r>
      <w:bookmarkStart w:id="44" w:name="field_0_managerpersoninfo2_1_end"/>
      <w:bookmarkEnd w:id="44"/>
      <w:r>
        <w:rPr>
          <w:rFonts w:hint="eastAsia"/>
          <w:sz w:val="21"/>
          <w:szCs w:val="21"/>
        </w:rPr>
        <w:t xml:space="preserve">  </w:t>
      </w:r>
    </w:p>
    <w:p>
      <w:pPr>
        <w:pStyle w:val="7"/>
        <w:spacing w:before="0" w:beforeAutospacing="0" w:after="0" w:afterAutospacing="0" w:line="360" w:lineRule="auto"/>
        <w:ind w:firstLine="420"/>
        <w:rPr>
          <w:sz w:val="21"/>
          <w:szCs w:val="21"/>
        </w:rPr>
      </w:pPr>
      <w:bookmarkStart w:id="45" w:name="chapter_level1_5_53_section_4"/>
      <w:bookmarkEnd w:id="45"/>
      <w:r>
        <w:rPr>
          <w:rStyle w:val="11"/>
          <w:rFonts w:hint="eastAsia"/>
          <w:sz w:val="21"/>
          <w:szCs w:val="21"/>
        </w:rPr>
        <w:t>三、基金管理人的职责</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24、基金管理人在募集期间未能达到基金的备案条件，《基金合同》不能生效，基金管理人承担全部募集费用，将已募集资金加计银行同期存款利息在基金募集期结束后30日内退还基金认购人；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（3）利用基金财产或者职务之便为基金份额持有人以外的第三人牟取利益；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（5）侵占、挪用基金财产； </w:t>
      </w:r>
    </w:p>
    <w:p>
      <w:pPr>
        <w:pStyle w:val="7"/>
        <w:spacing w:before="0" w:beforeAutospacing="0" w:after="0" w:afterAutospacing="0" w:line="360" w:lineRule="auto"/>
        <w:ind w:firstLine="420"/>
        <w:rPr>
          <w:sz w:val="21"/>
          <w:szCs w:val="21"/>
        </w:rPr>
      </w:pPr>
      <w:r>
        <w:rPr>
          <w:rFonts w:hint="eastAsia"/>
          <w:sz w:val="21"/>
          <w:szCs w:val="21"/>
        </w:rPr>
        <w:t xml:space="preserve">（6）泄露因职务便利获取的未公开信息、利用该信息从事或者明示、暗示他人从事相关的交易活动；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（7）玩忽职守，不按照规定履行职责； </w:t>
      </w:r>
    </w:p>
    <w:p>
      <w:pPr>
        <w:pStyle w:val="7"/>
        <w:spacing w:before="0" w:beforeAutospacing="0" w:after="0" w:afterAutospacing="0" w:line="360" w:lineRule="auto"/>
        <w:ind w:firstLine="420"/>
        <w:rPr>
          <w:sz w:val="21"/>
          <w:szCs w:val="21"/>
        </w:rPr>
      </w:pPr>
      <w:r>
        <w:rPr>
          <w:rFonts w:hint="eastAsia"/>
          <w:sz w:val="21"/>
          <w:szCs w:val="21"/>
        </w:rPr>
        <w:t xml:space="preserve">（8）法律、行政法规和中国证监会规定禁止的其他行为。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2、不利用职务之便为自己、受雇人或任何第三者牟取利益；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Fonts w:hint="eastAsia"/>
          <w:sz w:val="21"/>
          <w:szCs w:val="21"/>
        </w:rPr>
        <w:t xml:space="preserve">六、基金管理人的内部控制制度 </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6" w:name="chapter_level1_5_53_section_4_end"/>
      <w:bookmarkEnd w:id="46"/>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7" w:name="_Toc113560415"/>
      <w:bookmarkStart w:id="48" w:name="chapter_level1_6_55"/>
      <w:r>
        <w:rPr>
          <w:rFonts w:hint="eastAsia" w:ascii="宋体" w:hAnsi="宋体" w:eastAsia="宋体"/>
          <w:sz w:val="30"/>
        </w:rPr>
        <w:t>第四部分  基金托管人</w:t>
      </w:r>
      <w:bookmarkEnd w:id="47"/>
      <w:bookmarkEnd w:id="48"/>
    </w:p>
    <w:p>
      <w:pPr>
        <w:pStyle w:val="7"/>
        <w:spacing w:before="0" w:beforeAutospacing="0" w:after="0" w:afterAutospacing="0" w:line="360" w:lineRule="auto"/>
        <w:ind w:firstLine="420"/>
        <w:rPr>
          <w:sz w:val="21"/>
          <w:szCs w:val="21"/>
        </w:rPr>
      </w:pPr>
      <w:bookmarkStart w:id="49" w:name="chapter_level1_6_55_section_1"/>
      <w:bookmarkEnd w:id="49"/>
      <w:bookmarkStart w:id="50" w:name="field_0_trustcompanyinfo_1_start"/>
      <w:bookmarkEnd w:id="50"/>
      <w:r>
        <w:rPr>
          <w:rFonts w:hint="eastAsia"/>
          <w:sz w:val="21"/>
          <w:szCs w:val="21"/>
        </w:rPr>
        <w:t xml:space="preserve">一、基金托管人情况 </w:t>
      </w:r>
    </w:p>
    <w:p>
      <w:pPr>
        <w:pStyle w:val="7"/>
        <w:spacing w:before="0" w:beforeAutospacing="0" w:after="0" w:afterAutospacing="0" w:line="360" w:lineRule="auto"/>
        <w:ind w:firstLine="420"/>
        <w:rPr>
          <w:sz w:val="21"/>
          <w:szCs w:val="21"/>
        </w:rPr>
      </w:pPr>
      <w:r>
        <w:rPr>
          <w:rFonts w:hint="eastAsia"/>
          <w:sz w:val="21"/>
          <w:szCs w:val="21"/>
        </w:rPr>
        <w:t xml:space="preserve">（一）基本情况 </w:t>
      </w:r>
    </w:p>
    <w:p>
      <w:pPr>
        <w:pStyle w:val="7"/>
        <w:spacing w:before="0" w:beforeAutospacing="0" w:after="0" w:afterAutospacing="0" w:line="360" w:lineRule="auto"/>
        <w:ind w:firstLine="420"/>
        <w:rPr>
          <w:sz w:val="21"/>
          <w:szCs w:val="21"/>
        </w:rPr>
      </w:pPr>
      <w:r>
        <w:rPr>
          <w:rFonts w:hint="eastAsia"/>
          <w:sz w:val="21"/>
          <w:szCs w:val="21"/>
        </w:rPr>
        <w:t xml:space="preserve">名称：中国建设银行股份有限公司(简称：中国建设银行)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住所：北京市西城区金融大街25号 </w:t>
      </w:r>
    </w:p>
    <w:p>
      <w:pPr>
        <w:pStyle w:val="7"/>
        <w:spacing w:before="0" w:beforeAutospacing="0" w:after="0" w:afterAutospacing="0" w:line="360" w:lineRule="auto"/>
        <w:ind w:firstLine="420"/>
        <w:rPr>
          <w:sz w:val="21"/>
          <w:szCs w:val="21"/>
        </w:rPr>
      </w:pPr>
      <w:r>
        <w:rPr>
          <w:rFonts w:hint="eastAsia"/>
          <w:sz w:val="21"/>
          <w:szCs w:val="21"/>
        </w:rPr>
        <w:t xml:space="preserve">办公地址：北京市西城区闹市口大街1号院1号楼 </w:t>
      </w:r>
    </w:p>
    <w:p>
      <w:pPr>
        <w:pStyle w:val="7"/>
        <w:spacing w:before="0" w:beforeAutospacing="0" w:after="0" w:afterAutospacing="0" w:line="360" w:lineRule="auto"/>
        <w:ind w:firstLine="420"/>
        <w:rPr>
          <w:sz w:val="21"/>
          <w:szCs w:val="21"/>
        </w:rPr>
      </w:pPr>
      <w:r>
        <w:rPr>
          <w:rFonts w:hint="eastAsia"/>
          <w:sz w:val="21"/>
          <w:szCs w:val="21"/>
        </w:rPr>
        <w:t xml:space="preserve">法定代表人：田国立 </w:t>
      </w:r>
    </w:p>
    <w:p>
      <w:pPr>
        <w:pStyle w:val="7"/>
        <w:spacing w:before="0" w:beforeAutospacing="0" w:after="0" w:afterAutospacing="0" w:line="360" w:lineRule="auto"/>
        <w:ind w:firstLine="420"/>
        <w:rPr>
          <w:sz w:val="21"/>
          <w:szCs w:val="21"/>
        </w:rPr>
      </w:pPr>
      <w:r>
        <w:rPr>
          <w:rFonts w:hint="eastAsia"/>
          <w:sz w:val="21"/>
          <w:szCs w:val="21"/>
        </w:rPr>
        <w:t xml:space="preserve">成立时间：2004年09月17日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注册资本：贰仟伍佰亿壹仟零玖拾柒万柒仟肆佰捌拾陆元整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基金托管资格批文及文号：中国证监会证监基字[1998]12号 </w:t>
      </w:r>
    </w:p>
    <w:p>
      <w:pPr>
        <w:pStyle w:val="7"/>
        <w:spacing w:before="0" w:beforeAutospacing="0" w:after="0" w:afterAutospacing="0" w:line="360" w:lineRule="auto"/>
        <w:ind w:firstLine="420"/>
        <w:rPr>
          <w:sz w:val="21"/>
          <w:szCs w:val="21"/>
        </w:rPr>
      </w:pPr>
      <w:r>
        <w:rPr>
          <w:rFonts w:hint="eastAsia"/>
          <w:sz w:val="21"/>
          <w:szCs w:val="21"/>
        </w:rPr>
        <w:t xml:space="preserve">联系人：李申 </w:t>
      </w:r>
    </w:p>
    <w:p>
      <w:pPr>
        <w:pStyle w:val="7"/>
        <w:spacing w:before="0" w:beforeAutospacing="0" w:after="0" w:afterAutospacing="0" w:line="360" w:lineRule="auto"/>
        <w:ind w:firstLine="420"/>
        <w:rPr>
          <w:sz w:val="21"/>
          <w:szCs w:val="21"/>
        </w:rPr>
      </w:pPr>
      <w:r>
        <w:rPr>
          <w:rFonts w:hint="eastAsia"/>
          <w:sz w:val="21"/>
          <w:szCs w:val="21"/>
        </w:rPr>
        <w:t xml:space="preserve">联系电话：(021)6063 7102 </w:t>
      </w:r>
    </w:p>
    <w:p>
      <w:pPr>
        <w:pStyle w:val="7"/>
        <w:spacing w:before="0" w:beforeAutospacing="0" w:after="0" w:afterAutospacing="0" w:line="360" w:lineRule="auto"/>
        <w:ind w:firstLine="420"/>
        <w:rPr>
          <w:sz w:val="21"/>
          <w:szCs w:val="21"/>
        </w:rPr>
      </w:pPr>
      <w:r>
        <w:rPr>
          <w:rFonts w:hint="eastAsia"/>
          <w:sz w:val="21"/>
          <w:szCs w:val="21"/>
        </w:rPr>
        <w:t xml:space="preserve">（二）主要人员情况 </w:t>
      </w:r>
    </w:p>
    <w:p>
      <w:pPr>
        <w:pStyle w:val="7"/>
        <w:spacing w:before="0" w:beforeAutospacing="0" w:after="0" w:afterAutospacing="0" w:line="360" w:lineRule="auto"/>
        <w:ind w:firstLine="420"/>
        <w:rPr>
          <w:sz w:val="21"/>
          <w:szCs w:val="21"/>
        </w:rPr>
      </w:pPr>
      <w:r>
        <w:rPr>
          <w:rFonts w:hint="eastAsia"/>
          <w:sz w:val="21"/>
          <w:szCs w:val="21"/>
        </w:rPr>
        <w:t xml:space="preserve">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 </w:t>
      </w:r>
    </w:p>
    <w:p>
      <w:pPr>
        <w:pStyle w:val="7"/>
        <w:spacing w:before="0" w:beforeAutospacing="0" w:after="0" w:afterAutospacing="0" w:line="360" w:lineRule="auto"/>
        <w:ind w:firstLine="420"/>
        <w:rPr>
          <w:sz w:val="21"/>
          <w:szCs w:val="21"/>
        </w:rPr>
      </w:pPr>
      <w:r>
        <w:rPr>
          <w:rFonts w:hint="eastAsia"/>
          <w:sz w:val="21"/>
          <w:szCs w:val="21"/>
        </w:rPr>
        <w:t xml:space="preserve">（三）基金托管业务经营情况 </w:t>
      </w:r>
    </w:p>
    <w:p>
      <w:pPr>
        <w:pStyle w:val="7"/>
        <w:spacing w:before="0" w:beforeAutospacing="0" w:after="0" w:afterAutospacing="0" w:line="360" w:lineRule="auto"/>
        <w:ind w:firstLine="420"/>
        <w:rPr>
          <w:sz w:val="21"/>
          <w:szCs w:val="21"/>
        </w:rPr>
      </w:pPr>
      <w:r>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2022年1季度末，中国建设银行已托管1203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2020、2021年分别荣获《亚洲银行家》颁发的“最佳托管系统实施奖”、“中国年度托管业务科技实施奖”、“中国年度托管</w:t>
      </w:r>
      <w:bookmarkStart w:id="51" w:name="chapter_level1_6_55_section_1_end"/>
      <w:bookmarkEnd w:id="51"/>
      <w:r>
        <w:rPr>
          <w:rFonts w:hint="eastAsia"/>
          <w:sz w:val="21"/>
          <w:szCs w:val="21"/>
        </w:rPr>
        <w:t xml:space="preserve">银行（大型银行）”以及“中国最佳数字化资产托管银行”奖项。 </w:t>
      </w:r>
      <w:bookmarkStart w:id="52" w:name="field_0_trustcompanyinfo_1_end"/>
      <w:bookmarkEnd w:id="52"/>
      <w:r>
        <w:rPr>
          <w:rFonts w:hint="eastAsia"/>
          <w:sz w:val="21"/>
          <w:szCs w:val="21"/>
        </w:rPr>
        <w:t xml:space="preserve">  </w:t>
      </w:r>
    </w:p>
    <w:p>
      <w:pPr>
        <w:pStyle w:val="7"/>
        <w:spacing w:before="0" w:beforeAutospacing="0" w:after="0" w:afterAutospacing="0" w:line="360" w:lineRule="auto"/>
        <w:ind w:firstLine="420"/>
        <w:rPr>
          <w:sz w:val="21"/>
          <w:szCs w:val="21"/>
        </w:rPr>
      </w:pPr>
      <w:bookmarkStart w:id="53" w:name="field_0_trustcontrollawinfo_1_start"/>
      <w:bookmarkEnd w:id="53"/>
      <w:bookmarkStart w:id="54" w:name="chapter_level1_6_55_section_2"/>
      <w:bookmarkEnd w:id="54"/>
      <w:r>
        <w:rPr>
          <w:rFonts w:hint="eastAsia"/>
          <w:sz w:val="21"/>
          <w:szCs w:val="21"/>
        </w:rPr>
        <w:t xml:space="preserve">二、基金托管人的内部控制制度 </w:t>
      </w:r>
    </w:p>
    <w:p>
      <w:pPr>
        <w:pStyle w:val="7"/>
        <w:spacing w:before="0" w:beforeAutospacing="0" w:after="0" w:afterAutospacing="0" w:line="360" w:lineRule="auto"/>
        <w:ind w:firstLine="420"/>
        <w:rPr>
          <w:sz w:val="21"/>
          <w:szCs w:val="21"/>
        </w:rPr>
      </w:pPr>
      <w:r>
        <w:rPr>
          <w:rFonts w:hint="eastAsia"/>
          <w:sz w:val="21"/>
          <w:szCs w:val="21"/>
        </w:rPr>
        <w:t xml:space="preserve">（一）内部控制目标 </w:t>
      </w:r>
    </w:p>
    <w:p>
      <w:pPr>
        <w:pStyle w:val="7"/>
        <w:spacing w:before="0" w:beforeAutospacing="0" w:after="0" w:afterAutospacing="0" w:line="360" w:lineRule="auto"/>
        <w:ind w:firstLine="420"/>
        <w:rPr>
          <w:sz w:val="21"/>
          <w:szCs w:val="21"/>
        </w:rPr>
      </w:pPr>
      <w:r>
        <w:rPr>
          <w:rFonts w:hint="eastAsia"/>
          <w:sz w:val="21"/>
          <w:szCs w:val="21"/>
        </w:rPr>
        <w:t xml:space="preserve">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（二）内部控制组织结构 </w:t>
      </w:r>
    </w:p>
    <w:p>
      <w:pPr>
        <w:pStyle w:val="7"/>
        <w:spacing w:before="0" w:beforeAutospacing="0" w:after="0" w:afterAutospacing="0" w:line="360" w:lineRule="auto"/>
        <w:ind w:firstLine="420"/>
        <w:rPr>
          <w:sz w:val="21"/>
          <w:szCs w:val="21"/>
        </w:rPr>
      </w:pPr>
      <w:r>
        <w:rPr>
          <w:rFonts w:hint="eastAsia"/>
          <w:sz w:val="21"/>
          <w:szCs w:val="21"/>
        </w:rPr>
        <w:t xml:space="preserve">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 </w:t>
      </w:r>
    </w:p>
    <w:p>
      <w:pPr>
        <w:pStyle w:val="7"/>
        <w:spacing w:before="0" w:beforeAutospacing="0" w:after="0" w:afterAutospacing="0" w:line="360" w:lineRule="auto"/>
        <w:ind w:firstLine="420"/>
        <w:rPr>
          <w:sz w:val="21"/>
          <w:szCs w:val="21"/>
        </w:rPr>
      </w:pPr>
      <w:r>
        <w:rPr>
          <w:rFonts w:hint="eastAsia"/>
          <w:sz w:val="21"/>
          <w:szCs w:val="21"/>
        </w:rPr>
        <w:t xml:space="preserve">（三）内部控制制度及措施 </w:t>
      </w:r>
    </w:p>
    <w:p>
      <w:pPr>
        <w:pStyle w:val="7"/>
        <w:spacing w:before="0" w:beforeAutospacing="0" w:after="0" w:afterAutospacing="0" w:line="360" w:lineRule="auto"/>
        <w:ind w:firstLine="420"/>
        <w:rPr>
          <w:sz w:val="21"/>
          <w:szCs w:val="21"/>
        </w:rPr>
      </w:pPr>
      <w:r>
        <w:rPr>
          <w:rFonts w:hint="eastAsia"/>
          <w:sz w:val="21"/>
          <w:szCs w:val="21"/>
        </w:rPr>
        <w:t xml:space="preserve">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pPr>
        <w:pStyle w:val="7"/>
        <w:spacing w:before="0" w:beforeAutospacing="0" w:after="0" w:afterAutospacing="0" w:line="360" w:lineRule="auto"/>
        <w:ind w:firstLine="420"/>
        <w:rPr>
          <w:sz w:val="21"/>
          <w:szCs w:val="21"/>
        </w:rPr>
      </w:pPr>
      <w:r>
        <w:rPr>
          <w:rFonts w:hint="eastAsia"/>
          <w:sz w:val="21"/>
          <w:szCs w:val="21"/>
        </w:rPr>
        <w:t xml:space="preserve">三、基金托管人对基金管理人运作基金进行监督的方法和程序 </w:t>
      </w:r>
    </w:p>
    <w:p>
      <w:pPr>
        <w:pStyle w:val="7"/>
        <w:spacing w:before="0" w:beforeAutospacing="0" w:after="0" w:afterAutospacing="0" w:line="360" w:lineRule="auto"/>
        <w:ind w:firstLine="420"/>
        <w:rPr>
          <w:sz w:val="21"/>
          <w:szCs w:val="21"/>
        </w:rPr>
      </w:pPr>
      <w:r>
        <w:rPr>
          <w:rFonts w:hint="eastAsia"/>
          <w:sz w:val="21"/>
          <w:szCs w:val="21"/>
        </w:rPr>
        <w:t xml:space="preserve">（一）监督方法 </w:t>
      </w:r>
    </w:p>
    <w:p>
      <w:pPr>
        <w:pStyle w:val="7"/>
        <w:spacing w:before="0" w:beforeAutospacing="0" w:after="0" w:afterAutospacing="0" w:line="360" w:lineRule="auto"/>
        <w:ind w:firstLine="420"/>
        <w:rPr>
          <w:sz w:val="21"/>
          <w:szCs w:val="21"/>
        </w:rPr>
      </w:pPr>
      <w:r>
        <w:rPr>
          <w:rFonts w:hint="eastAsia"/>
          <w:sz w:val="21"/>
          <w:szCs w:val="21"/>
        </w:rPr>
        <w:t xml:space="preserve">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 </w:t>
      </w:r>
    </w:p>
    <w:p>
      <w:pPr>
        <w:pStyle w:val="7"/>
        <w:spacing w:before="0" w:beforeAutospacing="0" w:after="0" w:afterAutospacing="0" w:line="360" w:lineRule="auto"/>
        <w:ind w:firstLine="420"/>
        <w:rPr>
          <w:sz w:val="21"/>
          <w:szCs w:val="21"/>
        </w:rPr>
      </w:pPr>
      <w:r>
        <w:rPr>
          <w:rFonts w:hint="eastAsia"/>
          <w:sz w:val="21"/>
          <w:szCs w:val="21"/>
        </w:rPr>
        <w:t xml:space="preserve">（二）监督流程 </w:t>
      </w:r>
    </w:p>
    <w:p>
      <w:pPr>
        <w:pStyle w:val="7"/>
        <w:spacing w:before="0" w:beforeAutospacing="0" w:after="0" w:afterAutospacing="0" w:line="360" w:lineRule="auto"/>
        <w:ind w:firstLine="420"/>
        <w:rPr>
          <w:sz w:val="21"/>
          <w:szCs w:val="21"/>
        </w:rPr>
      </w:pPr>
      <w:r>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pPr>
        <w:pStyle w:val="7"/>
        <w:spacing w:before="0" w:beforeAutospacing="0" w:after="0" w:afterAutospacing="0" w:line="360" w:lineRule="auto"/>
        <w:ind w:firstLine="420"/>
        <w:rPr>
          <w:sz w:val="21"/>
          <w:szCs w:val="21"/>
        </w:rPr>
      </w:pPr>
      <w:r>
        <w:rPr>
          <w:rFonts w:hint="eastAsia"/>
          <w:sz w:val="21"/>
          <w:szCs w:val="21"/>
        </w:rPr>
        <w:t xml:space="preserve">2.收到基金管理人的划款指令后，对指令要素等内容进行核查。 </w:t>
      </w:r>
    </w:p>
    <w:p>
      <w:pPr>
        <w:pStyle w:val="7"/>
        <w:spacing w:before="0" w:beforeAutospacing="0" w:after="0" w:afterAutospacing="0" w:line="360" w:lineRule="auto"/>
        <w:ind w:firstLine="420"/>
        <w:rPr>
          <w:sz w:val="21"/>
          <w:szCs w:val="21"/>
        </w:rPr>
      </w:pPr>
      <w:r>
        <w:rPr>
          <w:rFonts w:hint="eastAsia"/>
          <w:sz w:val="21"/>
          <w:szCs w:val="21"/>
        </w:rPr>
        <w:t>3.通过技术或非技术手段发现基金涉嫌违规交易，电话或书面要求基金管理人进行解释</w:t>
      </w:r>
      <w:bookmarkStart w:id="55" w:name="chapter_level1_6_55_section_2_end"/>
      <w:bookmarkEnd w:id="55"/>
      <w:r>
        <w:rPr>
          <w:rFonts w:hint="eastAsia"/>
          <w:sz w:val="21"/>
          <w:szCs w:val="21"/>
        </w:rPr>
        <w:t xml:space="preserve">或举证，如有必要将及时报告中国证监会。 </w:t>
      </w:r>
      <w:bookmarkStart w:id="56" w:name="field_0_trustcontrollawinfo_1_end"/>
      <w:bookmarkEnd w:id="56"/>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7" w:name="chapter_level1_7_56"/>
      <w:bookmarkStart w:id="58" w:name="_Toc113560416"/>
      <w:r>
        <w:rPr>
          <w:rFonts w:hint="eastAsia" w:ascii="宋体" w:hAnsi="宋体" w:eastAsia="宋体"/>
          <w:sz w:val="30"/>
        </w:rPr>
        <w:t>第五部分  相关服务机构</w:t>
      </w:r>
      <w:bookmarkEnd w:id="57"/>
      <w:bookmarkEnd w:id="58"/>
    </w:p>
    <w:p>
      <w:pPr>
        <w:pStyle w:val="7"/>
        <w:spacing w:before="0" w:beforeAutospacing="0" w:after="0" w:afterAutospacing="0" w:line="360" w:lineRule="auto"/>
        <w:ind w:firstLine="420"/>
        <w:rPr>
          <w:sz w:val="21"/>
          <w:szCs w:val="21"/>
        </w:rPr>
      </w:pPr>
      <w:bookmarkStart w:id="59" w:name="chapter_level1_7_56_section_1"/>
      <w:bookmarkEnd w:id="59"/>
      <w:r>
        <w:rPr>
          <w:rStyle w:val="11"/>
          <w:rFonts w:hint="eastAsia"/>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60" w:name="field_0_marketcompanyinfo_1_start"/>
      <w:bookmarkEnd w:id="60"/>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61" w:name="chapter_level1_7_56_section_1_end"/>
      <w:bookmarkEnd w:id="61"/>
      <w:r>
        <w:rPr>
          <w:rFonts w:hint="eastAsia"/>
          <w:sz w:val="21"/>
          <w:szCs w:val="21"/>
        </w:rPr>
        <w:t xml:space="preserve">博时一线通：95105568（免长途话费） </w:t>
      </w:r>
      <w:bookmarkStart w:id="62" w:name="field_0_marketcompanyinfo_1_end"/>
      <w:bookmarkEnd w:id="62"/>
      <w:r>
        <w:rPr>
          <w:rFonts w:hint="eastAsia"/>
          <w:sz w:val="21"/>
          <w:szCs w:val="21"/>
        </w:rPr>
        <w:t xml:space="preserve">  </w:t>
      </w:r>
    </w:p>
    <w:p>
      <w:pPr>
        <w:pStyle w:val="7"/>
        <w:spacing w:before="0" w:beforeAutospacing="0" w:after="0" w:afterAutospacing="0" w:line="360" w:lineRule="auto"/>
        <w:ind w:firstLine="420"/>
        <w:rPr>
          <w:sz w:val="21"/>
          <w:szCs w:val="21"/>
        </w:rPr>
      </w:pPr>
      <w:bookmarkStart w:id="63" w:name="chapter_level1_7_56_section_2"/>
      <w:bookmarkEnd w:id="63"/>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64" w:name="field_0_allproxysaletables_1_start"/>
      <w:bookmarkEnd w:id="64"/>
      <w:r>
        <w:rPr>
          <w:rFonts w:hint="eastAsia"/>
          <w:b/>
          <w:bCs/>
          <w:sz w:val="21"/>
          <w:szCs w:val="21"/>
        </w:rPr>
        <w:t>(1)中国银行股份有限公司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lang w:eastAsia="zh-CN"/>
              </w:rPr>
              <w:t>葛海蛟</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http://www.boc.cn/ </w:t>
            </w:r>
          </w:p>
        </w:tc>
      </w:tr>
    </w:tbl>
    <w:p>
      <w:pPr>
        <w:pStyle w:val="7"/>
        <w:spacing w:before="0" w:beforeAutospacing="0" w:after="0" w:afterAutospacing="0" w:line="360" w:lineRule="auto"/>
        <w:ind w:firstLine="420"/>
        <w:rPr>
          <w:sz w:val="21"/>
          <w:szCs w:val="21"/>
        </w:rPr>
      </w:pPr>
      <w:r>
        <w:rPr>
          <w:rFonts w:hint="eastAsia"/>
          <w:b/>
          <w:bCs/>
          <w:sz w:val="21"/>
          <w:szCs w:val="21"/>
        </w:rPr>
        <w:t>(2)中国建设银行股份有限公司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北京市西城区闹市口大街1号院1号楼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田国立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010－66275654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http://www.ccb.com/ </w:t>
            </w:r>
          </w:p>
        </w:tc>
      </w:tr>
    </w:tbl>
    <w:p>
      <w:pPr>
        <w:pStyle w:val="7"/>
        <w:spacing w:before="0" w:beforeAutospacing="0" w:after="0" w:afterAutospacing="0" w:line="360" w:lineRule="auto"/>
        <w:ind w:firstLine="420"/>
        <w:rPr>
          <w:sz w:val="21"/>
          <w:szCs w:val="21"/>
        </w:rPr>
      </w:pPr>
      <w:r>
        <w:rPr>
          <w:rFonts w:hint="eastAsia"/>
          <w:b/>
          <w:bCs/>
          <w:sz w:val="21"/>
          <w:szCs w:val="21"/>
        </w:rPr>
        <w:t>(3)交通银行股份有限公司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(4)招商银行股份有限公司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(5)中信银行股份有限公司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http://bank.ecitic.com/ </w:t>
            </w:r>
          </w:p>
        </w:tc>
      </w:tr>
    </w:tbl>
    <w:p>
      <w:pPr>
        <w:pStyle w:val="7"/>
        <w:spacing w:before="0" w:beforeAutospacing="0" w:after="0" w:afterAutospacing="0" w:line="360" w:lineRule="auto"/>
        <w:ind w:firstLine="420"/>
        <w:rPr>
          <w:sz w:val="21"/>
          <w:szCs w:val="21"/>
        </w:rPr>
      </w:pPr>
      <w:r>
        <w:rPr>
          <w:rFonts w:hint="eastAsia"/>
          <w:b/>
          <w:bCs/>
          <w:sz w:val="21"/>
          <w:szCs w:val="21"/>
        </w:rPr>
        <w:t>(6)上海浦东发展银行股份有限公司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(7)中国光大银行股份有限公司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北京市西城区太平桥大街25号、甲25号中国光大中心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北京市西城区太平桥大街25号光大中心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010－63636153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010－63636157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http://www.cebbank.com </w:t>
            </w:r>
          </w:p>
        </w:tc>
      </w:tr>
    </w:tbl>
    <w:p>
      <w:pPr>
        <w:pStyle w:val="7"/>
        <w:spacing w:before="0" w:beforeAutospacing="0" w:after="0" w:afterAutospacing="0" w:line="360" w:lineRule="auto"/>
        <w:ind w:firstLine="420"/>
        <w:rPr>
          <w:sz w:val="21"/>
          <w:szCs w:val="21"/>
        </w:rPr>
      </w:pPr>
      <w:r>
        <w:rPr>
          <w:rFonts w:hint="eastAsia"/>
          <w:b/>
          <w:bCs/>
          <w:sz w:val="21"/>
          <w:szCs w:val="21"/>
        </w:rPr>
        <w:t>(8)华夏银行股份有限公司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李民吉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010－85238667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010－85238680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http://www.hxb.com.cn/ </w:t>
            </w:r>
          </w:p>
        </w:tc>
      </w:tr>
    </w:tbl>
    <w:p>
      <w:pPr>
        <w:pStyle w:val="7"/>
        <w:spacing w:before="0" w:beforeAutospacing="0" w:after="0" w:afterAutospacing="0" w:line="360" w:lineRule="auto"/>
        <w:ind w:firstLine="420"/>
        <w:rPr>
          <w:sz w:val="21"/>
          <w:szCs w:val="21"/>
        </w:rPr>
      </w:pPr>
      <w:r>
        <w:rPr>
          <w:rFonts w:hint="eastAsia"/>
          <w:b/>
          <w:bCs/>
          <w:sz w:val="21"/>
          <w:szCs w:val="21"/>
        </w:rPr>
        <w:t>(9)广发银行股份有限公司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(10)平安银行股份有限公司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(11)宁波银行股份有限公司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(12)上海农村商业银行股份有限公司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http://www.srcb.com/ </w:t>
            </w:r>
          </w:p>
        </w:tc>
      </w:tr>
    </w:tbl>
    <w:p>
      <w:pPr>
        <w:pStyle w:val="7"/>
        <w:spacing w:before="0" w:beforeAutospacing="0" w:after="0" w:afterAutospacing="0" w:line="360" w:lineRule="auto"/>
        <w:ind w:firstLine="420"/>
        <w:rPr>
          <w:sz w:val="21"/>
          <w:szCs w:val="21"/>
        </w:rPr>
      </w:pPr>
      <w:r>
        <w:rPr>
          <w:rFonts w:hint="eastAsia"/>
          <w:b/>
          <w:bCs/>
          <w:sz w:val="21"/>
          <w:szCs w:val="21"/>
        </w:rPr>
        <w:t>(13)浙商银行股份有限公司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张达洋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毛真海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0571-87659546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0571-87659188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http://www.czbank.com </w:t>
            </w:r>
          </w:p>
        </w:tc>
      </w:tr>
    </w:tbl>
    <w:p>
      <w:pPr>
        <w:pStyle w:val="7"/>
        <w:spacing w:before="0" w:beforeAutospacing="0" w:after="0" w:afterAutospacing="0" w:line="360" w:lineRule="auto"/>
        <w:ind w:firstLine="420"/>
        <w:rPr>
          <w:sz w:val="21"/>
          <w:szCs w:val="21"/>
        </w:rPr>
      </w:pPr>
      <w:r>
        <w:rPr>
          <w:rFonts w:hint="eastAsia"/>
          <w:b/>
          <w:bCs/>
          <w:sz w:val="21"/>
          <w:szCs w:val="21"/>
        </w:rPr>
        <w:t>(14)东莞银行股份有限公司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卢国锋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吴照群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0769－22117730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4001196228;0769-96228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http://www.dongguanbank.cn </w:t>
            </w:r>
          </w:p>
        </w:tc>
      </w:tr>
    </w:tbl>
    <w:p>
      <w:pPr>
        <w:pStyle w:val="7"/>
        <w:spacing w:before="0" w:beforeAutospacing="0" w:after="0" w:afterAutospacing="0" w:line="360" w:lineRule="auto"/>
        <w:ind w:firstLine="420"/>
        <w:rPr>
          <w:sz w:val="21"/>
          <w:szCs w:val="21"/>
        </w:rPr>
      </w:pPr>
      <w:r>
        <w:rPr>
          <w:rFonts w:hint="eastAsia"/>
          <w:b/>
          <w:bCs/>
          <w:sz w:val="21"/>
          <w:szCs w:val="21"/>
        </w:rPr>
        <w:t>(15)南京银行股份有限公司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http://www.njcb.com.cn </w:t>
            </w:r>
          </w:p>
        </w:tc>
      </w:tr>
    </w:tbl>
    <w:p>
      <w:pPr>
        <w:pStyle w:val="7"/>
        <w:spacing w:before="0" w:beforeAutospacing="0" w:after="0" w:afterAutospacing="0" w:line="360" w:lineRule="auto"/>
        <w:ind w:firstLine="420"/>
        <w:rPr>
          <w:sz w:val="21"/>
          <w:szCs w:val="21"/>
        </w:rPr>
      </w:pPr>
      <w:r>
        <w:rPr>
          <w:rFonts w:hint="eastAsia"/>
          <w:b/>
          <w:bCs/>
          <w:sz w:val="21"/>
          <w:szCs w:val="21"/>
        </w:rPr>
        <w:t>(16)江苏银行股份有限公司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南京市洪武北路55号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田春慧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025-58587018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025-58587038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http://www.jsbchina.cn </w:t>
            </w:r>
          </w:p>
        </w:tc>
      </w:tr>
    </w:tbl>
    <w:p>
      <w:pPr>
        <w:pStyle w:val="7"/>
        <w:spacing w:before="0" w:beforeAutospacing="0" w:after="0" w:afterAutospacing="0" w:line="360" w:lineRule="auto"/>
        <w:ind w:firstLine="420"/>
        <w:rPr>
          <w:sz w:val="21"/>
          <w:szCs w:val="21"/>
        </w:rPr>
      </w:pPr>
      <w:r>
        <w:rPr>
          <w:rFonts w:hint="eastAsia"/>
          <w:b/>
          <w:bCs/>
          <w:sz w:val="21"/>
          <w:szCs w:val="21"/>
        </w:rPr>
        <w:t>(17)渤海银行股份有限公司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(18)深圳农村商业银行股份有限公司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常志勇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0755-25188781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0755-25188785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961200，4001961200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http://www.4001961200.com </w:t>
            </w:r>
          </w:p>
        </w:tc>
      </w:tr>
    </w:tbl>
    <w:p>
      <w:pPr>
        <w:pStyle w:val="7"/>
        <w:spacing w:before="0" w:beforeAutospacing="0" w:after="0" w:afterAutospacing="0" w:line="360" w:lineRule="auto"/>
        <w:ind w:firstLine="420"/>
        <w:rPr>
          <w:sz w:val="21"/>
          <w:szCs w:val="21"/>
        </w:rPr>
      </w:pPr>
      <w:r>
        <w:rPr>
          <w:rFonts w:hint="eastAsia"/>
          <w:b/>
          <w:bCs/>
          <w:sz w:val="21"/>
          <w:szCs w:val="21"/>
        </w:rPr>
        <w:t>(19)乌鲁木齐银行股份有限公司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新疆乌鲁木齐市天山区新华北路8号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新疆乌鲁木齐市水磨沟区会展大道599号财富中心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任思宇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0991-4563677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0991-8805340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0991-96518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http://www.uccb.com.cn </w:t>
            </w:r>
          </w:p>
        </w:tc>
      </w:tr>
    </w:tbl>
    <w:p>
      <w:pPr>
        <w:pStyle w:val="7"/>
        <w:spacing w:before="0" w:beforeAutospacing="0" w:after="0" w:afterAutospacing="0" w:line="360" w:lineRule="auto"/>
        <w:ind w:firstLine="420"/>
        <w:rPr>
          <w:sz w:val="21"/>
          <w:szCs w:val="21"/>
        </w:rPr>
      </w:pPr>
      <w:r>
        <w:rPr>
          <w:rFonts w:hint="eastAsia"/>
          <w:b/>
          <w:bCs/>
          <w:sz w:val="21"/>
          <w:szCs w:val="21"/>
        </w:rPr>
        <w:t>(20)浙江民泰商业银行股份有限公司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浙江省温岭市太平街道三星大道168号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浙江省杭州市江干区丹桂街8号汉嘉国际401室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江建法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沈斯诺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www.mintaibank.com </w:t>
            </w:r>
          </w:p>
        </w:tc>
      </w:tr>
    </w:tbl>
    <w:p>
      <w:pPr>
        <w:pStyle w:val="7"/>
        <w:spacing w:before="0" w:beforeAutospacing="0" w:after="0" w:afterAutospacing="0" w:line="360" w:lineRule="auto"/>
        <w:ind w:firstLine="420"/>
        <w:rPr>
          <w:sz w:val="21"/>
          <w:szCs w:val="21"/>
        </w:rPr>
      </w:pPr>
      <w:r>
        <w:rPr>
          <w:rFonts w:hint="eastAsia"/>
          <w:b/>
          <w:bCs/>
          <w:sz w:val="21"/>
          <w:szCs w:val="21"/>
        </w:rPr>
        <w:t>(21)重庆银行股份有限公司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甘为民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孔文超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023- 63792212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023- 63792412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96899（重庆）、400-70-96899（其他地区）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http://www.cqcbank.com </w:t>
            </w:r>
          </w:p>
        </w:tc>
      </w:tr>
    </w:tbl>
    <w:p>
      <w:pPr>
        <w:pStyle w:val="7"/>
        <w:spacing w:before="0" w:beforeAutospacing="0" w:after="0" w:afterAutospacing="0" w:line="360" w:lineRule="auto"/>
        <w:ind w:firstLine="420"/>
        <w:rPr>
          <w:sz w:val="21"/>
          <w:szCs w:val="21"/>
        </w:rPr>
      </w:pPr>
      <w:r>
        <w:rPr>
          <w:rFonts w:hint="eastAsia"/>
          <w:b/>
          <w:bCs/>
          <w:sz w:val="21"/>
          <w:szCs w:val="21"/>
        </w:rPr>
        <w:t>(22)东莞农村商业银行股份有限公司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(23)嘉兴银行股份有限公司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(24)广州银行股份有限公司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黄子励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020-28302955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020-28302000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www.gzcb.com.cn </w:t>
            </w:r>
          </w:p>
        </w:tc>
      </w:tr>
    </w:tbl>
    <w:p>
      <w:pPr>
        <w:pStyle w:val="7"/>
        <w:spacing w:before="0" w:beforeAutospacing="0" w:after="0" w:afterAutospacing="0" w:line="360" w:lineRule="auto"/>
        <w:ind w:firstLine="420"/>
        <w:rPr>
          <w:sz w:val="21"/>
          <w:szCs w:val="21"/>
        </w:rPr>
      </w:pPr>
      <w:r>
        <w:rPr>
          <w:rFonts w:hint="eastAsia"/>
          <w:b/>
          <w:bCs/>
          <w:sz w:val="21"/>
          <w:szCs w:val="21"/>
        </w:rPr>
        <w:t>(25)江苏常熟农村商业银行股份有限公司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宋建明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0512-52909125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0512-52909122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400-996-2000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http://www.csrcbank.com </w:t>
            </w:r>
          </w:p>
        </w:tc>
      </w:tr>
    </w:tbl>
    <w:p>
      <w:pPr>
        <w:pStyle w:val="7"/>
        <w:spacing w:before="0" w:beforeAutospacing="0" w:after="0" w:afterAutospacing="0" w:line="360" w:lineRule="auto"/>
        <w:ind w:firstLine="420"/>
        <w:rPr>
          <w:sz w:val="21"/>
          <w:szCs w:val="21"/>
        </w:rPr>
      </w:pPr>
      <w:r>
        <w:rPr>
          <w:rFonts w:hint="eastAsia"/>
          <w:b/>
          <w:bCs/>
          <w:sz w:val="21"/>
          <w:szCs w:val="21"/>
        </w:rPr>
        <w:t>(26)广东顺德农村商业银行股份有限公司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姚真勇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胡健强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0757-22386489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0757-22388235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0757-2223388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www.sdebank.com </w:t>
            </w:r>
          </w:p>
        </w:tc>
      </w:tr>
    </w:tbl>
    <w:p>
      <w:pPr>
        <w:pStyle w:val="7"/>
        <w:spacing w:before="0" w:beforeAutospacing="0" w:after="0" w:afterAutospacing="0" w:line="360" w:lineRule="auto"/>
        <w:ind w:firstLine="420"/>
        <w:rPr>
          <w:sz w:val="21"/>
          <w:szCs w:val="21"/>
        </w:rPr>
      </w:pPr>
      <w:r>
        <w:rPr>
          <w:rFonts w:hint="eastAsia"/>
          <w:b/>
          <w:bCs/>
          <w:sz w:val="21"/>
          <w:szCs w:val="21"/>
        </w:rPr>
        <w:t>(27)西安银行股份有限公司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白智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www.xacbank.com </w:t>
            </w:r>
          </w:p>
        </w:tc>
      </w:tr>
    </w:tbl>
    <w:p>
      <w:pPr>
        <w:pStyle w:val="7"/>
        <w:spacing w:before="0" w:beforeAutospacing="0" w:after="0" w:afterAutospacing="0" w:line="360" w:lineRule="auto"/>
        <w:ind w:firstLine="420"/>
        <w:rPr>
          <w:sz w:val="21"/>
          <w:szCs w:val="21"/>
        </w:rPr>
      </w:pPr>
      <w:r>
        <w:rPr>
          <w:rFonts w:hint="eastAsia"/>
          <w:b/>
          <w:bCs/>
          <w:sz w:val="21"/>
          <w:szCs w:val="21"/>
        </w:rPr>
        <w:t>(28)金华银行股份有限公司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徐雅清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徐晓峰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0579-83207775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0579-82178321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400-711-6668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http://www.jhccb.com.cn </w:t>
            </w:r>
          </w:p>
        </w:tc>
      </w:tr>
    </w:tbl>
    <w:p>
      <w:pPr>
        <w:pStyle w:val="7"/>
        <w:spacing w:before="0" w:beforeAutospacing="0" w:after="0" w:afterAutospacing="0" w:line="360" w:lineRule="auto"/>
        <w:ind w:firstLine="420"/>
        <w:rPr>
          <w:sz w:val="21"/>
          <w:szCs w:val="21"/>
        </w:rPr>
      </w:pPr>
      <w:r>
        <w:rPr>
          <w:rFonts w:hint="eastAsia"/>
          <w:b/>
          <w:bCs/>
          <w:sz w:val="21"/>
          <w:szCs w:val="21"/>
        </w:rPr>
        <w:t>(29)长沙银行股份有限公司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长沙市开福区芙蓉中路433号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长沙市开福区芙蓉中路433号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朱玉国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0731-89736223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0731-89736223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0731-96511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www.bankofchangsha.com </w:t>
            </w:r>
          </w:p>
        </w:tc>
      </w:tr>
    </w:tbl>
    <w:p>
      <w:pPr>
        <w:pStyle w:val="7"/>
        <w:spacing w:before="0" w:beforeAutospacing="0" w:after="0" w:afterAutospacing="0" w:line="360" w:lineRule="auto"/>
        <w:ind w:firstLine="420"/>
        <w:rPr>
          <w:sz w:val="21"/>
          <w:szCs w:val="21"/>
        </w:rPr>
      </w:pPr>
      <w:r>
        <w:rPr>
          <w:rFonts w:hint="eastAsia"/>
          <w:b/>
          <w:bCs/>
          <w:sz w:val="21"/>
          <w:szCs w:val="21"/>
        </w:rPr>
        <w:t>(30)苏州银行股份有限公司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(31)珠海华润银行股份有限公司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广东省珠海市吉大九洲大道东1346号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广东省珠海市吉大九洲大道东1346号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刘晓勇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96588（广东省外加拨0756）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0755-82811423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96588（广东省外加拨0756）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http://www.crbank.com.cn/ </w:t>
            </w:r>
          </w:p>
        </w:tc>
      </w:tr>
    </w:tbl>
    <w:p>
      <w:pPr>
        <w:pStyle w:val="7"/>
        <w:spacing w:before="0" w:beforeAutospacing="0" w:after="0" w:afterAutospacing="0" w:line="360" w:lineRule="auto"/>
        <w:ind w:firstLine="420"/>
        <w:rPr>
          <w:sz w:val="21"/>
          <w:szCs w:val="21"/>
        </w:rPr>
      </w:pPr>
      <w:r>
        <w:rPr>
          <w:rFonts w:hint="eastAsia"/>
          <w:b/>
          <w:bCs/>
          <w:sz w:val="21"/>
          <w:szCs w:val="21"/>
        </w:rPr>
        <w:t>(32)杭州联合农村商业银行股份有限公司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0571-87923324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0571-87923314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www.urcb.com </w:t>
            </w:r>
          </w:p>
        </w:tc>
      </w:tr>
    </w:tbl>
    <w:p>
      <w:pPr>
        <w:pStyle w:val="7"/>
        <w:spacing w:before="0" w:beforeAutospacing="0" w:after="0" w:afterAutospacing="0" w:line="360" w:lineRule="auto"/>
        <w:ind w:firstLine="420"/>
        <w:rPr>
          <w:sz w:val="21"/>
          <w:szCs w:val="21"/>
        </w:rPr>
      </w:pPr>
      <w:r>
        <w:rPr>
          <w:rFonts w:hint="eastAsia"/>
          <w:b/>
          <w:bCs/>
          <w:sz w:val="21"/>
          <w:szCs w:val="21"/>
        </w:rPr>
        <w:t>(33)四川天府银行股份有限公司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四川省南充市顺庆区涪江路1号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四川省南充市滨江中路一段97号26栋泰和尚渡南充市商业银行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黄光伟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李俊辉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0817-7118079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0817-7118322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400-16-96869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www.tf.cn </w:t>
            </w:r>
          </w:p>
        </w:tc>
      </w:tr>
    </w:tbl>
    <w:p>
      <w:pPr>
        <w:pStyle w:val="7"/>
        <w:spacing w:before="0" w:beforeAutospacing="0" w:after="0" w:afterAutospacing="0" w:line="360" w:lineRule="auto"/>
        <w:ind w:firstLine="420"/>
        <w:rPr>
          <w:sz w:val="21"/>
          <w:szCs w:val="21"/>
        </w:rPr>
      </w:pPr>
      <w:r>
        <w:rPr>
          <w:rFonts w:hint="eastAsia"/>
          <w:b/>
          <w:bCs/>
          <w:sz w:val="21"/>
          <w:szCs w:val="21"/>
        </w:rPr>
        <w:t>(34)晋商银行股份有限公司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阎俊生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董嘉文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95105588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http://www.jshbank.com </w:t>
            </w:r>
          </w:p>
        </w:tc>
      </w:tr>
    </w:tbl>
    <w:p>
      <w:pPr>
        <w:pStyle w:val="7"/>
        <w:spacing w:before="0" w:beforeAutospacing="0" w:after="0" w:afterAutospacing="0" w:line="360" w:lineRule="auto"/>
        <w:ind w:firstLine="420"/>
        <w:rPr>
          <w:sz w:val="21"/>
          <w:szCs w:val="21"/>
        </w:rPr>
      </w:pPr>
      <w:r>
        <w:rPr>
          <w:rFonts w:hint="eastAsia"/>
          <w:b/>
          <w:bCs/>
          <w:sz w:val="21"/>
          <w:szCs w:val="21"/>
        </w:rPr>
        <w:t>(35)日照银行股份有限公司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0633-8081626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0633-8081629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96588（日照）、400-68-96588（全国）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https://www.bankofrizhao.com.cn/ </w:t>
            </w:r>
          </w:p>
        </w:tc>
      </w:tr>
    </w:tbl>
    <w:p>
      <w:pPr>
        <w:pStyle w:val="7"/>
        <w:spacing w:before="0" w:beforeAutospacing="0" w:after="0" w:afterAutospacing="0" w:line="360" w:lineRule="auto"/>
        <w:ind w:firstLine="420"/>
        <w:rPr>
          <w:sz w:val="21"/>
          <w:szCs w:val="21"/>
        </w:rPr>
      </w:pPr>
      <w:r>
        <w:rPr>
          <w:rFonts w:hint="eastAsia"/>
          <w:b/>
          <w:bCs/>
          <w:sz w:val="21"/>
          <w:szCs w:val="21"/>
        </w:rPr>
        <w:t>(36)福建海峡银行股份有限公司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福建省福州市台江区江滨中大道358号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福州台江区江滨中大道358号福建海峡银行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吴白玫、张翠娟、黄钰雯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0591-87332762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0591-87330926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www.fjhxbank.com </w:t>
            </w:r>
          </w:p>
        </w:tc>
      </w:tr>
    </w:tbl>
    <w:p>
      <w:pPr>
        <w:pStyle w:val="7"/>
        <w:spacing w:before="0" w:beforeAutospacing="0" w:after="0" w:afterAutospacing="0" w:line="360" w:lineRule="auto"/>
        <w:ind w:firstLine="420"/>
        <w:rPr>
          <w:sz w:val="21"/>
          <w:szCs w:val="21"/>
        </w:rPr>
      </w:pPr>
      <w:r>
        <w:rPr>
          <w:rFonts w:hint="eastAsia"/>
          <w:b/>
          <w:bCs/>
          <w:sz w:val="21"/>
          <w:szCs w:val="21"/>
        </w:rPr>
        <w:t>(37)恒丰银行股份有限公司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山东省济南市历下区泺源大街8号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上海市黄浦区开平路88号瀛通绿地大厦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孔晓晴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0531-59666666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0531-59666666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www.hfbank.com.cn </w:t>
            </w:r>
          </w:p>
        </w:tc>
      </w:tr>
    </w:tbl>
    <w:p>
      <w:pPr>
        <w:pStyle w:val="7"/>
        <w:spacing w:before="0" w:beforeAutospacing="0" w:after="0" w:afterAutospacing="0" w:line="360" w:lineRule="auto"/>
        <w:ind w:firstLine="420"/>
        <w:rPr>
          <w:sz w:val="21"/>
          <w:szCs w:val="21"/>
        </w:rPr>
      </w:pPr>
      <w:r>
        <w:rPr>
          <w:rFonts w:hint="eastAsia"/>
          <w:b/>
          <w:bCs/>
          <w:sz w:val="21"/>
          <w:szCs w:val="21"/>
        </w:rPr>
        <w:t>(38)浙江绍兴瑞丰农村商业银行股份有限公司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俞俊海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孟建潮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0575-84788101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0575-84788134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http://www.borf.cn </w:t>
            </w:r>
          </w:p>
        </w:tc>
      </w:tr>
    </w:tbl>
    <w:p>
      <w:pPr>
        <w:pStyle w:val="7"/>
        <w:spacing w:before="0" w:beforeAutospacing="0" w:after="0" w:afterAutospacing="0" w:line="360" w:lineRule="auto"/>
        <w:ind w:firstLine="420"/>
        <w:rPr>
          <w:sz w:val="21"/>
          <w:szCs w:val="21"/>
        </w:rPr>
      </w:pPr>
      <w:r>
        <w:rPr>
          <w:rFonts w:hint="eastAsia"/>
          <w:b/>
          <w:bCs/>
          <w:sz w:val="21"/>
          <w:szCs w:val="21"/>
        </w:rPr>
        <w:t>(39)深圳市新兰德证券投资咨询有限公司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(40)厦门市鑫鼎盛控股有限公司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(41)江苏天鼎证券投资咨询有限公司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025-962155 </w:t>
            </w:r>
          </w:p>
        </w:tc>
      </w:tr>
    </w:tbl>
    <w:p>
      <w:pPr>
        <w:pStyle w:val="7"/>
        <w:spacing w:before="0" w:beforeAutospacing="0" w:after="0" w:afterAutospacing="0" w:line="360" w:lineRule="auto"/>
        <w:ind w:firstLine="420"/>
        <w:rPr>
          <w:sz w:val="21"/>
          <w:szCs w:val="21"/>
        </w:rPr>
      </w:pPr>
      <w:r>
        <w:rPr>
          <w:rFonts w:hint="eastAsia"/>
          <w:b/>
          <w:bCs/>
          <w:sz w:val="21"/>
          <w:szCs w:val="21"/>
        </w:rPr>
        <w:t>(42)上海挖财基金销售有限公司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http://wacaijijin.com/ </w:t>
            </w:r>
          </w:p>
        </w:tc>
      </w:tr>
    </w:tbl>
    <w:p>
      <w:pPr>
        <w:pStyle w:val="7"/>
        <w:spacing w:before="0" w:beforeAutospacing="0" w:after="0" w:afterAutospacing="0" w:line="360" w:lineRule="auto"/>
        <w:ind w:firstLine="420"/>
        <w:rPr>
          <w:sz w:val="21"/>
          <w:szCs w:val="21"/>
        </w:rPr>
      </w:pPr>
      <w:r>
        <w:rPr>
          <w:rFonts w:hint="eastAsia"/>
          <w:b/>
          <w:bCs/>
          <w:sz w:val="21"/>
          <w:szCs w:val="21"/>
        </w:rPr>
        <w:t>(43)大河财富基金销售有限公司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www.urainf.com </w:t>
            </w:r>
          </w:p>
        </w:tc>
      </w:tr>
    </w:tbl>
    <w:p>
      <w:pPr>
        <w:pStyle w:val="7"/>
        <w:spacing w:before="0" w:beforeAutospacing="0" w:after="0" w:afterAutospacing="0" w:line="360" w:lineRule="auto"/>
        <w:ind w:firstLine="420"/>
        <w:rPr>
          <w:sz w:val="21"/>
          <w:szCs w:val="21"/>
        </w:rPr>
      </w:pPr>
      <w:r>
        <w:rPr>
          <w:rFonts w:hint="eastAsia"/>
          <w:b/>
          <w:bCs/>
          <w:sz w:val="21"/>
          <w:szCs w:val="21"/>
        </w:rPr>
        <w:t>(44)众惠基金销售有限公司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贵州省贵阳市观山湖区长岭北路贵阳国际金融中心二期商务区第C4栋30层1号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贵州省贵阳市观山湖区长岭北路贵阳国际金融中心二期商务区第C4栋30层1号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李春蓉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许木根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0851-82209888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0851-86909950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400-839-1818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www.hyzhfund.com </w:t>
            </w:r>
          </w:p>
        </w:tc>
      </w:tr>
    </w:tbl>
    <w:p>
      <w:pPr>
        <w:pStyle w:val="7"/>
        <w:spacing w:before="0" w:beforeAutospacing="0" w:after="0" w:afterAutospacing="0" w:line="360" w:lineRule="auto"/>
        <w:ind w:firstLine="420"/>
        <w:rPr>
          <w:sz w:val="21"/>
          <w:szCs w:val="21"/>
        </w:rPr>
      </w:pPr>
      <w:r>
        <w:rPr>
          <w:rFonts w:hint="eastAsia"/>
          <w:b/>
          <w:bCs/>
          <w:sz w:val="21"/>
          <w:szCs w:val="21"/>
        </w:rPr>
        <w:t>(45)腾安基金销售（深圳）有限公司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(46)民商基金销售（上海）有限公司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www.msftec.com </w:t>
            </w:r>
          </w:p>
        </w:tc>
      </w:tr>
    </w:tbl>
    <w:p>
      <w:pPr>
        <w:pStyle w:val="7"/>
        <w:spacing w:before="0" w:beforeAutospacing="0" w:after="0" w:afterAutospacing="0" w:line="360" w:lineRule="auto"/>
        <w:ind w:firstLine="420"/>
        <w:rPr>
          <w:sz w:val="21"/>
          <w:szCs w:val="21"/>
        </w:rPr>
      </w:pPr>
      <w:r>
        <w:rPr>
          <w:rFonts w:hint="eastAsia"/>
          <w:b/>
          <w:bCs/>
          <w:sz w:val="21"/>
          <w:szCs w:val="21"/>
        </w:rPr>
        <w:t>(47)北京度小满基金销售有限公司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www.duxiaomanfund.com </w:t>
            </w:r>
          </w:p>
        </w:tc>
      </w:tr>
    </w:tbl>
    <w:p>
      <w:pPr>
        <w:pStyle w:val="7"/>
        <w:spacing w:before="0" w:beforeAutospacing="0" w:after="0" w:afterAutospacing="0" w:line="360" w:lineRule="auto"/>
        <w:ind w:firstLine="420"/>
        <w:rPr>
          <w:sz w:val="21"/>
          <w:szCs w:val="21"/>
        </w:rPr>
      </w:pPr>
      <w:r>
        <w:rPr>
          <w:rFonts w:hint="eastAsia"/>
          <w:b/>
          <w:bCs/>
          <w:sz w:val="21"/>
          <w:szCs w:val="21"/>
        </w:rPr>
        <w:t>(48)博时财富基金销售有限公司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www.boserawealth.com </w:t>
            </w:r>
          </w:p>
        </w:tc>
      </w:tr>
    </w:tbl>
    <w:p>
      <w:pPr>
        <w:pStyle w:val="7"/>
        <w:spacing w:before="0" w:beforeAutospacing="0" w:after="0" w:afterAutospacing="0" w:line="360" w:lineRule="auto"/>
        <w:ind w:firstLine="420"/>
        <w:rPr>
          <w:sz w:val="21"/>
          <w:szCs w:val="21"/>
        </w:rPr>
      </w:pPr>
      <w:r>
        <w:rPr>
          <w:rFonts w:hint="eastAsia"/>
          <w:b/>
          <w:bCs/>
          <w:sz w:val="21"/>
          <w:szCs w:val="21"/>
        </w:rPr>
        <w:t>(49)诺亚正行基金销售有限公司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(50)深圳众禄基金销售股份有限公司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(51)上海天天基金销售有限公司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(52)上海好买基金销售有限公司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(53)蚂蚁（杭州）基金销售有限公司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(54)上海长量基金销售有限公司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(55)浙江同花顺基金销售有限公司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(56)上海利得基金销售有限公司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(57)嘉实财富管理有限公司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(58)乾道金融信息服务（北京）有限公司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北京市海淀区东北旺村南1号楼7层7117室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北京市西城区德外大街合生财富广场1302室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王兴吉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高雪超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010-62062880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010-82057741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www.qiandaojr.com </w:t>
            </w:r>
          </w:p>
        </w:tc>
      </w:tr>
    </w:tbl>
    <w:p>
      <w:pPr>
        <w:pStyle w:val="7"/>
        <w:spacing w:before="0" w:beforeAutospacing="0" w:after="0" w:afterAutospacing="0" w:line="360" w:lineRule="auto"/>
        <w:ind w:firstLine="420"/>
        <w:rPr>
          <w:sz w:val="21"/>
          <w:szCs w:val="21"/>
        </w:rPr>
      </w:pPr>
      <w:r>
        <w:rPr>
          <w:rFonts w:hint="eastAsia"/>
          <w:b/>
          <w:bCs/>
          <w:sz w:val="21"/>
          <w:szCs w:val="21"/>
        </w:rPr>
        <w:t>(59)泛华普益基金销售有限公司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于海锋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028-66980977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028-82000996-805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028-84252474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www.puyiwm.com </w:t>
            </w:r>
          </w:p>
        </w:tc>
      </w:tr>
    </w:tbl>
    <w:p>
      <w:pPr>
        <w:pStyle w:val="7"/>
        <w:spacing w:before="0" w:beforeAutospacing="0" w:after="0" w:afterAutospacing="0" w:line="360" w:lineRule="auto"/>
        <w:ind w:firstLine="420"/>
        <w:rPr>
          <w:sz w:val="21"/>
          <w:szCs w:val="21"/>
        </w:rPr>
      </w:pPr>
      <w:r>
        <w:rPr>
          <w:rFonts w:hint="eastAsia"/>
          <w:b/>
          <w:bCs/>
          <w:sz w:val="21"/>
          <w:szCs w:val="21"/>
        </w:rPr>
        <w:t>(60)宜信普泽（北京）基金销售有限公司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(61)南京苏宁基金销售有限公司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(62)浦领基金销售有限公司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www.zscffund.com </w:t>
            </w:r>
          </w:p>
        </w:tc>
      </w:tr>
    </w:tbl>
    <w:p>
      <w:pPr>
        <w:pStyle w:val="7"/>
        <w:spacing w:before="0" w:beforeAutospacing="0" w:after="0" w:afterAutospacing="0" w:line="360" w:lineRule="auto"/>
        <w:ind w:firstLine="420"/>
        <w:rPr>
          <w:sz w:val="21"/>
          <w:szCs w:val="21"/>
        </w:rPr>
      </w:pPr>
      <w:r>
        <w:rPr>
          <w:rFonts w:hint="eastAsia"/>
          <w:b/>
          <w:bCs/>
          <w:sz w:val="21"/>
          <w:szCs w:val="21"/>
        </w:rPr>
        <w:t>(63)北京中植基金销售有限公司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http://www.zzfund.com </w:t>
            </w:r>
          </w:p>
        </w:tc>
      </w:tr>
    </w:tbl>
    <w:p>
      <w:pPr>
        <w:pStyle w:val="7"/>
        <w:spacing w:before="0" w:beforeAutospacing="0" w:after="0" w:afterAutospacing="0" w:line="360" w:lineRule="auto"/>
        <w:ind w:firstLine="420"/>
        <w:rPr>
          <w:sz w:val="21"/>
          <w:szCs w:val="21"/>
        </w:rPr>
      </w:pPr>
      <w:r>
        <w:rPr>
          <w:rFonts w:hint="eastAsia"/>
          <w:b/>
          <w:bCs/>
          <w:sz w:val="21"/>
          <w:szCs w:val="21"/>
        </w:rPr>
        <w:t>(64)北京汇成基金销售有限公司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(65)一路财富（北京）基金销售股份有限公司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北京市西城区车公庄大街9号院5号楼702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北京市西城区阜成门外大街2号万通新世界A座2208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吴雪秀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段京璐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010-88312877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010-88312099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400-001-1566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http://www.yilucaifu.com </w:t>
            </w:r>
          </w:p>
        </w:tc>
      </w:tr>
    </w:tbl>
    <w:p>
      <w:pPr>
        <w:pStyle w:val="7"/>
        <w:spacing w:before="0" w:beforeAutospacing="0" w:after="0" w:afterAutospacing="0" w:line="360" w:lineRule="auto"/>
        <w:ind w:firstLine="420"/>
        <w:rPr>
          <w:sz w:val="21"/>
          <w:szCs w:val="21"/>
        </w:rPr>
      </w:pPr>
      <w:r>
        <w:rPr>
          <w:rFonts w:hint="eastAsia"/>
          <w:b/>
          <w:bCs/>
          <w:sz w:val="21"/>
          <w:szCs w:val="21"/>
        </w:rPr>
        <w:t>(66)北京钱景基金销售有限公司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www.qianjing.com </w:t>
            </w:r>
          </w:p>
        </w:tc>
      </w:tr>
    </w:tbl>
    <w:p>
      <w:pPr>
        <w:pStyle w:val="7"/>
        <w:spacing w:before="0" w:beforeAutospacing="0" w:after="0" w:afterAutospacing="0" w:line="360" w:lineRule="auto"/>
        <w:ind w:firstLine="420"/>
        <w:rPr>
          <w:sz w:val="21"/>
          <w:szCs w:val="21"/>
        </w:rPr>
      </w:pPr>
      <w:r>
        <w:rPr>
          <w:rFonts w:hint="eastAsia"/>
          <w:b/>
          <w:bCs/>
          <w:sz w:val="21"/>
          <w:szCs w:val="21"/>
        </w:rPr>
        <w:t>(67)北京新浪仓石基金销售有限公司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北京市海淀区东北旺西路中关村软件园二期（西扩）N-1、N-2地块新浪总部科研楼5层518室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北京市海淀区西北旺东路10号院东区3号楼为明大厦C座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010-62675768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010-62676582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010-62675369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www.xincai.com </w:t>
            </w:r>
          </w:p>
        </w:tc>
      </w:tr>
    </w:tbl>
    <w:p>
      <w:pPr>
        <w:pStyle w:val="7"/>
        <w:spacing w:before="0" w:beforeAutospacing="0" w:after="0" w:afterAutospacing="0" w:line="360" w:lineRule="auto"/>
        <w:ind w:firstLine="420"/>
        <w:rPr>
          <w:sz w:val="21"/>
          <w:szCs w:val="21"/>
        </w:rPr>
      </w:pPr>
      <w:r>
        <w:rPr>
          <w:rFonts w:hint="eastAsia"/>
          <w:b/>
          <w:bCs/>
          <w:sz w:val="21"/>
          <w:szCs w:val="21"/>
        </w:rPr>
        <w:t>(68)上海万得基金销售有限公司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(69)凤凰金信（海口）基金销售有限公司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宁夏回族自治区银川市金凤区阅海湾中央商务区万寿路142号14层1402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北京市朝阳区紫月路18号院 朝来高科技产业园18号楼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010-58160168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010-58160173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400-810-5919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www.fengfd.com </w:t>
            </w:r>
          </w:p>
        </w:tc>
      </w:tr>
    </w:tbl>
    <w:p>
      <w:pPr>
        <w:pStyle w:val="7"/>
        <w:spacing w:before="0" w:beforeAutospacing="0" w:after="0" w:afterAutospacing="0" w:line="360" w:lineRule="auto"/>
        <w:ind w:firstLine="420"/>
        <w:rPr>
          <w:sz w:val="21"/>
          <w:szCs w:val="21"/>
        </w:rPr>
      </w:pPr>
      <w:r>
        <w:rPr>
          <w:rFonts w:hint="eastAsia"/>
          <w:b/>
          <w:bCs/>
          <w:sz w:val="21"/>
          <w:szCs w:val="21"/>
        </w:rPr>
        <w:t>(70)上海联泰基金销售有限公司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(71)深圳市金海九州基金销售有限公司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深圳市福田区富德生命人寿大厦1106室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0755-81994266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0755-84333886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4000-099-3333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www.jhjzfund.com </w:t>
            </w:r>
          </w:p>
        </w:tc>
      </w:tr>
    </w:tbl>
    <w:p>
      <w:pPr>
        <w:pStyle w:val="7"/>
        <w:spacing w:before="0" w:beforeAutospacing="0" w:after="0" w:afterAutospacing="0" w:line="360" w:lineRule="auto"/>
        <w:ind w:firstLine="420"/>
        <w:rPr>
          <w:sz w:val="21"/>
          <w:szCs w:val="21"/>
        </w:rPr>
      </w:pPr>
      <w:r>
        <w:rPr>
          <w:rFonts w:hint="eastAsia"/>
          <w:b/>
          <w:bCs/>
          <w:sz w:val="21"/>
          <w:szCs w:val="21"/>
        </w:rPr>
        <w:t>(72)北京坤元基金销售有限公司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北京市延庆县延庆经济开发区百泉街10号2栋871室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北京市东城区建国门内大街8号B座501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李雪松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010-85264505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010-85264522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010-85264528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http://www.kunyuanfund.com </w:t>
            </w:r>
          </w:p>
        </w:tc>
      </w:tr>
    </w:tbl>
    <w:p>
      <w:pPr>
        <w:pStyle w:val="7"/>
        <w:spacing w:before="0" w:beforeAutospacing="0" w:after="0" w:afterAutospacing="0" w:line="360" w:lineRule="auto"/>
        <w:ind w:firstLine="420"/>
        <w:rPr>
          <w:sz w:val="21"/>
          <w:szCs w:val="21"/>
        </w:rPr>
      </w:pPr>
      <w:r>
        <w:rPr>
          <w:rFonts w:hint="eastAsia"/>
          <w:b/>
          <w:bCs/>
          <w:sz w:val="21"/>
          <w:szCs w:val="21"/>
        </w:rPr>
        <w:t>(73)上海基煜基金销售有限公司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(74)上海中正达广基金销售有限公司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(75)深圳新华信通基金销售有限公司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(76)上海陆金所基金销售有限公司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(77)珠海盈米基金销售有限公司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(78)和耕传承基金销售有限公司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(79)南京途牛基金销售有限公司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http://jr.tuniu.com/ </w:t>
            </w:r>
          </w:p>
        </w:tc>
      </w:tr>
    </w:tbl>
    <w:p>
      <w:pPr>
        <w:pStyle w:val="7"/>
        <w:spacing w:before="0" w:beforeAutospacing="0" w:after="0" w:afterAutospacing="0" w:line="360" w:lineRule="auto"/>
        <w:ind w:firstLine="420"/>
        <w:rPr>
          <w:sz w:val="21"/>
          <w:szCs w:val="21"/>
        </w:rPr>
      </w:pPr>
      <w:r>
        <w:rPr>
          <w:rFonts w:hint="eastAsia"/>
          <w:b/>
          <w:bCs/>
          <w:sz w:val="21"/>
          <w:szCs w:val="21"/>
        </w:rPr>
        <w:t>(80)中证金牛（北京）基金销售有限公司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www.jnlc.com </w:t>
            </w:r>
          </w:p>
        </w:tc>
      </w:tr>
    </w:tbl>
    <w:p>
      <w:pPr>
        <w:pStyle w:val="7"/>
        <w:spacing w:before="0" w:beforeAutospacing="0" w:after="0" w:afterAutospacing="0" w:line="360" w:lineRule="auto"/>
        <w:ind w:firstLine="420"/>
        <w:rPr>
          <w:sz w:val="21"/>
          <w:szCs w:val="21"/>
        </w:rPr>
      </w:pPr>
      <w:r>
        <w:rPr>
          <w:rFonts w:hint="eastAsia"/>
          <w:b/>
          <w:bCs/>
          <w:sz w:val="21"/>
          <w:szCs w:val="21"/>
        </w:rPr>
        <w:t>(81)京东肯特瑞基金销售有限公司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(82)大连网金基金销售有限公司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0411-39027800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0411-39027888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http://www.yibaijin.com/ </w:t>
            </w:r>
          </w:p>
        </w:tc>
      </w:tr>
    </w:tbl>
    <w:p>
      <w:pPr>
        <w:pStyle w:val="7"/>
        <w:spacing w:before="0" w:beforeAutospacing="0" w:after="0" w:afterAutospacing="0" w:line="360" w:lineRule="auto"/>
        <w:ind w:firstLine="420"/>
        <w:rPr>
          <w:sz w:val="21"/>
          <w:szCs w:val="21"/>
        </w:rPr>
      </w:pPr>
      <w:r>
        <w:rPr>
          <w:rFonts w:hint="eastAsia"/>
          <w:b/>
          <w:bCs/>
          <w:sz w:val="21"/>
          <w:szCs w:val="21"/>
        </w:rPr>
        <w:t>(83)深圳市金斧子基金销售有限公司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(84)北京雪球基金销售有限公司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(85)深圳前海财厚基金销售有限公司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(86)万家财富基金销售（天津）有限公司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北京市西城区丰盛胡同28号太平洋保险大厦5层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李修辞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010-59013707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http://www.wanjiawealth.com/ </w:t>
            </w:r>
          </w:p>
        </w:tc>
      </w:tr>
    </w:tbl>
    <w:p>
      <w:pPr>
        <w:pStyle w:val="7"/>
        <w:spacing w:before="0" w:beforeAutospacing="0" w:after="0" w:afterAutospacing="0" w:line="360" w:lineRule="auto"/>
        <w:ind w:firstLine="420"/>
        <w:rPr>
          <w:sz w:val="21"/>
          <w:szCs w:val="21"/>
        </w:rPr>
      </w:pPr>
      <w:r>
        <w:rPr>
          <w:rFonts w:hint="eastAsia"/>
          <w:b/>
          <w:bCs/>
          <w:sz w:val="21"/>
          <w:szCs w:val="21"/>
        </w:rPr>
        <w:t>(87)洪泰财富（青岛）基金销售有限责任公司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(88)海通期货股份有限公司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5"/>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中国（上海）自由贸易试验区世纪大道1589号17楼，6楼01、03、04单元，25楼，2楼05、03单元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中国（上海）自由贸易试验区世纪大道1589号17楼，6楼01、03、04单元，25楼，2楼05、03单元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吴红松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俞永捷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021-38917098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021-68685550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4008209133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https://www.htfutures.com/main/gw/index.shtml </w:t>
            </w:r>
          </w:p>
        </w:tc>
      </w:tr>
    </w:tbl>
    <w:p>
      <w:pPr>
        <w:pStyle w:val="7"/>
        <w:spacing w:before="0" w:beforeAutospacing="0" w:after="0" w:afterAutospacing="0" w:line="360" w:lineRule="auto"/>
        <w:ind w:firstLine="420"/>
        <w:rPr>
          <w:sz w:val="21"/>
          <w:szCs w:val="21"/>
        </w:rPr>
      </w:pPr>
      <w:r>
        <w:rPr>
          <w:rFonts w:hint="eastAsia"/>
          <w:b/>
          <w:bCs/>
          <w:sz w:val="21"/>
          <w:szCs w:val="21"/>
        </w:rPr>
        <w:t>(89)中信期货有限公司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(90)和合期货有限公司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(91)方正中期期货有限公司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北京市石景山区金府路32号院3号楼5层512室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北京市朝阳区东三环北路38号院1号泰康金融大厦22层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姜志军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温泉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010-85881295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010-85881394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4008802277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https://www.founderfu.com/ </w:t>
            </w:r>
          </w:p>
        </w:tc>
      </w:tr>
    </w:tbl>
    <w:p>
      <w:pPr>
        <w:pStyle w:val="7"/>
        <w:spacing w:before="0" w:beforeAutospacing="0" w:after="0" w:afterAutospacing="0" w:line="360" w:lineRule="auto"/>
        <w:ind w:firstLine="420"/>
        <w:rPr>
          <w:sz w:val="21"/>
          <w:szCs w:val="21"/>
        </w:rPr>
      </w:pPr>
      <w:r>
        <w:rPr>
          <w:rFonts w:hint="eastAsia"/>
          <w:b/>
          <w:bCs/>
          <w:sz w:val="21"/>
          <w:szCs w:val="21"/>
        </w:rPr>
        <w:t>(92)国泰君安证券股份有限公司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(93)中信建投证券股份有限公司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(94)国信证券股份有限公司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http://www.guosen.com.cn/ </w:t>
            </w:r>
          </w:p>
        </w:tc>
      </w:tr>
    </w:tbl>
    <w:p>
      <w:pPr>
        <w:pStyle w:val="7"/>
        <w:spacing w:before="0" w:beforeAutospacing="0" w:after="0" w:afterAutospacing="0" w:line="360" w:lineRule="auto"/>
        <w:ind w:firstLine="420"/>
        <w:rPr>
          <w:sz w:val="21"/>
          <w:szCs w:val="21"/>
        </w:rPr>
      </w:pPr>
      <w:r>
        <w:rPr>
          <w:rFonts w:hint="eastAsia"/>
          <w:b/>
          <w:bCs/>
          <w:sz w:val="21"/>
          <w:szCs w:val="21"/>
        </w:rPr>
        <w:t>(95)招商证券股份有限公司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(96)广发证券股份有限公司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林传辉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http://www.gf.com.cn/ </w:t>
            </w:r>
          </w:p>
        </w:tc>
      </w:tr>
    </w:tbl>
    <w:p>
      <w:pPr>
        <w:pStyle w:val="7"/>
        <w:spacing w:before="0" w:beforeAutospacing="0" w:after="0" w:afterAutospacing="0" w:line="360" w:lineRule="auto"/>
        <w:ind w:firstLine="420"/>
        <w:rPr>
          <w:sz w:val="21"/>
          <w:szCs w:val="21"/>
        </w:rPr>
      </w:pPr>
      <w:r>
        <w:rPr>
          <w:rFonts w:hint="eastAsia"/>
          <w:b/>
          <w:bCs/>
          <w:sz w:val="21"/>
          <w:szCs w:val="21"/>
        </w:rPr>
        <w:t>(97)中信证券股份有限公司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(98)中国银河证券股份有限公司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北京市丰台区西营街8号院1号楼7至18层101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www.chinastock.com.cn/ </w:t>
            </w:r>
          </w:p>
        </w:tc>
      </w:tr>
    </w:tbl>
    <w:p>
      <w:pPr>
        <w:pStyle w:val="7"/>
        <w:spacing w:before="0" w:beforeAutospacing="0" w:after="0" w:afterAutospacing="0" w:line="360" w:lineRule="auto"/>
        <w:ind w:firstLine="420"/>
        <w:rPr>
          <w:sz w:val="21"/>
          <w:szCs w:val="21"/>
        </w:rPr>
      </w:pPr>
      <w:r>
        <w:rPr>
          <w:rFonts w:hint="eastAsia"/>
          <w:b/>
          <w:bCs/>
          <w:sz w:val="21"/>
          <w:szCs w:val="21"/>
        </w:rPr>
        <w:t>(99)海通证券股份有限公司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(100)申万宏源证券有限公司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上海市徐汇区长乐路989号世纪商贸广场45层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(101)兴业证券股份有限公司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福州市湖东路268号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上海市浦东民生路1199弄五道口广场1号楼21层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杨华辉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乔琳雪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021-38565547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021－38565783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4008888123/95562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http://www.xyzq.com.cn/ </w:t>
            </w:r>
          </w:p>
        </w:tc>
      </w:tr>
    </w:tbl>
    <w:p>
      <w:pPr>
        <w:pStyle w:val="7"/>
        <w:spacing w:before="0" w:beforeAutospacing="0" w:after="0" w:afterAutospacing="0" w:line="360" w:lineRule="auto"/>
        <w:ind w:firstLine="420"/>
        <w:rPr>
          <w:sz w:val="21"/>
          <w:szCs w:val="21"/>
        </w:rPr>
      </w:pPr>
      <w:r>
        <w:rPr>
          <w:rFonts w:hint="eastAsia"/>
          <w:b/>
          <w:bCs/>
          <w:sz w:val="21"/>
          <w:szCs w:val="21"/>
        </w:rPr>
        <w:t>(102)长江证券股份有限公司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http://www.95579.com/ </w:t>
            </w:r>
          </w:p>
        </w:tc>
      </w:tr>
    </w:tbl>
    <w:p>
      <w:pPr>
        <w:pStyle w:val="7"/>
        <w:spacing w:before="0" w:beforeAutospacing="0" w:after="0" w:afterAutospacing="0" w:line="360" w:lineRule="auto"/>
        <w:ind w:firstLine="420"/>
        <w:rPr>
          <w:sz w:val="21"/>
          <w:szCs w:val="21"/>
        </w:rPr>
      </w:pPr>
      <w:r>
        <w:rPr>
          <w:rFonts w:hint="eastAsia"/>
          <w:b/>
          <w:bCs/>
          <w:sz w:val="21"/>
          <w:szCs w:val="21"/>
        </w:rPr>
        <w:t>(103)安信证券股份有限公司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(104)湘财证券股份有限公司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林俊波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021-38784580-8920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http://www.xcsc.com </w:t>
            </w:r>
          </w:p>
        </w:tc>
      </w:tr>
    </w:tbl>
    <w:p>
      <w:pPr>
        <w:pStyle w:val="7"/>
        <w:spacing w:before="0" w:beforeAutospacing="0" w:after="0" w:afterAutospacing="0" w:line="360" w:lineRule="auto"/>
        <w:ind w:firstLine="420"/>
        <w:rPr>
          <w:sz w:val="21"/>
          <w:szCs w:val="21"/>
        </w:rPr>
      </w:pPr>
      <w:r>
        <w:rPr>
          <w:rFonts w:hint="eastAsia"/>
          <w:b/>
          <w:bCs/>
          <w:sz w:val="21"/>
          <w:szCs w:val="21"/>
        </w:rPr>
        <w:t>(105)华泰证券股份有限公司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办公地址 南京市建邺区江东中路228号华泰证券广场、深圳市福田区深南大道4011号港中旅大厦18楼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0755-82492962（深圳）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http://www.htsc.com.cn/ </w:t>
            </w:r>
          </w:p>
        </w:tc>
      </w:tr>
    </w:tbl>
    <w:p>
      <w:pPr>
        <w:pStyle w:val="7"/>
        <w:spacing w:before="0" w:beforeAutospacing="0" w:after="0" w:afterAutospacing="0" w:line="360" w:lineRule="auto"/>
        <w:ind w:firstLine="420"/>
        <w:rPr>
          <w:sz w:val="21"/>
          <w:szCs w:val="21"/>
        </w:rPr>
      </w:pPr>
      <w:r>
        <w:rPr>
          <w:rFonts w:hint="eastAsia"/>
          <w:b/>
          <w:bCs/>
          <w:sz w:val="21"/>
          <w:szCs w:val="21"/>
        </w:rPr>
        <w:t>(106)山西证券股份有限公司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侯巍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0351－8686659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0351－8686619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4006661618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http://www.i618.com.cn/ </w:t>
            </w:r>
          </w:p>
        </w:tc>
      </w:tr>
    </w:tbl>
    <w:p>
      <w:pPr>
        <w:pStyle w:val="7"/>
        <w:spacing w:before="0" w:beforeAutospacing="0" w:after="0" w:afterAutospacing="0" w:line="360" w:lineRule="auto"/>
        <w:ind w:firstLine="420"/>
        <w:rPr>
          <w:sz w:val="21"/>
          <w:szCs w:val="21"/>
        </w:rPr>
      </w:pPr>
      <w:r>
        <w:rPr>
          <w:rFonts w:hint="eastAsia"/>
          <w:b/>
          <w:bCs/>
          <w:sz w:val="21"/>
          <w:szCs w:val="21"/>
        </w:rPr>
        <w:t>(107)中信证券（山东）有限责任公司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(108)东兴证券股份有限公司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北京市西城区金融大街5号（新盛大厦）12、15层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北京市西城区金融大街5号新盛大厦B座12-15层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魏庆华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郑旷怡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010-66559039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010-66555133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http://www.dxzq.net </w:t>
            </w:r>
          </w:p>
        </w:tc>
      </w:tr>
    </w:tbl>
    <w:p>
      <w:pPr>
        <w:pStyle w:val="7"/>
        <w:spacing w:before="0" w:beforeAutospacing="0" w:after="0" w:afterAutospacing="0" w:line="360" w:lineRule="auto"/>
        <w:ind w:firstLine="420"/>
        <w:rPr>
          <w:sz w:val="21"/>
          <w:szCs w:val="21"/>
        </w:rPr>
      </w:pPr>
      <w:r>
        <w:rPr>
          <w:rFonts w:hint="eastAsia"/>
          <w:b/>
          <w:bCs/>
          <w:sz w:val="21"/>
          <w:szCs w:val="21"/>
        </w:rPr>
        <w:t>(109)东吴证券股份有限公司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江苏省苏州市翠园路181号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江苏省苏州市星阳街5号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范力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陆晓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0512-62938521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0512－65588021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4008601555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http://www.dwjq.com.cn </w:t>
            </w:r>
          </w:p>
        </w:tc>
      </w:tr>
    </w:tbl>
    <w:p>
      <w:pPr>
        <w:pStyle w:val="7"/>
        <w:spacing w:before="0" w:beforeAutospacing="0" w:after="0" w:afterAutospacing="0" w:line="360" w:lineRule="auto"/>
        <w:ind w:firstLine="420"/>
        <w:rPr>
          <w:sz w:val="21"/>
          <w:szCs w:val="21"/>
        </w:rPr>
      </w:pPr>
      <w:r>
        <w:rPr>
          <w:rFonts w:hint="eastAsia"/>
          <w:b/>
          <w:bCs/>
          <w:sz w:val="21"/>
          <w:szCs w:val="21"/>
        </w:rPr>
        <w:t>(110)信达证券股份有限公司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王薇安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010－83252170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010－63081344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http://www.cindasc.com </w:t>
            </w:r>
          </w:p>
        </w:tc>
      </w:tr>
    </w:tbl>
    <w:p>
      <w:pPr>
        <w:pStyle w:val="7"/>
        <w:spacing w:before="0" w:beforeAutospacing="0" w:after="0" w:afterAutospacing="0" w:line="360" w:lineRule="auto"/>
        <w:ind w:firstLine="420"/>
        <w:rPr>
          <w:sz w:val="21"/>
          <w:szCs w:val="21"/>
        </w:rPr>
      </w:pPr>
      <w:r>
        <w:rPr>
          <w:rFonts w:hint="eastAsia"/>
          <w:b/>
          <w:bCs/>
          <w:sz w:val="21"/>
          <w:szCs w:val="21"/>
        </w:rPr>
        <w:t>(111)长城证券股份有限公司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深圳市深南大道6008号特区报业大厦16、17层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深圳市深南大道6008号特区报业大厦14、16、17层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丁益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0755-83464734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0755－83515567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http://www.cgws.com </w:t>
            </w:r>
          </w:p>
        </w:tc>
      </w:tr>
    </w:tbl>
    <w:p>
      <w:pPr>
        <w:pStyle w:val="7"/>
        <w:spacing w:before="0" w:beforeAutospacing="0" w:after="0" w:afterAutospacing="0" w:line="360" w:lineRule="auto"/>
        <w:ind w:firstLine="420"/>
        <w:rPr>
          <w:sz w:val="21"/>
          <w:szCs w:val="21"/>
        </w:rPr>
      </w:pPr>
      <w:r>
        <w:rPr>
          <w:rFonts w:hint="eastAsia"/>
          <w:b/>
          <w:bCs/>
          <w:sz w:val="21"/>
          <w:szCs w:val="21"/>
        </w:rPr>
        <w:t>(112)光大证券股份有限公司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(113)中信证券华南股份有限公司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(114)东北证券股份有限公司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http://www.nesc.cn </w:t>
            </w:r>
          </w:p>
        </w:tc>
      </w:tr>
    </w:tbl>
    <w:p>
      <w:pPr>
        <w:pStyle w:val="7"/>
        <w:spacing w:before="0" w:beforeAutospacing="0" w:after="0" w:afterAutospacing="0" w:line="360" w:lineRule="auto"/>
        <w:ind w:firstLine="420"/>
        <w:rPr>
          <w:sz w:val="21"/>
          <w:szCs w:val="21"/>
        </w:rPr>
      </w:pPr>
      <w:r>
        <w:rPr>
          <w:rFonts w:hint="eastAsia"/>
          <w:b/>
          <w:bCs/>
          <w:sz w:val="21"/>
          <w:szCs w:val="21"/>
        </w:rPr>
        <w:t>(115)南京证券股份有限公司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http://www.njzq.com.cn </w:t>
            </w:r>
          </w:p>
        </w:tc>
      </w:tr>
    </w:tbl>
    <w:p>
      <w:pPr>
        <w:pStyle w:val="7"/>
        <w:spacing w:before="0" w:beforeAutospacing="0" w:after="0" w:afterAutospacing="0" w:line="360" w:lineRule="auto"/>
        <w:ind w:firstLine="420"/>
        <w:rPr>
          <w:sz w:val="21"/>
          <w:szCs w:val="21"/>
        </w:rPr>
      </w:pPr>
      <w:r>
        <w:rPr>
          <w:rFonts w:hint="eastAsia"/>
          <w:b/>
          <w:bCs/>
          <w:sz w:val="21"/>
          <w:szCs w:val="21"/>
        </w:rPr>
        <w:t>(116)上海证券有限责任公司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https://www.shzq.com/ </w:t>
            </w:r>
          </w:p>
        </w:tc>
      </w:tr>
    </w:tbl>
    <w:p>
      <w:pPr>
        <w:pStyle w:val="7"/>
        <w:spacing w:before="0" w:beforeAutospacing="0" w:after="0" w:afterAutospacing="0" w:line="360" w:lineRule="auto"/>
        <w:ind w:firstLine="420"/>
        <w:rPr>
          <w:sz w:val="21"/>
          <w:szCs w:val="21"/>
        </w:rPr>
      </w:pPr>
      <w:r>
        <w:rPr>
          <w:rFonts w:hint="eastAsia"/>
          <w:b/>
          <w:bCs/>
          <w:sz w:val="21"/>
          <w:szCs w:val="21"/>
        </w:rPr>
        <w:t>(117)诚通证券股份有限公司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http://www.xsdzq.cn </w:t>
            </w:r>
          </w:p>
        </w:tc>
      </w:tr>
    </w:tbl>
    <w:p>
      <w:pPr>
        <w:pStyle w:val="7"/>
        <w:spacing w:before="0" w:beforeAutospacing="0" w:after="0" w:afterAutospacing="0" w:line="360" w:lineRule="auto"/>
        <w:ind w:firstLine="420"/>
        <w:rPr>
          <w:sz w:val="21"/>
          <w:szCs w:val="21"/>
        </w:rPr>
      </w:pPr>
      <w:r>
        <w:rPr>
          <w:rFonts w:hint="eastAsia"/>
          <w:b/>
          <w:bCs/>
          <w:sz w:val="21"/>
          <w:szCs w:val="21"/>
        </w:rPr>
        <w:t>(118)大同证券有限责任公司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山西省大同市平城区迎宾街15号桐城中央21层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山西省太原市小店区长治路111号山西世贸中心A座F12、F13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0351-7219891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www.dtsbc.com.cn </w:t>
            </w:r>
          </w:p>
        </w:tc>
      </w:tr>
    </w:tbl>
    <w:p>
      <w:pPr>
        <w:pStyle w:val="7"/>
        <w:spacing w:before="0" w:beforeAutospacing="0" w:after="0" w:afterAutospacing="0" w:line="360" w:lineRule="auto"/>
        <w:ind w:firstLine="420"/>
        <w:rPr>
          <w:sz w:val="21"/>
          <w:szCs w:val="21"/>
        </w:rPr>
      </w:pPr>
      <w:r>
        <w:rPr>
          <w:rFonts w:hint="eastAsia"/>
          <w:b/>
          <w:bCs/>
          <w:sz w:val="21"/>
          <w:szCs w:val="21"/>
        </w:rPr>
        <w:t>(119)平安证券股份有限公司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http:www.stock.pingan.com </w:t>
            </w:r>
          </w:p>
        </w:tc>
      </w:tr>
    </w:tbl>
    <w:p>
      <w:pPr>
        <w:pStyle w:val="7"/>
        <w:spacing w:before="0" w:beforeAutospacing="0" w:after="0" w:afterAutospacing="0" w:line="360" w:lineRule="auto"/>
        <w:ind w:firstLine="420"/>
        <w:rPr>
          <w:sz w:val="21"/>
          <w:szCs w:val="21"/>
        </w:rPr>
      </w:pPr>
      <w:r>
        <w:rPr>
          <w:rFonts w:hint="eastAsia"/>
          <w:b/>
          <w:bCs/>
          <w:sz w:val="21"/>
          <w:szCs w:val="21"/>
        </w:rPr>
        <w:t>(120)东莞证券有限责任公司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陈照星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叶玉琪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0769-22115712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http://www.dgzq.com.cn </w:t>
            </w:r>
          </w:p>
        </w:tc>
      </w:tr>
    </w:tbl>
    <w:p>
      <w:pPr>
        <w:pStyle w:val="7"/>
        <w:spacing w:before="0" w:beforeAutospacing="0" w:after="0" w:afterAutospacing="0" w:line="360" w:lineRule="auto"/>
        <w:ind w:firstLine="420"/>
        <w:rPr>
          <w:sz w:val="21"/>
          <w:szCs w:val="21"/>
        </w:rPr>
      </w:pPr>
      <w:r>
        <w:rPr>
          <w:rFonts w:hint="eastAsia"/>
          <w:b/>
          <w:bCs/>
          <w:sz w:val="21"/>
          <w:szCs w:val="21"/>
        </w:rPr>
        <w:t>(121)国都证券股份有限公司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翁振杰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010-84183333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010-84183311-3389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400-818-8118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http://www.guodu.com </w:t>
            </w:r>
          </w:p>
        </w:tc>
      </w:tr>
    </w:tbl>
    <w:p>
      <w:pPr>
        <w:pStyle w:val="7"/>
        <w:spacing w:before="0" w:beforeAutospacing="0" w:after="0" w:afterAutospacing="0" w:line="360" w:lineRule="auto"/>
        <w:ind w:firstLine="420"/>
        <w:rPr>
          <w:sz w:val="21"/>
          <w:szCs w:val="21"/>
        </w:rPr>
      </w:pPr>
      <w:r>
        <w:rPr>
          <w:rFonts w:hint="eastAsia"/>
          <w:b/>
          <w:bCs/>
          <w:sz w:val="21"/>
          <w:szCs w:val="21"/>
        </w:rPr>
        <w:t>(122)东海证券股份有限公司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江苏省常州延陵西路23号投资广场18层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上海市浦东新区东方路1928号东海证券大厦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钱俊文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王一彦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021-20333333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021-50498825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4008888588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http://www.longone.com.cn </w:t>
            </w:r>
          </w:p>
        </w:tc>
      </w:tr>
    </w:tbl>
    <w:p>
      <w:pPr>
        <w:pStyle w:val="7"/>
        <w:spacing w:before="0" w:beforeAutospacing="0" w:after="0" w:afterAutospacing="0" w:line="360" w:lineRule="auto"/>
        <w:ind w:firstLine="420"/>
        <w:rPr>
          <w:sz w:val="21"/>
          <w:szCs w:val="21"/>
        </w:rPr>
      </w:pPr>
      <w:r>
        <w:rPr>
          <w:rFonts w:hint="eastAsia"/>
          <w:b/>
          <w:bCs/>
          <w:sz w:val="21"/>
          <w:szCs w:val="21"/>
        </w:rPr>
        <w:t>(123)国盛证券有限责任公司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江西省南昌市新建区子实路1589号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江西省南昌市红谷滩新区凤凰中大道1115号北京银行大厦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占文驰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0791－86283372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0791－6289395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https://www.gszq.com/ </w:t>
            </w:r>
          </w:p>
        </w:tc>
      </w:tr>
    </w:tbl>
    <w:p>
      <w:pPr>
        <w:pStyle w:val="7"/>
        <w:spacing w:before="0" w:beforeAutospacing="0" w:after="0" w:afterAutospacing="0" w:line="360" w:lineRule="auto"/>
        <w:ind w:firstLine="420"/>
        <w:rPr>
          <w:sz w:val="21"/>
          <w:szCs w:val="21"/>
        </w:rPr>
      </w:pPr>
      <w:r>
        <w:rPr>
          <w:rFonts w:hint="eastAsia"/>
          <w:b/>
          <w:bCs/>
          <w:sz w:val="21"/>
          <w:szCs w:val="21"/>
        </w:rPr>
        <w:t>(124)华西证券股份有限公司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http://www.hx168.com.cn </w:t>
            </w:r>
          </w:p>
        </w:tc>
      </w:tr>
    </w:tbl>
    <w:p>
      <w:pPr>
        <w:pStyle w:val="7"/>
        <w:spacing w:before="0" w:beforeAutospacing="0" w:after="0" w:afterAutospacing="0" w:line="360" w:lineRule="auto"/>
        <w:ind w:firstLine="420"/>
        <w:rPr>
          <w:sz w:val="21"/>
          <w:szCs w:val="21"/>
        </w:rPr>
      </w:pPr>
      <w:r>
        <w:rPr>
          <w:rFonts w:hint="eastAsia"/>
          <w:b/>
          <w:bCs/>
          <w:sz w:val="21"/>
          <w:szCs w:val="21"/>
        </w:rPr>
        <w:t>(125)申万宏源西部证券有限公司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王献军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0991-2307105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010-88085195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(126)中泰证券股份有限公司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山东省济南市经十路20518号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山东省济南市经七路86号23层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021-20315161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0531-68889357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www.zts.com.cn </w:t>
            </w:r>
          </w:p>
        </w:tc>
      </w:tr>
    </w:tbl>
    <w:p>
      <w:pPr>
        <w:pStyle w:val="7"/>
        <w:spacing w:before="0" w:beforeAutospacing="0" w:after="0" w:afterAutospacing="0" w:line="360" w:lineRule="auto"/>
        <w:ind w:firstLine="420"/>
        <w:rPr>
          <w:sz w:val="21"/>
          <w:szCs w:val="21"/>
        </w:rPr>
      </w:pPr>
      <w:r>
        <w:rPr>
          <w:rFonts w:hint="eastAsia"/>
          <w:b/>
          <w:bCs/>
          <w:sz w:val="21"/>
          <w:szCs w:val="21"/>
        </w:rPr>
        <w:t>(127)第一创业证券股份有限公司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http://www.firstcapital.com.cn/ </w:t>
            </w:r>
          </w:p>
        </w:tc>
      </w:tr>
    </w:tbl>
    <w:p>
      <w:pPr>
        <w:pStyle w:val="7"/>
        <w:spacing w:before="0" w:beforeAutospacing="0" w:after="0" w:afterAutospacing="0" w:line="360" w:lineRule="auto"/>
        <w:ind w:firstLine="420"/>
        <w:rPr>
          <w:sz w:val="21"/>
          <w:szCs w:val="21"/>
        </w:rPr>
      </w:pPr>
      <w:r>
        <w:rPr>
          <w:rFonts w:hint="eastAsia"/>
          <w:b/>
          <w:bCs/>
          <w:sz w:val="21"/>
          <w:szCs w:val="21"/>
        </w:rPr>
        <w:t>(128)中航证券有限公司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丛中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王丹妮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0791-6768763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0791-6789414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400-8866-567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http://www.avicsec.com/ </w:t>
            </w:r>
          </w:p>
        </w:tc>
      </w:tr>
    </w:tbl>
    <w:p>
      <w:pPr>
        <w:pStyle w:val="7"/>
        <w:spacing w:before="0" w:beforeAutospacing="0" w:after="0" w:afterAutospacing="0" w:line="360" w:lineRule="auto"/>
        <w:ind w:firstLine="420"/>
        <w:rPr>
          <w:sz w:val="21"/>
          <w:szCs w:val="21"/>
        </w:rPr>
      </w:pPr>
      <w:r>
        <w:rPr>
          <w:rFonts w:hint="eastAsia"/>
          <w:b/>
          <w:bCs/>
          <w:sz w:val="21"/>
          <w:szCs w:val="21"/>
        </w:rPr>
        <w:t>(129)华林证券股份有限公司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0755－82707855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0755－23613751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4001883888 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http://www.chinalin.com/ </w:t>
            </w:r>
          </w:p>
        </w:tc>
      </w:tr>
    </w:tbl>
    <w:p>
      <w:pPr>
        <w:pStyle w:val="7"/>
        <w:spacing w:before="0" w:beforeAutospacing="0" w:after="0" w:afterAutospacing="0" w:line="360" w:lineRule="auto"/>
        <w:ind w:firstLine="420"/>
        <w:rPr>
          <w:sz w:val="21"/>
          <w:szCs w:val="21"/>
        </w:rPr>
      </w:pPr>
      <w:r>
        <w:rPr>
          <w:rFonts w:hint="eastAsia"/>
          <w:b/>
          <w:bCs/>
          <w:sz w:val="21"/>
          <w:szCs w:val="21"/>
        </w:rPr>
        <w:t>(130)华福证券有限责任公司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福州市五四路157号新天地大厦7、8层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福州市五四路157号新天地大厦7至10层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黄金琳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021-20655183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0591－87383610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http://www.hfzq.com.cn </w:t>
            </w:r>
          </w:p>
        </w:tc>
      </w:tr>
    </w:tbl>
    <w:p>
      <w:pPr>
        <w:pStyle w:val="7"/>
        <w:spacing w:before="0" w:beforeAutospacing="0" w:after="0" w:afterAutospacing="0" w:line="360" w:lineRule="auto"/>
        <w:ind w:firstLine="420"/>
        <w:rPr>
          <w:sz w:val="21"/>
          <w:szCs w:val="21"/>
        </w:rPr>
      </w:pPr>
      <w:r>
        <w:rPr>
          <w:rFonts w:hint="eastAsia"/>
          <w:b/>
          <w:bCs/>
          <w:sz w:val="21"/>
          <w:szCs w:val="21"/>
        </w:rPr>
        <w:t>(131)中国国际金融股份有限公司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沈如军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010－65051156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http://www.cicc.com.cn/ </w:t>
            </w:r>
          </w:p>
        </w:tc>
      </w:tr>
    </w:tbl>
    <w:p>
      <w:pPr>
        <w:pStyle w:val="7"/>
        <w:spacing w:before="0" w:beforeAutospacing="0" w:after="0" w:afterAutospacing="0" w:line="360" w:lineRule="auto"/>
        <w:ind w:firstLine="420"/>
        <w:rPr>
          <w:sz w:val="21"/>
          <w:szCs w:val="21"/>
        </w:rPr>
      </w:pPr>
      <w:r>
        <w:rPr>
          <w:rFonts w:hint="eastAsia"/>
          <w:b/>
          <w:bCs/>
          <w:sz w:val="21"/>
          <w:szCs w:val="21"/>
        </w:rPr>
        <w:t>(132)中国中金财富证券有限公司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http://www.china-invs.cn/ </w:t>
            </w:r>
          </w:p>
        </w:tc>
      </w:tr>
    </w:tbl>
    <w:p>
      <w:pPr>
        <w:pStyle w:val="7"/>
        <w:spacing w:before="0" w:beforeAutospacing="0" w:after="0" w:afterAutospacing="0" w:line="360" w:lineRule="auto"/>
        <w:ind w:firstLine="420"/>
        <w:rPr>
          <w:sz w:val="21"/>
          <w:szCs w:val="21"/>
        </w:rPr>
      </w:pPr>
      <w:r>
        <w:rPr>
          <w:rFonts w:hint="eastAsia"/>
          <w:b/>
          <w:bCs/>
          <w:sz w:val="21"/>
          <w:szCs w:val="21"/>
        </w:rPr>
        <w:t>(133)中山证券有限责任公司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吴小静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http://www.zszq.com </w:t>
            </w:r>
          </w:p>
        </w:tc>
      </w:tr>
    </w:tbl>
    <w:p>
      <w:pPr>
        <w:pStyle w:val="7"/>
        <w:spacing w:before="0" w:beforeAutospacing="0" w:after="0" w:afterAutospacing="0" w:line="360" w:lineRule="auto"/>
        <w:ind w:firstLine="420"/>
        <w:rPr>
          <w:sz w:val="21"/>
          <w:szCs w:val="21"/>
        </w:rPr>
      </w:pPr>
      <w:r>
        <w:rPr>
          <w:rFonts w:hint="eastAsia"/>
          <w:b/>
          <w:bCs/>
          <w:sz w:val="21"/>
          <w:szCs w:val="21"/>
        </w:rPr>
        <w:t>(134)东方财富证券股份有限公司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(135)粤开证券股份有限公司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广州经济技术开发区科学大道60号开发区控股中心21、22、23层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http://www.ykzq.com </w:t>
            </w:r>
          </w:p>
        </w:tc>
      </w:tr>
    </w:tbl>
    <w:p>
      <w:pPr>
        <w:pStyle w:val="7"/>
        <w:spacing w:before="0" w:beforeAutospacing="0" w:after="0" w:afterAutospacing="0" w:line="360" w:lineRule="auto"/>
        <w:ind w:firstLine="420"/>
        <w:rPr>
          <w:sz w:val="21"/>
          <w:szCs w:val="21"/>
        </w:rPr>
      </w:pPr>
      <w:r>
        <w:rPr>
          <w:rFonts w:hint="eastAsia"/>
          <w:b/>
          <w:bCs/>
          <w:sz w:val="21"/>
          <w:szCs w:val="21"/>
        </w:rPr>
        <w:t>(136)国金证券股份有限公司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(137)华宝证券股份有限公司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刘加海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刘闻川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021-68777222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021－68777822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4008209898;021-38929908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http://www.cnhbstock.com </w:t>
            </w:r>
          </w:p>
        </w:tc>
      </w:tr>
    </w:tbl>
    <w:p>
      <w:pPr>
        <w:pStyle w:val="7"/>
        <w:spacing w:before="0" w:beforeAutospacing="0" w:after="0" w:afterAutospacing="0" w:line="360" w:lineRule="auto"/>
        <w:ind w:firstLine="420"/>
        <w:rPr>
          <w:sz w:val="21"/>
          <w:szCs w:val="21"/>
        </w:rPr>
      </w:pPr>
      <w:r>
        <w:rPr>
          <w:rFonts w:hint="eastAsia"/>
          <w:b/>
          <w:bCs/>
          <w:sz w:val="21"/>
          <w:szCs w:val="21"/>
        </w:rPr>
        <w:t>(138)天风证券股份有限公司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余磊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王雅薇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027-87107535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400-800-5000/ 95391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http://www.tfzq.com/ </w:t>
            </w:r>
          </w:p>
        </w:tc>
      </w:tr>
    </w:tbl>
    <w:p>
      <w:pPr>
        <w:pStyle w:val="7"/>
        <w:spacing w:before="0" w:beforeAutospacing="0" w:after="0" w:afterAutospacing="0" w:line="360" w:lineRule="auto"/>
        <w:ind w:firstLine="420"/>
        <w:rPr>
          <w:sz w:val="21"/>
          <w:szCs w:val="21"/>
        </w:rPr>
      </w:pPr>
      <w:r>
        <w:rPr>
          <w:rFonts w:hint="eastAsia"/>
          <w:b/>
          <w:bCs/>
          <w:sz w:val="21"/>
          <w:szCs w:val="21"/>
        </w:rPr>
        <w:t>(139)华瑞保险销售有限公司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(140)玄元保险代理有限公司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(141)阳光人寿保险股份有限公司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(142)中国人寿保险股份有限公司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(143)华融湘江银行股份有限公司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湖南省长沙市天心区芙蓉南路一段828号鑫远-杰座大厦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湖南省长沙市天心区芙蓉南路一段828号鑫远-杰座大厦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刘永生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张鹏君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0731-89828806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0731-96599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www.hrxjbank.com.cn </w:t>
            </w:r>
          </w:p>
        </w:tc>
      </w:tr>
    </w:tbl>
    <w:p>
      <w:pPr>
        <w:pStyle w:val="7"/>
        <w:spacing w:before="0" w:beforeAutospacing="0" w:after="0" w:afterAutospacing="0" w:line="360" w:lineRule="auto"/>
        <w:ind w:firstLine="420"/>
        <w:rPr>
          <w:sz w:val="21"/>
          <w:szCs w:val="21"/>
        </w:rPr>
      </w:pPr>
      <w:r>
        <w:rPr>
          <w:rFonts w:hint="eastAsia"/>
          <w:b/>
          <w:bCs/>
          <w:sz w:val="21"/>
          <w:szCs w:val="21"/>
        </w:rPr>
        <w:t>(144)长城华西银行股份有限公司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四川省德阳市蒙山街14号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四川省德阳市蒙山街14号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谭运财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鄢露林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0838-6821177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0838-2371812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0838-96836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www.gwbank.com.cn </w:t>
            </w:r>
          </w:p>
        </w:tc>
      </w:tr>
    </w:tbl>
    <w:p>
      <w:pPr>
        <w:pStyle w:val="7"/>
        <w:spacing w:before="0" w:beforeAutospacing="0" w:after="0" w:afterAutospacing="0" w:line="360" w:lineRule="auto"/>
        <w:ind w:firstLine="420"/>
        <w:rPr>
          <w:sz w:val="21"/>
          <w:szCs w:val="21"/>
        </w:rPr>
      </w:pPr>
      <w:r>
        <w:rPr>
          <w:rFonts w:hint="eastAsia"/>
          <w:b/>
          <w:bCs/>
          <w:sz w:val="21"/>
          <w:szCs w:val="21"/>
        </w:rPr>
        <w:t>(145)龙江银行股份有限公司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张建辉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闫勇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4006458888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www.lj-bank.com </w:t>
            </w:r>
          </w:p>
        </w:tc>
      </w:tr>
    </w:tbl>
    <w:p>
      <w:pPr>
        <w:pStyle w:val="7"/>
        <w:spacing w:before="0" w:beforeAutospacing="0" w:after="0" w:afterAutospacing="0" w:line="360" w:lineRule="auto"/>
        <w:ind w:firstLine="420"/>
        <w:rPr>
          <w:sz w:val="21"/>
          <w:szCs w:val="21"/>
        </w:rPr>
      </w:pPr>
      <w:r>
        <w:rPr>
          <w:rFonts w:hint="eastAsia"/>
          <w:b/>
          <w:bCs/>
          <w:sz w:val="21"/>
          <w:szCs w:val="21"/>
        </w:rPr>
        <w:t>(146)青岛农村商业银行股份有限公司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刘仲生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0532-66957360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0532-66957229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0532-96668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www.qrcb.com.cn </w:t>
            </w:r>
          </w:p>
        </w:tc>
      </w:tr>
    </w:tbl>
    <w:p>
      <w:pPr>
        <w:pStyle w:val="7"/>
        <w:spacing w:before="0" w:beforeAutospacing="0" w:after="0" w:afterAutospacing="0" w:line="360" w:lineRule="auto"/>
        <w:ind w:firstLine="420"/>
        <w:rPr>
          <w:sz w:val="21"/>
          <w:szCs w:val="21"/>
        </w:rPr>
      </w:pPr>
      <w:r>
        <w:rPr>
          <w:rFonts w:hint="eastAsia"/>
          <w:b/>
          <w:bCs/>
          <w:sz w:val="21"/>
          <w:szCs w:val="21"/>
        </w:rPr>
        <w:t>(147)深圳前海微众银行股份有限公司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广东省深圳市前海深港合作区前湾一路 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广东省深圳市南山区田厦国际中心36楼、37楼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顾敏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唐宇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0755-89462525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0755-86700688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400-999-8877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http://www.webank.com/  </w:t>
            </w:r>
          </w:p>
        </w:tc>
      </w:tr>
    </w:tbl>
    <w:p>
      <w:pPr>
        <w:pStyle w:val="7"/>
        <w:spacing w:before="0" w:beforeAutospacing="0" w:after="0" w:afterAutospacing="0" w:line="360" w:lineRule="auto"/>
        <w:ind w:firstLine="420"/>
        <w:rPr>
          <w:sz w:val="21"/>
          <w:szCs w:val="21"/>
        </w:rPr>
      </w:pPr>
      <w:r>
        <w:rPr>
          <w:rFonts w:hint="eastAsia"/>
          <w:b/>
          <w:bCs/>
          <w:sz w:val="21"/>
          <w:szCs w:val="21"/>
        </w:rPr>
        <w:t>(148)桂林银行股份有限公司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周佩玲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0773-3810130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0773-3851691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www.guilinbank.com.cn </w:t>
            </w:r>
          </w:p>
        </w:tc>
      </w:tr>
    </w:tbl>
    <w:p>
      <w:pPr>
        <w:pStyle w:val="7"/>
        <w:spacing w:before="0" w:beforeAutospacing="0" w:after="0" w:afterAutospacing="0" w:line="360" w:lineRule="auto"/>
        <w:ind w:firstLine="420"/>
        <w:rPr>
          <w:sz w:val="21"/>
          <w:szCs w:val="21"/>
        </w:rPr>
      </w:pPr>
      <w:r>
        <w:rPr>
          <w:rFonts w:hint="eastAsia"/>
          <w:b/>
          <w:bCs/>
          <w:sz w:val="21"/>
          <w:szCs w:val="21"/>
        </w:rPr>
        <w:t>(149)浙江德清农村商业银行股份有限公司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浙江省德清县武康街道沈长圩街50号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浙江省德清县武康街道沈长圩街50号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陈春仿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车杰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0572-8063963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0572-8068673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https://www.deqingbank.com/ </w:t>
            </w:r>
          </w:p>
        </w:tc>
      </w:tr>
    </w:tbl>
    <w:p>
      <w:pPr>
        <w:pStyle w:val="7"/>
        <w:spacing w:before="0" w:beforeAutospacing="0" w:after="0" w:afterAutospacing="0" w:line="360" w:lineRule="auto"/>
        <w:ind w:firstLine="420"/>
        <w:rPr>
          <w:sz w:val="21"/>
          <w:szCs w:val="21"/>
        </w:rPr>
      </w:pPr>
      <w:r>
        <w:rPr>
          <w:rFonts w:hint="eastAsia"/>
          <w:b/>
          <w:bCs/>
          <w:sz w:val="21"/>
          <w:szCs w:val="21"/>
        </w:rPr>
        <w:t>(150)浙江温州瓯海农村商业银行股份有限公司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浙江省温州市瓯海区瓯海大道989号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浙江省温州市瓯海区瓯海大道989号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黄定表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夏娇容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0577-88330290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96596 </w:t>
            </w:r>
          </w:p>
        </w:tc>
      </w:tr>
    </w:tbl>
    <w:p>
      <w:pPr>
        <w:pStyle w:val="7"/>
        <w:spacing w:before="0" w:beforeAutospacing="0" w:after="0" w:afterAutospacing="0" w:line="360" w:lineRule="auto"/>
        <w:ind w:firstLine="420"/>
        <w:rPr>
          <w:sz w:val="21"/>
          <w:szCs w:val="21"/>
        </w:rPr>
      </w:pPr>
      <w:r>
        <w:rPr>
          <w:rFonts w:hint="eastAsia"/>
          <w:b/>
          <w:bCs/>
          <w:sz w:val="21"/>
          <w:szCs w:val="21"/>
        </w:rPr>
        <w:t>(151)厦门国际银行股份有限公司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翁若同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林婉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0592-2078888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0592-2100752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4001-623-623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www.xib.com.cn </w:t>
            </w:r>
          </w:p>
        </w:tc>
      </w:tr>
    </w:tbl>
    <w:p>
      <w:pPr>
        <w:pStyle w:val="7"/>
        <w:spacing w:before="0" w:beforeAutospacing="0" w:after="0" w:afterAutospacing="0" w:line="360" w:lineRule="auto"/>
        <w:ind w:firstLine="420"/>
        <w:rPr>
          <w:sz w:val="21"/>
          <w:szCs w:val="21"/>
        </w:rPr>
      </w:pPr>
      <w:r>
        <w:rPr>
          <w:rFonts w:hint="eastAsia"/>
          <w:b/>
          <w:bCs/>
          <w:sz w:val="21"/>
          <w:szCs w:val="21"/>
        </w:rPr>
        <w:t>(152)湖北银行股份有限公司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武汉市武昌区水果湖街中北路86号汉街总部国际8栋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武汉市武昌区水果湖街中北路86号汉街总部国际8栋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陈大林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李昕雅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027-87139129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027-87135931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（湖北）96599（全国）400-85-96599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http://www.hubeibank.cn </w:t>
            </w:r>
          </w:p>
        </w:tc>
      </w:tr>
    </w:tbl>
    <w:p>
      <w:pPr>
        <w:pStyle w:val="7"/>
        <w:spacing w:before="0" w:beforeAutospacing="0" w:after="0" w:afterAutospacing="0" w:line="360" w:lineRule="auto"/>
        <w:ind w:firstLine="420"/>
        <w:rPr>
          <w:sz w:val="21"/>
          <w:szCs w:val="21"/>
        </w:rPr>
      </w:pPr>
      <w:r>
        <w:rPr>
          <w:rFonts w:hint="eastAsia"/>
          <w:b/>
          <w:bCs/>
          <w:sz w:val="21"/>
          <w:szCs w:val="21"/>
        </w:rPr>
        <w:t>(153)宁波鄞州农村商业银行股份有限公司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宁波市鄞州区民惠西路88号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宁波市鄞州区民惠西路88号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周建斌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0574-87412988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0574-87412989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0574-956058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www.beeb.com.cn </w:t>
            </w:r>
          </w:p>
        </w:tc>
      </w:tr>
    </w:tbl>
    <w:p>
      <w:pPr>
        <w:pStyle w:val="7"/>
        <w:spacing w:before="0" w:beforeAutospacing="0" w:after="0" w:afterAutospacing="0" w:line="360" w:lineRule="auto"/>
        <w:ind w:firstLine="420"/>
        <w:rPr>
          <w:sz w:val="21"/>
          <w:szCs w:val="21"/>
        </w:rPr>
      </w:pPr>
      <w:r>
        <w:rPr>
          <w:rFonts w:hint="eastAsia"/>
          <w:b/>
          <w:bCs/>
          <w:sz w:val="21"/>
          <w:szCs w:val="21"/>
        </w:rPr>
        <w:t>(154)贵州银行股份有限公司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李志明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王浩懿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0851-86207815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0851-86507815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96655(贵州省)/4000696655(全国)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www.bgzchina.com </w:t>
            </w:r>
          </w:p>
        </w:tc>
      </w:tr>
    </w:tbl>
    <w:p>
      <w:pPr>
        <w:pStyle w:val="7"/>
        <w:spacing w:before="0" w:beforeAutospacing="0" w:after="0" w:afterAutospacing="0" w:line="360" w:lineRule="auto"/>
        <w:ind w:firstLine="420"/>
        <w:rPr>
          <w:sz w:val="21"/>
          <w:szCs w:val="21"/>
        </w:rPr>
      </w:pPr>
      <w:r>
        <w:rPr>
          <w:rFonts w:hint="eastAsia"/>
          <w:b/>
          <w:bCs/>
          <w:sz w:val="21"/>
          <w:szCs w:val="21"/>
        </w:rPr>
        <w:t>(155)中信百信银行股份有限公司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北京市朝阳区安定路5号院3号楼8层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北京市朝阳区安定路5号院3号楼6-11层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李如东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010-50925699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010-50925690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www.aibank.com </w:t>
            </w:r>
          </w:p>
        </w:tc>
      </w:tr>
    </w:tbl>
    <w:p>
      <w:pPr>
        <w:rPr>
          <w:rFonts w:ascii="宋体" w:hAnsi="宋体" w:eastAsia="宋体"/>
          <w:sz w:val="24"/>
          <w:szCs w:val="24"/>
        </w:rPr>
      </w:pPr>
      <w:bookmarkStart w:id="65" w:name="chapter_level1_7_56_section_2_end"/>
      <w:bookmarkEnd w:id="65"/>
      <w:bookmarkStart w:id="66" w:name="field_0_allproxysaletables_1_end"/>
      <w:bookmarkEnd w:id="66"/>
    </w:p>
    <w:p>
      <w:pPr>
        <w:pStyle w:val="7"/>
        <w:spacing w:before="0" w:beforeAutospacing="0" w:after="0" w:afterAutospacing="0" w:line="360" w:lineRule="auto"/>
        <w:ind w:firstLine="420"/>
        <w:rPr>
          <w:sz w:val="21"/>
          <w:szCs w:val="21"/>
        </w:rPr>
      </w:pPr>
      <w:bookmarkStart w:id="67" w:name="chapter_level1_7_56_section_3"/>
      <w:bookmarkEnd w:id="67"/>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68" w:name="field_0_registercompanyinfo_1_start"/>
      <w:bookmarkEnd w:id="68"/>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69" w:name="field_0_registercompanyinfo_1_end"/>
      <w:bookmarkEnd w:id="69"/>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三、出具法律意见书的律师事务所</w:t>
      </w:r>
    </w:p>
    <w:p>
      <w:pPr>
        <w:pStyle w:val="7"/>
        <w:spacing w:before="0" w:beforeAutospacing="0" w:after="0" w:afterAutospacing="0" w:line="360" w:lineRule="auto"/>
        <w:ind w:firstLine="420"/>
        <w:rPr>
          <w:sz w:val="21"/>
          <w:szCs w:val="21"/>
        </w:rPr>
      </w:pPr>
      <w:r>
        <w:rPr>
          <w:rFonts w:hint="eastAsia"/>
          <w:sz w:val="21"/>
          <w:szCs w:val="21"/>
        </w:rPr>
        <w:t xml:space="preserve">名称：上海市通力律师事务所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办公地址：上海市银城中路68号时代金融中心19楼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负责人：俞卫锋 </w:t>
      </w:r>
    </w:p>
    <w:p>
      <w:pPr>
        <w:pStyle w:val="7"/>
        <w:spacing w:before="0" w:beforeAutospacing="0" w:after="0" w:afterAutospacing="0" w:line="360" w:lineRule="auto"/>
        <w:ind w:firstLine="420"/>
        <w:rPr>
          <w:sz w:val="21"/>
          <w:szCs w:val="21"/>
        </w:rPr>
      </w:pPr>
      <w:r>
        <w:rPr>
          <w:rFonts w:hint="eastAsia"/>
          <w:sz w:val="21"/>
          <w:szCs w:val="21"/>
        </w:rPr>
        <w:t xml:space="preserve">电话： 021- 31358666 </w:t>
      </w:r>
    </w:p>
    <w:p>
      <w:pPr>
        <w:pStyle w:val="7"/>
        <w:spacing w:before="0" w:beforeAutospacing="0" w:after="0" w:afterAutospacing="0" w:line="360" w:lineRule="auto"/>
        <w:ind w:firstLine="420"/>
        <w:rPr>
          <w:sz w:val="21"/>
          <w:szCs w:val="21"/>
        </w:rPr>
      </w:pPr>
      <w:r>
        <w:rPr>
          <w:rFonts w:hint="eastAsia"/>
          <w:sz w:val="21"/>
          <w:szCs w:val="21"/>
        </w:rPr>
        <w:t xml:space="preserve">传真： 021- 31358600 </w:t>
      </w:r>
    </w:p>
    <w:p>
      <w:pPr>
        <w:pStyle w:val="7"/>
        <w:spacing w:before="0" w:beforeAutospacing="0" w:after="0" w:afterAutospacing="0" w:line="360" w:lineRule="auto"/>
        <w:ind w:firstLine="420"/>
        <w:rPr>
          <w:sz w:val="21"/>
          <w:szCs w:val="21"/>
        </w:rPr>
      </w:pPr>
      <w:r>
        <w:rPr>
          <w:rFonts w:hint="eastAsia"/>
          <w:sz w:val="21"/>
          <w:szCs w:val="21"/>
        </w:rPr>
        <w:t xml:space="preserve">联系人：安冬 </w:t>
      </w:r>
    </w:p>
    <w:p>
      <w:pPr>
        <w:pStyle w:val="7"/>
        <w:spacing w:before="0" w:beforeAutospacing="0" w:after="0" w:afterAutospacing="0" w:line="360" w:lineRule="auto"/>
        <w:ind w:firstLine="420"/>
        <w:rPr>
          <w:sz w:val="21"/>
          <w:szCs w:val="21"/>
        </w:rPr>
      </w:pPr>
      <w:r>
        <w:rPr>
          <w:rFonts w:hint="eastAsia"/>
          <w:sz w:val="21"/>
          <w:szCs w:val="21"/>
        </w:rPr>
        <w:t xml:space="preserve">经办律师：安冬、陆奇 </w:t>
      </w:r>
    </w:p>
    <w:p>
      <w:pPr>
        <w:pStyle w:val="7"/>
        <w:spacing w:before="0" w:beforeAutospacing="0" w:after="0" w:afterAutospacing="0" w:line="360" w:lineRule="auto"/>
        <w:ind w:firstLine="420"/>
        <w:rPr>
          <w:sz w:val="21"/>
          <w:szCs w:val="21"/>
        </w:rPr>
      </w:pPr>
      <w:r>
        <w:rPr>
          <w:rStyle w:val="11"/>
          <w:rFonts w:hint="eastAsia"/>
          <w:sz w:val="21"/>
          <w:szCs w:val="21"/>
        </w:rPr>
        <w:t>四、审计基金财产的会计师事务所</w:t>
      </w:r>
    </w:p>
    <w:p>
      <w:pPr>
        <w:pStyle w:val="7"/>
        <w:spacing w:before="0" w:beforeAutospacing="0" w:after="0" w:afterAutospacing="0" w:line="360" w:lineRule="auto"/>
        <w:ind w:firstLine="420"/>
        <w:rPr>
          <w:sz w:val="21"/>
          <w:szCs w:val="21"/>
        </w:rPr>
      </w:pPr>
      <w:bookmarkStart w:id="70" w:name="field_0_accountingcompanyinfo_1_start"/>
      <w:bookmarkEnd w:id="70"/>
      <w:r>
        <w:rPr>
          <w:rFonts w:hint="eastAsia"/>
          <w:sz w:val="21"/>
          <w:szCs w:val="21"/>
        </w:rPr>
        <w:t xml:space="preserve">名称：普华永道中天会计师事务所(特殊普通合伙）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7"/>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7"/>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7"/>
        <w:spacing w:before="0" w:beforeAutospacing="0" w:after="0" w:afterAutospacing="0" w:line="360" w:lineRule="auto"/>
        <w:ind w:firstLine="420"/>
        <w:rPr>
          <w:sz w:val="21"/>
          <w:szCs w:val="21"/>
        </w:rPr>
      </w:pPr>
      <w:r>
        <w:rPr>
          <w:rFonts w:hint="eastAsia"/>
          <w:sz w:val="21"/>
          <w:szCs w:val="21"/>
        </w:rPr>
        <w:t xml:space="preserve">联系电话：（021）23238888  </w:t>
      </w:r>
    </w:p>
    <w:p>
      <w:pPr>
        <w:pStyle w:val="7"/>
        <w:spacing w:before="0" w:beforeAutospacing="0" w:after="0" w:afterAutospacing="0" w:line="360" w:lineRule="auto"/>
        <w:ind w:firstLine="420"/>
        <w:rPr>
          <w:sz w:val="21"/>
          <w:szCs w:val="21"/>
        </w:rPr>
      </w:pPr>
      <w:r>
        <w:rPr>
          <w:rFonts w:hint="eastAsia"/>
          <w:sz w:val="21"/>
          <w:szCs w:val="21"/>
        </w:rPr>
        <w:t xml:space="preserve">传真：（021）23238800  </w:t>
      </w:r>
    </w:p>
    <w:p>
      <w:pPr>
        <w:pStyle w:val="7"/>
        <w:spacing w:before="0" w:beforeAutospacing="0" w:after="0" w:afterAutospacing="0" w:line="360" w:lineRule="auto"/>
        <w:ind w:firstLine="420"/>
        <w:rPr>
          <w:sz w:val="21"/>
          <w:szCs w:val="21"/>
        </w:rPr>
      </w:pPr>
      <w:r>
        <w:rPr>
          <w:rFonts w:hint="eastAsia"/>
          <w:sz w:val="21"/>
          <w:szCs w:val="21"/>
        </w:rPr>
        <w:t xml:space="preserve">联系人：沈兆杰 </w:t>
      </w:r>
    </w:p>
    <w:p>
      <w:pPr>
        <w:pStyle w:val="7"/>
        <w:spacing w:before="0" w:beforeAutospacing="0" w:after="0" w:afterAutospacing="0" w:line="360" w:lineRule="auto"/>
        <w:ind w:firstLine="420"/>
        <w:rPr>
          <w:sz w:val="21"/>
          <w:szCs w:val="21"/>
        </w:rPr>
      </w:pPr>
      <w:bookmarkStart w:id="71" w:name="chapter_level1_7_56_section_3_end"/>
      <w:bookmarkEnd w:id="71"/>
      <w:r>
        <w:rPr>
          <w:rFonts w:hint="eastAsia"/>
          <w:sz w:val="21"/>
          <w:szCs w:val="21"/>
        </w:rPr>
        <w:t xml:space="preserve">经办注册会计师：薛竞、沈兆杰 </w:t>
      </w:r>
      <w:bookmarkStart w:id="72" w:name="field_0_accountingcompanyinfo_1_end"/>
      <w:bookmarkEnd w:id="72"/>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3" w:name="chapter_level1_9_58"/>
      <w:bookmarkStart w:id="74" w:name="_Toc113560417"/>
      <w:r>
        <w:rPr>
          <w:rFonts w:hint="eastAsia" w:ascii="宋体" w:hAnsi="宋体" w:eastAsia="宋体"/>
          <w:sz w:val="30"/>
        </w:rPr>
        <w:t>第六部分 基金的募集与基金合同的生效</w:t>
      </w:r>
      <w:bookmarkEnd w:id="73"/>
      <w:bookmarkEnd w:id="74"/>
    </w:p>
    <w:p>
      <w:pPr>
        <w:pStyle w:val="7"/>
        <w:spacing w:before="0" w:beforeAutospacing="0" w:after="0" w:afterAutospacing="0" w:line="360" w:lineRule="auto"/>
        <w:ind w:firstLine="420"/>
        <w:rPr>
          <w:sz w:val="21"/>
          <w:szCs w:val="21"/>
        </w:rPr>
      </w:pPr>
      <w:bookmarkStart w:id="75" w:name="chapter_level1_9_58_section_1"/>
      <w:bookmarkEnd w:id="75"/>
      <w:r>
        <w:rPr>
          <w:rStyle w:val="11"/>
          <w:rFonts w:hint="eastAsia"/>
          <w:sz w:val="21"/>
          <w:szCs w:val="21"/>
        </w:rPr>
        <w:t>一、基金的募集</w:t>
      </w:r>
    </w:p>
    <w:p>
      <w:pPr>
        <w:pStyle w:val="7"/>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基金管理人按照《基金法》、《运作办法》、《销售办法》、基金合同及其他有关规定募集本基金，并于</w:t>
      </w:r>
      <w:bookmarkStart w:id="76" w:name="field_2343_approveddate_1"/>
      <w:r>
        <w:rPr>
          <w:sz w:val="21"/>
          <w:szCs w:val="21"/>
        </w:rPr>
        <w:t>2015年9月11日</w:t>
      </w:r>
      <w:bookmarkEnd w:id="76"/>
      <w:r>
        <w:rPr>
          <w:rFonts w:hint="eastAsia"/>
          <w:sz w:val="21"/>
          <w:szCs w:val="21"/>
        </w:rPr>
        <w:t>经中国证监会证监许可</w:t>
      </w:r>
      <w:bookmarkStart w:id="77" w:name="field_2343_lotnumber_1"/>
      <w:r>
        <w:rPr>
          <w:sz w:val="21"/>
          <w:szCs w:val="21"/>
        </w:rPr>
        <w:t>[2015]2100</w:t>
      </w:r>
      <w:bookmarkEnd w:id="77"/>
      <w:r>
        <w:rPr>
          <w:rFonts w:hint="eastAsia"/>
          <w:sz w:val="21"/>
          <w:szCs w:val="21"/>
        </w:rPr>
        <w:t xml:space="preserve">号文予以募集注册。 </w:t>
      </w:r>
    </w:p>
    <w:p>
      <w:pPr>
        <w:pStyle w:val="7"/>
        <w:spacing w:before="0" w:beforeAutospacing="0" w:after="0" w:afterAutospacing="0" w:line="360" w:lineRule="auto"/>
        <w:ind w:firstLine="420"/>
        <w:rPr>
          <w:sz w:val="21"/>
          <w:szCs w:val="21"/>
        </w:rPr>
      </w:pPr>
      <w:r>
        <w:rPr>
          <w:rFonts w:hint="eastAsia"/>
          <w:sz w:val="21"/>
          <w:szCs w:val="21"/>
        </w:rPr>
        <w:t>本基金募集期自</w:t>
      </w:r>
      <w:bookmarkStart w:id="78" w:name="field_58_raisebegindate_1"/>
      <w:r>
        <w:rPr>
          <w:sz w:val="21"/>
          <w:szCs w:val="21"/>
        </w:rPr>
        <w:t>2017年5月23日</w:t>
      </w:r>
      <w:bookmarkEnd w:id="78"/>
      <w:r>
        <w:rPr>
          <w:rFonts w:hint="eastAsia"/>
          <w:sz w:val="21"/>
          <w:szCs w:val="21"/>
        </w:rPr>
        <w:t>至</w:t>
      </w:r>
      <w:bookmarkStart w:id="79" w:name="field_58_raiseenddate_1"/>
      <w:r>
        <w:rPr>
          <w:sz w:val="21"/>
          <w:szCs w:val="21"/>
        </w:rPr>
        <w:t>2017年6月28日</w:t>
      </w:r>
      <w:bookmarkEnd w:id="79"/>
      <w:r>
        <w:rPr>
          <w:rFonts w:hint="eastAsia"/>
          <w:sz w:val="21"/>
          <w:szCs w:val="21"/>
        </w:rPr>
        <w:t>止，基金份额共募集</w:t>
      </w:r>
      <w:bookmarkStart w:id="80" w:name="field_58_raisetotal_1"/>
      <w:r>
        <w:rPr>
          <w:sz w:val="21"/>
          <w:szCs w:val="21"/>
        </w:rPr>
        <w:t>537,499,475.81</w:t>
      </w:r>
      <w:bookmarkEnd w:id="80"/>
      <w:r>
        <w:rPr>
          <w:rFonts w:hint="eastAsia"/>
          <w:sz w:val="21"/>
          <w:szCs w:val="21"/>
        </w:rPr>
        <w:t>份（含利息结转的份额），有效认购户数为</w:t>
      </w:r>
      <w:bookmarkStart w:id="81" w:name="field_58_effectivetotal_1"/>
      <w:r>
        <w:rPr>
          <w:sz w:val="21"/>
          <w:szCs w:val="21"/>
        </w:rPr>
        <w:t>3,313</w:t>
      </w:r>
      <w:bookmarkEnd w:id="81"/>
      <w:r>
        <w:rPr>
          <w:rFonts w:hint="eastAsia"/>
          <w:sz w:val="21"/>
          <w:szCs w:val="21"/>
        </w:rPr>
        <w:t xml:space="preserve">户。 </w:t>
      </w:r>
    </w:p>
    <w:p>
      <w:pPr>
        <w:pStyle w:val="7"/>
        <w:spacing w:before="0" w:beforeAutospacing="0" w:after="0" w:afterAutospacing="0" w:line="360" w:lineRule="auto"/>
        <w:ind w:firstLine="420"/>
        <w:rPr>
          <w:sz w:val="21"/>
          <w:szCs w:val="21"/>
        </w:rPr>
      </w:pPr>
      <w:r>
        <w:rPr>
          <w:rFonts w:hint="eastAsia"/>
          <w:sz w:val="21"/>
          <w:szCs w:val="21"/>
        </w:rPr>
        <w:t>本基金运作方式为</w:t>
      </w:r>
      <w:bookmarkStart w:id="82" w:name="field_58_operation_1"/>
      <w:r>
        <w:rPr>
          <w:rFonts w:hint="eastAsia"/>
          <w:sz w:val="21"/>
          <w:szCs w:val="21"/>
        </w:rPr>
        <w:t>契约型开放式</w:t>
      </w:r>
      <w:bookmarkEnd w:id="82"/>
      <w:r>
        <w:rPr>
          <w:rFonts w:hint="eastAsia"/>
          <w:sz w:val="21"/>
          <w:szCs w:val="21"/>
        </w:rPr>
        <w:t>，存续期间为</w:t>
      </w:r>
      <w:bookmarkStart w:id="83" w:name="field_58_duration_1"/>
      <w:r>
        <w:rPr>
          <w:rFonts w:hint="eastAsia"/>
          <w:sz w:val="21"/>
          <w:szCs w:val="21"/>
        </w:rPr>
        <w:t>不定期</w:t>
      </w:r>
      <w:bookmarkEnd w:id="83"/>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二、基金合同的生效</w:t>
      </w:r>
    </w:p>
    <w:p>
      <w:pPr>
        <w:pStyle w:val="7"/>
        <w:spacing w:before="0" w:beforeAutospacing="0" w:after="0" w:afterAutospacing="0" w:line="360" w:lineRule="auto"/>
        <w:ind w:firstLine="420"/>
        <w:rPr>
          <w:sz w:val="21"/>
          <w:szCs w:val="21"/>
        </w:rPr>
      </w:pPr>
      <w:bookmarkStart w:id="84" w:name="chapter_level1_9_58_section_1_end"/>
      <w:bookmarkEnd w:id="84"/>
      <w:r>
        <w:rPr>
          <w:rFonts w:hint="eastAsia"/>
          <w:sz w:val="21"/>
          <w:szCs w:val="21"/>
        </w:rPr>
        <w:t>本基金的基金合同已于</w:t>
      </w:r>
      <w:bookmarkStart w:id="85" w:name="field_0_foundday_1"/>
      <w:r>
        <w:rPr>
          <w:sz w:val="21"/>
          <w:szCs w:val="21"/>
        </w:rPr>
        <w:t>2017年7月4日</w:t>
      </w:r>
      <w:bookmarkEnd w:id="85"/>
      <w:r>
        <w:rPr>
          <w:rFonts w:hint="eastAsia"/>
          <w:sz w:val="21"/>
          <w:szCs w:val="21"/>
        </w:rPr>
        <w:t xml:space="preserve">正式生效。 </w:t>
      </w:r>
    </w:p>
    <w:p>
      <w:pPr>
        <w:pStyle w:val="7"/>
        <w:spacing w:before="0" w:beforeAutospacing="0" w:after="0" w:afterAutospacing="0" w:line="360" w:lineRule="auto"/>
        <w:ind w:firstLine="420"/>
        <w:rPr>
          <w:sz w:val="21"/>
          <w:szCs w:val="21"/>
        </w:rPr>
      </w:pPr>
      <w:bookmarkStart w:id="86" w:name="chapter_level1_9_58_section_2"/>
      <w:bookmarkEnd w:id="86"/>
      <w:r>
        <w:rPr>
          <w:rStyle w:val="11"/>
          <w:rFonts w:hint="eastAsia"/>
          <w:sz w:val="21"/>
          <w:szCs w:val="21"/>
        </w:rPr>
        <w:t>三、基金存续期内的基金份额持有人数量和资产规模</w:t>
      </w:r>
    </w:p>
    <w:p>
      <w:pPr>
        <w:pStyle w:val="7"/>
        <w:spacing w:before="0" w:beforeAutospacing="0" w:after="0" w:afterAutospacing="0" w:line="360" w:lineRule="auto"/>
        <w:ind w:firstLine="420"/>
        <w:rPr>
          <w:sz w:val="21"/>
          <w:szCs w:val="21"/>
        </w:rPr>
      </w:pPr>
      <w:r>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基金份额持有人数量不满200人或者基金资产净值低于5000万元情形的，基金管理人应当向中国证监会报告并提出解决方案，如转换运作方式、与其他基金合并或者终止基金合同等，并召开基金份额持有人大会进行表决。 </w:t>
      </w:r>
    </w:p>
    <w:p>
      <w:pPr>
        <w:pStyle w:val="7"/>
        <w:spacing w:before="0" w:beforeAutospacing="0" w:after="0" w:afterAutospacing="0" w:line="360" w:lineRule="auto"/>
        <w:ind w:firstLine="420"/>
        <w:rPr>
          <w:sz w:val="21"/>
          <w:szCs w:val="21"/>
        </w:rPr>
      </w:pPr>
      <w:bookmarkStart w:id="87" w:name="chapter_level1_9_58_section_2_end"/>
      <w:bookmarkEnd w:id="87"/>
      <w:r>
        <w:rPr>
          <w:rFonts w:hint="eastAsia"/>
          <w:sz w:val="21"/>
          <w:szCs w:val="21"/>
        </w:rPr>
        <w:t xml:space="preserve">法律法规另有规定时，从其规定。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88" w:name="chapter_level1_10_59"/>
      <w:bookmarkStart w:id="89" w:name="_Toc113560418"/>
      <w:r>
        <w:rPr>
          <w:rFonts w:hint="eastAsia" w:ascii="宋体" w:hAnsi="宋体" w:eastAsia="宋体"/>
          <w:sz w:val="30"/>
        </w:rPr>
        <w:t>第七部分  基金份额的申购与赎回</w:t>
      </w:r>
      <w:bookmarkEnd w:id="88"/>
      <w:bookmarkEnd w:id="89"/>
    </w:p>
    <w:p>
      <w:pPr>
        <w:pStyle w:val="7"/>
        <w:spacing w:before="0" w:beforeAutospacing="0" w:after="0" w:afterAutospacing="0" w:line="360" w:lineRule="auto"/>
        <w:ind w:firstLine="420"/>
        <w:rPr>
          <w:sz w:val="21"/>
          <w:szCs w:val="21"/>
        </w:rPr>
      </w:pPr>
      <w:bookmarkStart w:id="90" w:name="chapter_level1_10_59_section_1"/>
      <w:bookmarkEnd w:id="90"/>
      <w:r>
        <w:rPr>
          <w:rFonts w:hint="eastAsia"/>
          <w:b/>
          <w:bCs/>
          <w:sz w:val="21"/>
          <w:szCs w:val="21"/>
        </w:rPr>
        <w:t>一、申购与赎回的场所</w:t>
      </w:r>
    </w:p>
    <w:p>
      <w:pPr>
        <w:pStyle w:val="7"/>
        <w:spacing w:before="0" w:beforeAutospacing="0" w:after="0" w:afterAutospacing="0" w:line="360" w:lineRule="auto"/>
        <w:ind w:firstLine="420"/>
        <w:rPr>
          <w:sz w:val="21"/>
          <w:szCs w:val="21"/>
        </w:rPr>
      </w:pPr>
      <w:r>
        <w:rPr>
          <w:rFonts w:hint="eastAsia"/>
          <w:sz w:val="21"/>
          <w:szCs w:val="21"/>
        </w:rPr>
        <w:t>本基金的申购与赎回将通过销售机构进行。本基金的销售网点将由基金管理人在相关公告中列明。基金管理人可根据情况变更或增减销售机构，并在基金管理人网站公示。基金投资者应当在销售机构办理基金销售业务的营业场所或按销售机构提供的其他方式办理基金</w:t>
      </w:r>
      <w:bookmarkStart w:id="91" w:name="chapter_level1_10_59_section_1_end"/>
      <w:bookmarkEnd w:id="91"/>
      <w:r>
        <w:rPr>
          <w:rFonts w:hint="eastAsia"/>
          <w:sz w:val="21"/>
          <w:szCs w:val="21"/>
        </w:rPr>
        <w:t xml:space="preserve">份额的申购与赎回。  </w:t>
      </w:r>
    </w:p>
    <w:p>
      <w:pPr>
        <w:pStyle w:val="7"/>
        <w:spacing w:before="0" w:beforeAutospacing="0" w:after="0" w:afterAutospacing="0" w:line="360" w:lineRule="auto"/>
        <w:ind w:firstLine="420"/>
        <w:rPr>
          <w:sz w:val="21"/>
          <w:szCs w:val="21"/>
        </w:rPr>
      </w:pPr>
      <w:bookmarkStart w:id="92" w:name="chapter_level1_10_59_section_2"/>
      <w:bookmarkEnd w:id="92"/>
      <w:r>
        <w:rPr>
          <w:rStyle w:val="11"/>
          <w:rFonts w:hint="eastAsia"/>
          <w:sz w:val="21"/>
          <w:szCs w:val="21"/>
        </w:rPr>
        <w:t>二、申购与赎回办理的开放日及时间</w:t>
      </w:r>
    </w:p>
    <w:p>
      <w:pPr>
        <w:pStyle w:val="7"/>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7"/>
        <w:spacing w:before="0" w:beforeAutospacing="0" w:after="0" w:afterAutospacing="0" w:line="360" w:lineRule="auto"/>
        <w:ind w:firstLine="420"/>
        <w:rPr>
          <w:sz w:val="21"/>
          <w:szCs w:val="21"/>
        </w:rPr>
      </w:pPr>
      <w:r>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pPr>
        <w:pStyle w:val="7"/>
        <w:spacing w:before="0" w:beforeAutospacing="0" w:after="0" w:afterAutospacing="0" w:line="360" w:lineRule="auto"/>
        <w:ind w:firstLine="420"/>
        <w:rPr>
          <w:sz w:val="21"/>
          <w:szCs w:val="21"/>
        </w:rPr>
      </w:pPr>
      <w:r>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2、申购、赎回开始日及业务办理时间 </w:t>
      </w:r>
    </w:p>
    <w:p>
      <w:pPr>
        <w:pStyle w:val="7"/>
        <w:spacing w:before="0" w:beforeAutospacing="0" w:after="0" w:afterAutospacing="0" w:line="360" w:lineRule="auto"/>
        <w:ind w:firstLine="420"/>
        <w:rPr>
          <w:sz w:val="21"/>
          <w:szCs w:val="21"/>
        </w:rPr>
      </w:pPr>
      <w:r>
        <w:rPr>
          <w:rFonts w:hint="eastAsia"/>
          <w:sz w:val="21"/>
          <w:szCs w:val="21"/>
        </w:rPr>
        <w:t xml:space="preserve">本基金已于2017年8月2日开通日常申购、赎回业务。在确定申购开始与赎回开始时间后，基金管理人应在申购、赎回开放日前依照《信息披露办法》的有关规定在指定媒介上公告申购与赎回的开始时间。 </w:t>
      </w:r>
    </w:p>
    <w:p>
      <w:pPr>
        <w:pStyle w:val="7"/>
        <w:spacing w:before="0" w:beforeAutospacing="0" w:after="0" w:afterAutospacing="0" w:line="360" w:lineRule="auto"/>
        <w:ind w:firstLine="420"/>
        <w:rPr>
          <w:sz w:val="21"/>
          <w:szCs w:val="21"/>
        </w:rPr>
      </w:pPr>
      <w:r>
        <w:rPr>
          <w:rFonts w:hint="eastAsia"/>
          <w:sz w:val="21"/>
          <w:szCs w:val="21"/>
        </w:rPr>
        <w:t>基金管理人不得在基金合同约定之外的日期或者时间办理基金份额的申购、赎回或者转换。投资人在基金合同约定之外的日期和时间提出申购、赎回、转换申请且登记机构确认接</w:t>
      </w:r>
      <w:bookmarkStart w:id="93" w:name="chapter_level1_10_59_section_2_end"/>
      <w:bookmarkEnd w:id="93"/>
      <w:r>
        <w:rPr>
          <w:rFonts w:hint="eastAsia"/>
          <w:sz w:val="21"/>
          <w:szCs w:val="21"/>
        </w:rPr>
        <w:t xml:space="preserve">受的，其基金份额申购、赎回价格为下一开放日基金份额申购、赎回的价格。 </w:t>
      </w:r>
    </w:p>
    <w:p>
      <w:pPr>
        <w:pStyle w:val="7"/>
        <w:spacing w:before="0" w:beforeAutospacing="0" w:after="0" w:afterAutospacing="0" w:line="360" w:lineRule="auto"/>
        <w:ind w:firstLine="420"/>
        <w:rPr>
          <w:sz w:val="21"/>
          <w:szCs w:val="21"/>
        </w:rPr>
      </w:pPr>
      <w:bookmarkStart w:id="94" w:name="chapter_level1_10_59_section_3"/>
      <w:bookmarkEnd w:id="94"/>
      <w:r>
        <w:rPr>
          <w:rStyle w:val="11"/>
          <w:rFonts w:hint="eastAsia"/>
          <w:sz w:val="21"/>
          <w:szCs w:val="21"/>
        </w:rPr>
        <w:t>三、申购与赎回的原则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3、当日的申购与赎回申请可以在基金管理人规定的时间以内撤销； </w:t>
      </w:r>
    </w:p>
    <w:p>
      <w:pPr>
        <w:pStyle w:val="7"/>
        <w:spacing w:before="0" w:beforeAutospacing="0" w:after="0" w:afterAutospacing="0" w:line="360" w:lineRule="auto"/>
        <w:ind w:firstLine="420"/>
        <w:rPr>
          <w:sz w:val="21"/>
          <w:szCs w:val="21"/>
        </w:rPr>
      </w:pPr>
      <w:r>
        <w:rPr>
          <w:rFonts w:hint="eastAsia"/>
          <w:sz w:val="21"/>
          <w:szCs w:val="21"/>
        </w:rPr>
        <w:t xml:space="preserve">4、赎回遵循“先进先出”原则，即按照投资人认购、申购的先后次序进行顺序赎回。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四、申购与赎回的数额限制</w:t>
      </w:r>
    </w:p>
    <w:p>
      <w:pPr>
        <w:pStyle w:val="7"/>
        <w:spacing w:before="0" w:beforeAutospacing="0" w:after="0" w:afterAutospacing="0" w:line="360" w:lineRule="auto"/>
        <w:ind w:firstLine="420"/>
        <w:rPr>
          <w:sz w:val="21"/>
          <w:szCs w:val="21"/>
        </w:rPr>
      </w:pPr>
      <w:r>
        <w:rPr>
          <w:rFonts w:hint="eastAsia"/>
          <w:sz w:val="21"/>
          <w:szCs w:val="21"/>
        </w:rPr>
        <w:t>1、首次购买基金份额的最低金额为</w:t>
      </w:r>
      <w:bookmarkStart w:id="95" w:name="field_59_dealerfirstpurminamount_1"/>
      <w:r>
        <w:rPr>
          <w:sz w:val="21"/>
          <w:szCs w:val="21"/>
        </w:rPr>
        <w:t>1</w:t>
      </w:r>
      <w:bookmarkEnd w:id="95"/>
      <w:r>
        <w:rPr>
          <w:rFonts w:hint="eastAsia"/>
          <w:sz w:val="21"/>
          <w:szCs w:val="21"/>
        </w:rPr>
        <w:t>元，追加购买最低金额为</w:t>
      </w:r>
      <w:bookmarkStart w:id="96" w:name="field_59_dealerlaterpurminamount_1"/>
      <w:r>
        <w:rPr>
          <w:sz w:val="21"/>
          <w:szCs w:val="21"/>
        </w:rPr>
        <w:t>1</w:t>
      </w:r>
      <w:bookmarkEnd w:id="96"/>
      <w:r>
        <w:rPr>
          <w:rFonts w:hint="eastAsia"/>
          <w:sz w:val="21"/>
          <w:szCs w:val="21"/>
        </w:rPr>
        <w:t xml:space="preserve">元；详情请见当地销售机构公告。 </w:t>
      </w:r>
    </w:p>
    <w:p>
      <w:pPr>
        <w:pStyle w:val="7"/>
        <w:spacing w:before="0" w:beforeAutospacing="0" w:after="0" w:afterAutospacing="0" w:line="360" w:lineRule="auto"/>
        <w:ind w:firstLine="420"/>
        <w:rPr>
          <w:sz w:val="21"/>
          <w:szCs w:val="21"/>
        </w:rPr>
      </w:pPr>
      <w:r>
        <w:rPr>
          <w:rFonts w:hint="eastAsia"/>
          <w:sz w:val="21"/>
          <w:szCs w:val="21"/>
        </w:rPr>
        <w:t>2、每个交易账户最低持有基金份额余额为</w:t>
      </w:r>
      <w:bookmarkStart w:id="97" w:name="field_59_minholdshare_1"/>
      <w:r>
        <w:rPr>
          <w:sz w:val="21"/>
          <w:szCs w:val="21"/>
        </w:rPr>
        <w:t>1</w:t>
      </w:r>
      <w:bookmarkEnd w:id="97"/>
      <w:r>
        <w:rPr>
          <w:rFonts w:hint="eastAsia"/>
          <w:sz w:val="21"/>
          <w:szCs w:val="21"/>
        </w:rPr>
        <w:t>份，若某笔赎回导致单个交易账户的基金份额余额少于</w:t>
      </w:r>
      <w:bookmarkStart w:id="98" w:name="field_59_minholdshare_2"/>
      <w:r>
        <w:rPr>
          <w:sz w:val="21"/>
          <w:szCs w:val="21"/>
        </w:rPr>
        <w:t>1</w:t>
      </w:r>
      <w:bookmarkEnd w:id="98"/>
      <w:r>
        <w:rPr>
          <w:rFonts w:hint="eastAsia"/>
          <w:sz w:val="21"/>
          <w:szCs w:val="21"/>
        </w:rPr>
        <w:t xml:space="preserve">份时，余额部分基金份额必须一同赎回； </w:t>
      </w:r>
    </w:p>
    <w:p>
      <w:pPr>
        <w:pStyle w:val="7"/>
        <w:spacing w:before="0" w:beforeAutospacing="0" w:after="0" w:afterAutospacing="0" w:line="360" w:lineRule="auto"/>
        <w:ind w:firstLine="420"/>
        <w:rPr>
          <w:sz w:val="21"/>
          <w:szCs w:val="21"/>
        </w:rPr>
      </w:pPr>
      <w:r>
        <w:rPr>
          <w:rFonts w:hint="eastAsia"/>
          <w:sz w:val="21"/>
          <w:szCs w:val="21"/>
        </w:rPr>
        <w:t xml:space="preserve">3、本基金目前对单个投资人累计持有份额不设上限限制，基金管理人可以规定单个投资者累计持有的基金份额数量限制，具体规定见更新的招募说明书或相关公告；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5、基金管理人可在法律法规允许的情况下，调整上述规定申购金额和赎回份额等数量限制。基金管理人必须在调整实施前依照《信息披露办法》的有关规定在指定媒介上公告。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五、申购与赎回的程序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2、申购和赎回的款项支付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投资人申购基金份额时，必须全额交付申购款项，投资人全额交付申购款项，申购申请成立；登记机构确认基金份额时，申购生效。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递交赎回申请，赎回成立；登记机构确认赎回时，赎回生效。投资人赎回申请成功后，基金管理人将在T＋7日(包括该日)内支付赎回款项。在发生巨额赎回时，款项的支付办法参照基金合同有关条款处理。 </w:t>
      </w:r>
    </w:p>
    <w:p>
      <w:pPr>
        <w:pStyle w:val="7"/>
        <w:spacing w:before="0" w:beforeAutospacing="0" w:after="0" w:afterAutospacing="0" w:line="360" w:lineRule="auto"/>
        <w:ind w:firstLine="420"/>
        <w:rPr>
          <w:sz w:val="21"/>
          <w:szCs w:val="21"/>
        </w:rPr>
      </w:pPr>
      <w:r>
        <w:rPr>
          <w:rFonts w:hint="eastAsia"/>
          <w:sz w:val="21"/>
          <w:szCs w:val="21"/>
        </w:rPr>
        <w:t xml:space="preserve">3、申购和赎回申请的确认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pPr>
        <w:pStyle w:val="7"/>
        <w:spacing w:before="0" w:beforeAutospacing="0" w:after="0" w:afterAutospacing="0" w:line="360" w:lineRule="auto"/>
        <w:ind w:firstLine="420"/>
        <w:rPr>
          <w:sz w:val="21"/>
          <w:szCs w:val="21"/>
        </w:rPr>
      </w:pPr>
      <w:r>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pPr>
        <w:pStyle w:val="7"/>
        <w:spacing w:before="0" w:beforeAutospacing="0" w:after="0" w:afterAutospacing="0" w:line="360" w:lineRule="auto"/>
        <w:ind w:firstLine="420"/>
        <w:rPr>
          <w:sz w:val="21"/>
          <w:szCs w:val="21"/>
        </w:rPr>
      </w:pPr>
      <w:r>
        <w:rPr>
          <w:rStyle w:val="11"/>
          <w:rFonts w:hint="eastAsia"/>
          <w:sz w:val="21"/>
          <w:szCs w:val="21"/>
        </w:rPr>
        <w:t>六、申购费率、赎回费率</w:t>
      </w:r>
    </w:p>
    <w:p>
      <w:pPr>
        <w:pStyle w:val="7"/>
        <w:spacing w:before="0" w:beforeAutospacing="0" w:after="0" w:afterAutospacing="0" w:line="360" w:lineRule="auto"/>
        <w:ind w:firstLine="420"/>
        <w:rPr>
          <w:sz w:val="21"/>
          <w:szCs w:val="21"/>
        </w:rPr>
      </w:pPr>
      <w:r>
        <w:rPr>
          <w:rFonts w:hint="eastAsia"/>
          <w:sz w:val="21"/>
          <w:szCs w:val="21"/>
        </w:rPr>
        <w:t xml:space="preserve">1、本基金A类基金份额在申购时收取基金申购费用；C类基金份额不收取申购费用。本基金A类基金份额申购费用由投资人承担，用于本基金的市场推广、销售、登记等募集期间发生的各项费用，不列入基金财产。投资者可以多次申购本基金，申购费率按每笔申购申请单独计算。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本基金A类基金份额采用前端收费模式收取基金申购费用。投资者的申购费用如下： </w:t>
      </w:r>
    </w:p>
    <w:p>
      <w:pPr>
        <w:pStyle w:val="7"/>
        <w:spacing w:before="0" w:beforeAutospacing="0" w:after="0" w:afterAutospacing="0" w:line="360" w:lineRule="auto"/>
        <w:ind w:firstLine="420"/>
        <w:rPr>
          <w:sz w:val="21"/>
          <w:szCs w:val="21"/>
        </w:rPr>
      </w:pPr>
      <w:r>
        <w:rPr>
          <w:rFonts w:hint="eastAsia"/>
          <w:sz w:val="21"/>
          <w:szCs w:val="21"/>
        </w:rPr>
        <w:t xml:space="preserve">表2：本基金份额的申购费率 </w:t>
      </w:r>
    </w:p>
    <w:tbl>
      <w:tblPr>
        <w:tblStyle w:val="9"/>
        <w:tblW w:w="6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269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5" w:type="dxa"/>
            <w:shd w:val="clear" w:color="auto" w:fill="auto"/>
          </w:tcPr>
          <w:p>
            <w:pPr>
              <w:pStyle w:val="7"/>
              <w:jc w:val="center"/>
            </w:pPr>
            <w:r>
              <w:rPr>
                <w:rFonts w:hint="eastAsia"/>
                <w:b/>
                <w:bCs/>
              </w:rPr>
              <w:t>申购金额（M）</w:t>
            </w:r>
          </w:p>
        </w:tc>
        <w:tc>
          <w:tcPr>
            <w:tcW w:w="2700" w:type="dxa"/>
            <w:shd w:val="clear" w:color="auto" w:fill="auto"/>
          </w:tcPr>
          <w:p>
            <w:pPr>
              <w:pStyle w:val="7"/>
              <w:jc w:val="center"/>
            </w:pPr>
            <w:r>
              <w:rPr>
                <w:rFonts w:hint="eastAsia"/>
                <w:b/>
                <w:bCs/>
              </w:rPr>
              <w:t>A类基金份额申购费率</w:t>
            </w:r>
          </w:p>
        </w:tc>
        <w:tc>
          <w:tcPr>
            <w:tcW w:w="1845" w:type="dxa"/>
            <w:shd w:val="clear" w:color="auto" w:fill="auto"/>
          </w:tcPr>
          <w:p>
            <w:pPr>
              <w:pStyle w:val="7"/>
              <w:jc w:val="center"/>
            </w:pPr>
            <w:r>
              <w:rPr>
                <w:rFonts w:hint="eastAsia"/>
                <w:b/>
                <w:bCs/>
              </w:rPr>
              <w:t>C类基金份额申购费率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5" w:type="dxa"/>
            <w:shd w:val="clear" w:color="auto" w:fill="auto"/>
          </w:tcPr>
          <w:p>
            <w:pPr>
              <w:pStyle w:val="7"/>
              <w:jc w:val="center"/>
            </w:pPr>
            <w:r>
              <w:rPr>
                <w:rFonts w:hint="eastAsia"/>
              </w:rPr>
              <w:t xml:space="preserve">M＜50万元  </w:t>
            </w:r>
          </w:p>
        </w:tc>
        <w:tc>
          <w:tcPr>
            <w:tcW w:w="2700" w:type="dxa"/>
            <w:shd w:val="clear" w:color="auto" w:fill="auto"/>
          </w:tcPr>
          <w:p>
            <w:pPr>
              <w:pStyle w:val="7"/>
              <w:jc w:val="center"/>
            </w:pPr>
            <w:r>
              <w:rPr>
                <w:rFonts w:hint="eastAsia"/>
              </w:rPr>
              <w:t xml:space="preserve">1.50%  </w:t>
            </w:r>
          </w:p>
        </w:tc>
        <w:tc>
          <w:tcPr>
            <w:tcW w:w="1845" w:type="dxa"/>
            <w:vMerge w:val="restart"/>
            <w:shd w:val="clear" w:color="auto" w:fill="auto"/>
          </w:tcPr>
          <w:p>
            <w:pPr>
              <w:pStyle w:val="7"/>
              <w:jc w:val="center"/>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5" w:type="dxa"/>
            <w:shd w:val="clear" w:color="auto" w:fill="auto"/>
          </w:tcPr>
          <w:p>
            <w:pPr>
              <w:pStyle w:val="7"/>
              <w:jc w:val="center"/>
            </w:pPr>
            <w:r>
              <w:rPr>
                <w:rFonts w:hint="eastAsia"/>
              </w:rPr>
              <w:t xml:space="preserve">50万元≤M＜100万元  </w:t>
            </w:r>
          </w:p>
        </w:tc>
        <w:tc>
          <w:tcPr>
            <w:tcW w:w="2700" w:type="dxa"/>
            <w:shd w:val="clear" w:color="auto" w:fill="auto"/>
          </w:tcPr>
          <w:p>
            <w:pPr>
              <w:pStyle w:val="7"/>
              <w:jc w:val="center"/>
            </w:pPr>
            <w:r>
              <w:rPr>
                <w:rFonts w:hint="eastAsia"/>
              </w:rPr>
              <w:t xml:space="preserve">1.00%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5" w:type="dxa"/>
            <w:shd w:val="clear" w:color="auto" w:fill="auto"/>
          </w:tcPr>
          <w:p>
            <w:pPr>
              <w:pStyle w:val="7"/>
              <w:jc w:val="center"/>
            </w:pPr>
            <w:r>
              <w:rPr>
                <w:rFonts w:hint="eastAsia"/>
              </w:rPr>
              <w:t xml:space="preserve">100万元≤M＜500万元  </w:t>
            </w:r>
          </w:p>
        </w:tc>
        <w:tc>
          <w:tcPr>
            <w:tcW w:w="2700" w:type="dxa"/>
            <w:shd w:val="clear" w:color="auto" w:fill="auto"/>
          </w:tcPr>
          <w:p>
            <w:pPr>
              <w:pStyle w:val="7"/>
              <w:jc w:val="center"/>
            </w:pPr>
            <w:r>
              <w:rPr>
                <w:rFonts w:hint="eastAsia"/>
              </w:rPr>
              <w:t xml:space="preserve">0.60%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5" w:type="dxa"/>
            <w:shd w:val="clear" w:color="auto" w:fill="auto"/>
          </w:tcPr>
          <w:p>
            <w:pPr>
              <w:pStyle w:val="7"/>
              <w:jc w:val="center"/>
            </w:pPr>
            <w:r>
              <w:rPr>
                <w:rFonts w:hint="eastAsia"/>
              </w:rPr>
              <w:t xml:space="preserve">M≥500万元  </w:t>
            </w:r>
          </w:p>
        </w:tc>
        <w:tc>
          <w:tcPr>
            <w:tcW w:w="2700" w:type="dxa"/>
            <w:shd w:val="clear" w:color="auto" w:fill="auto"/>
          </w:tcPr>
          <w:p>
            <w:pPr>
              <w:pStyle w:val="7"/>
              <w:jc w:val="center"/>
            </w:pPr>
            <w:r>
              <w:rPr>
                <w:rFonts w:hint="eastAsia"/>
              </w:rPr>
              <w:t xml:space="preserve">1000元/笔  </w:t>
            </w:r>
          </w:p>
        </w:tc>
        <w:tc>
          <w:tcPr>
            <w:tcW w:w="0" w:type="auto"/>
            <w:vMerge w:val="continue"/>
            <w:shd w:val="clear" w:color="auto" w:fill="auto"/>
          </w:tcPr>
          <w:p>
            <w:pPr>
              <w:rPr>
                <w:rFonts w:ascii="宋体" w:hAnsi="宋体" w:eastAsia="宋体" w:cs="宋体"/>
                <w:sz w:val="24"/>
                <w:szCs w:val="24"/>
              </w:rPr>
            </w:pPr>
          </w:p>
        </w:tc>
      </w:tr>
    </w:tbl>
    <w:p>
      <w:pPr>
        <w:pStyle w:val="7"/>
        <w:spacing w:before="0" w:beforeAutospacing="0" w:after="0" w:afterAutospacing="0" w:line="360" w:lineRule="auto"/>
        <w:ind w:firstLine="420"/>
        <w:rPr>
          <w:sz w:val="21"/>
          <w:szCs w:val="21"/>
        </w:rPr>
      </w:pPr>
      <w:r>
        <w:rPr>
          <w:rFonts w:hint="eastAsia"/>
          <w:sz w:val="21"/>
          <w:szCs w:val="21"/>
        </w:rPr>
        <w:t xml:space="preserve">2、赎回费率见下表：   </w:t>
      </w:r>
    </w:p>
    <w:p>
      <w:pPr>
        <w:pStyle w:val="7"/>
        <w:spacing w:before="0" w:beforeAutospacing="0" w:after="0" w:afterAutospacing="0" w:line="360" w:lineRule="auto"/>
        <w:ind w:firstLine="420"/>
        <w:rPr>
          <w:sz w:val="21"/>
          <w:szCs w:val="21"/>
        </w:rPr>
      </w:pPr>
      <w:r>
        <w:rPr>
          <w:rFonts w:hint="eastAsia"/>
          <w:sz w:val="21"/>
          <w:szCs w:val="21"/>
        </w:rPr>
        <w:t xml:space="preserve">表3：本基金的赎回费率   </w:t>
      </w:r>
    </w:p>
    <w:tbl>
      <w:tblPr>
        <w:tblStyle w:val="9"/>
        <w:tblW w:w="6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8"/>
        <w:gridCol w:w="1919"/>
        <w:gridCol w:w="1424"/>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shd w:val="clear" w:color="auto" w:fill="auto"/>
          </w:tcPr>
          <w:p>
            <w:pPr>
              <w:pStyle w:val="7"/>
              <w:jc w:val="center"/>
            </w:pPr>
            <w:r>
              <w:rPr>
                <w:rFonts w:hint="eastAsia"/>
                <w:b/>
                <w:bCs/>
              </w:rPr>
              <w:t>持有基金份额期限（Y）</w:t>
            </w:r>
          </w:p>
        </w:tc>
        <w:tc>
          <w:tcPr>
            <w:tcW w:w="1920" w:type="dxa"/>
            <w:shd w:val="clear" w:color="auto" w:fill="auto"/>
          </w:tcPr>
          <w:p>
            <w:pPr>
              <w:pStyle w:val="7"/>
              <w:jc w:val="center"/>
            </w:pPr>
            <w:r>
              <w:rPr>
                <w:rFonts w:hint="eastAsia"/>
                <w:b/>
                <w:bCs/>
              </w:rPr>
              <w:t>A类基金份额赎回费率</w:t>
            </w:r>
          </w:p>
        </w:tc>
        <w:tc>
          <w:tcPr>
            <w:tcW w:w="1425" w:type="dxa"/>
            <w:shd w:val="clear" w:color="auto" w:fill="auto"/>
          </w:tcPr>
          <w:p>
            <w:pPr>
              <w:pStyle w:val="7"/>
              <w:jc w:val="center"/>
            </w:pPr>
            <w:r>
              <w:rPr>
                <w:rFonts w:hint="eastAsia"/>
                <w:b/>
                <w:bCs/>
              </w:rPr>
              <w:t>持有基金份额期限（Y）</w:t>
            </w:r>
          </w:p>
        </w:tc>
        <w:tc>
          <w:tcPr>
            <w:tcW w:w="1845" w:type="dxa"/>
            <w:shd w:val="clear" w:color="auto" w:fill="auto"/>
          </w:tcPr>
          <w:p>
            <w:pPr>
              <w:pStyle w:val="7"/>
              <w:jc w:val="center"/>
            </w:pPr>
            <w:r>
              <w:rPr>
                <w:rFonts w:hint="eastAsia"/>
                <w:b/>
                <w:bCs/>
              </w:rPr>
              <w:t>C类基金份额赎回费率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shd w:val="clear" w:color="auto" w:fill="auto"/>
          </w:tcPr>
          <w:p>
            <w:pPr>
              <w:pStyle w:val="7"/>
              <w:jc w:val="center"/>
            </w:pPr>
            <w:r>
              <w:rPr>
                <w:rFonts w:hint="eastAsia"/>
              </w:rPr>
              <w:t xml:space="preserve">Y＜7日  </w:t>
            </w:r>
          </w:p>
        </w:tc>
        <w:tc>
          <w:tcPr>
            <w:tcW w:w="1920" w:type="dxa"/>
            <w:shd w:val="clear" w:color="auto" w:fill="auto"/>
          </w:tcPr>
          <w:p>
            <w:pPr>
              <w:pStyle w:val="7"/>
              <w:jc w:val="center"/>
            </w:pPr>
            <w:r>
              <w:rPr>
                <w:rFonts w:hint="eastAsia"/>
              </w:rPr>
              <w:t xml:space="preserve">1.50%  </w:t>
            </w:r>
          </w:p>
        </w:tc>
        <w:tc>
          <w:tcPr>
            <w:tcW w:w="1425" w:type="dxa"/>
            <w:shd w:val="clear" w:color="auto" w:fill="auto"/>
          </w:tcPr>
          <w:p>
            <w:pPr>
              <w:pStyle w:val="7"/>
              <w:jc w:val="center"/>
            </w:pPr>
            <w:r>
              <w:rPr>
                <w:rFonts w:hint="eastAsia"/>
              </w:rPr>
              <w:t xml:space="preserve">Y＜7日  </w:t>
            </w:r>
          </w:p>
        </w:tc>
        <w:tc>
          <w:tcPr>
            <w:tcW w:w="1845" w:type="dxa"/>
            <w:shd w:val="clear" w:color="auto" w:fill="auto"/>
          </w:tcPr>
          <w:p>
            <w:pPr>
              <w:pStyle w:val="7"/>
              <w:jc w:val="center"/>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shd w:val="clear" w:color="auto" w:fill="auto"/>
          </w:tcPr>
          <w:p>
            <w:pPr>
              <w:pStyle w:val="7"/>
              <w:jc w:val="center"/>
            </w:pPr>
            <w:r>
              <w:rPr>
                <w:rFonts w:hint="eastAsia"/>
              </w:rPr>
              <w:t xml:space="preserve">7日≤Y＜30日  </w:t>
            </w:r>
          </w:p>
        </w:tc>
        <w:tc>
          <w:tcPr>
            <w:tcW w:w="1920" w:type="dxa"/>
            <w:shd w:val="clear" w:color="auto" w:fill="auto"/>
          </w:tcPr>
          <w:p>
            <w:pPr>
              <w:pStyle w:val="7"/>
              <w:jc w:val="center"/>
            </w:pPr>
            <w:r>
              <w:rPr>
                <w:rFonts w:hint="eastAsia"/>
              </w:rPr>
              <w:t xml:space="preserve">0.75%  </w:t>
            </w:r>
          </w:p>
        </w:tc>
        <w:tc>
          <w:tcPr>
            <w:tcW w:w="1425" w:type="dxa"/>
            <w:shd w:val="clear" w:color="auto" w:fill="auto"/>
          </w:tcPr>
          <w:p>
            <w:pPr>
              <w:pStyle w:val="7"/>
              <w:jc w:val="center"/>
            </w:pPr>
            <w:r>
              <w:rPr>
                <w:rFonts w:hint="eastAsia"/>
              </w:rPr>
              <w:t xml:space="preserve">7日≤Y＜30日  </w:t>
            </w:r>
          </w:p>
        </w:tc>
        <w:tc>
          <w:tcPr>
            <w:tcW w:w="1845" w:type="dxa"/>
            <w:shd w:val="clear" w:color="auto" w:fill="auto"/>
          </w:tcPr>
          <w:p>
            <w:pPr>
              <w:pStyle w:val="7"/>
              <w:jc w:val="center"/>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shd w:val="clear" w:color="auto" w:fill="auto"/>
          </w:tcPr>
          <w:p>
            <w:pPr>
              <w:pStyle w:val="7"/>
              <w:jc w:val="center"/>
            </w:pPr>
            <w:r>
              <w:rPr>
                <w:rFonts w:hint="eastAsia"/>
              </w:rPr>
              <w:t xml:space="preserve">30日≤Y＜2年  </w:t>
            </w:r>
          </w:p>
        </w:tc>
        <w:tc>
          <w:tcPr>
            <w:tcW w:w="1920" w:type="dxa"/>
            <w:shd w:val="clear" w:color="auto" w:fill="auto"/>
          </w:tcPr>
          <w:p>
            <w:pPr>
              <w:pStyle w:val="7"/>
              <w:jc w:val="center"/>
            </w:pPr>
            <w:r>
              <w:rPr>
                <w:rFonts w:hint="eastAsia"/>
              </w:rPr>
              <w:t xml:space="preserve">0.50%  </w:t>
            </w:r>
          </w:p>
        </w:tc>
        <w:tc>
          <w:tcPr>
            <w:tcW w:w="1425" w:type="dxa"/>
            <w:shd w:val="clear" w:color="auto" w:fill="auto"/>
          </w:tcPr>
          <w:p>
            <w:pPr>
              <w:pStyle w:val="7"/>
              <w:jc w:val="center"/>
            </w:pPr>
            <w:r>
              <w:rPr>
                <w:rFonts w:hint="eastAsia"/>
              </w:rPr>
              <w:t xml:space="preserve">Y≥30日  </w:t>
            </w:r>
          </w:p>
        </w:tc>
        <w:tc>
          <w:tcPr>
            <w:tcW w:w="1845" w:type="dxa"/>
            <w:shd w:val="clear" w:color="auto" w:fill="auto"/>
          </w:tcPr>
          <w:p>
            <w:pPr>
              <w:pStyle w:val="7"/>
              <w:jc w:val="center"/>
            </w:pPr>
            <w:r>
              <w:rPr>
                <w:rFonts w:hint="eastAsia"/>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shd w:val="clear" w:color="auto" w:fill="auto"/>
          </w:tcPr>
          <w:p>
            <w:pPr>
              <w:pStyle w:val="7"/>
              <w:jc w:val="center"/>
            </w:pPr>
            <w:r>
              <w:rPr>
                <w:rFonts w:hint="eastAsia"/>
              </w:rPr>
              <w:t xml:space="preserve">2年≤Y＜3年  </w:t>
            </w:r>
          </w:p>
        </w:tc>
        <w:tc>
          <w:tcPr>
            <w:tcW w:w="1920" w:type="dxa"/>
            <w:shd w:val="clear" w:color="auto" w:fill="auto"/>
          </w:tcPr>
          <w:p>
            <w:pPr>
              <w:pStyle w:val="7"/>
              <w:jc w:val="center"/>
            </w:pPr>
            <w:r>
              <w:rPr>
                <w:rFonts w:hint="eastAsia"/>
              </w:rPr>
              <w:t xml:space="preserve">0.25%  </w:t>
            </w:r>
          </w:p>
        </w:tc>
        <w:tc>
          <w:tcPr>
            <w:tcW w:w="1425" w:type="dxa"/>
            <w:shd w:val="clear" w:color="auto" w:fill="auto"/>
          </w:tcPr>
          <w:p>
            <w:pPr>
              <w:rPr>
                <w:rFonts w:ascii="宋体" w:hAnsi="宋体" w:eastAsia="宋体" w:cs="宋体"/>
                <w:sz w:val="24"/>
                <w:szCs w:val="24"/>
              </w:rPr>
            </w:pPr>
          </w:p>
        </w:tc>
        <w:tc>
          <w:tcPr>
            <w:tcW w:w="1845" w:type="dxa"/>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shd w:val="clear" w:color="auto" w:fill="auto"/>
          </w:tcPr>
          <w:p>
            <w:pPr>
              <w:pStyle w:val="7"/>
              <w:jc w:val="center"/>
            </w:pPr>
            <w:r>
              <w:rPr>
                <w:rFonts w:hint="eastAsia"/>
              </w:rPr>
              <w:t xml:space="preserve">Y≥3年  </w:t>
            </w:r>
          </w:p>
        </w:tc>
        <w:tc>
          <w:tcPr>
            <w:tcW w:w="1920" w:type="dxa"/>
            <w:shd w:val="clear" w:color="auto" w:fill="auto"/>
          </w:tcPr>
          <w:p>
            <w:pPr>
              <w:pStyle w:val="7"/>
              <w:jc w:val="center"/>
            </w:pPr>
            <w:r>
              <w:rPr>
                <w:rFonts w:hint="eastAsia"/>
              </w:rPr>
              <w:t xml:space="preserve">0  </w:t>
            </w:r>
          </w:p>
        </w:tc>
        <w:tc>
          <w:tcPr>
            <w:tcW w:w="1425" w:type="dxa"/>
            <w:shd w:val="clear" w:color="auto" w:fill="auto"/>
          </w:tcPr>
          <w:p>
            <w:pPr>
              <w:rPr>
                <w:rFonts w:ascii="宋体" w:hAnsi="宋体" w:eastAsia="宋体" w:cs="宋体"/>
                <w:sz w:val="24"/>
                <w:szCs w:val="24"/>
              </w:rPr>
            </w:pPr>
          </w:p>
        </w:tc>
        <w:tc>
          <w:tcPr>
            <w:tcW w:w="1845" w:type="dxa"/>
            <w:shd w:val="clear" w:color="auto" w:fill="auto"/>
          </w:tcPr>
          <w:p>
            <w:pPr>
              <w:rPr>
                <w:rFonts w:ascii="宋体" w:hAnsi="宋体" w:eastAsia="宋体" w:cs="宋体"/>
                <w:sz w:val="24"/>
                <w:szCs w:val="24"/>
              </w:rPr>
            </w:pPr>
          </w:p>
        </w:tc>
      </w:tr>
    </w:tbl>
    <w:p>
      <w:pPr>
        <w:pStyle w:val="7"/>
        <w:spacing w:before="0" w:beforeAutospacing="0" w:after="0" w:afterAutospacing="0" w:line="360" w:lineRule="auto"/>
        <w:ind w:firstLine="420"/>
        <w:rPr>
          <w:sz w:val="21"/>
          <w:szCs w:val="21"/>
        </w:rPr>
      </w:pPr>
      <w:r>
        <w:rPr>
          <w:rFonts w:hint="eastAsia"/>
          <w:sz w:val="21"/>
          <w:szCs w:val="21"/>
        </w:rPr>
        <w:t xml:space="preserve">注：1年指365天，1个月指30日   </w:t>
      </w:r>
    </w:p>
    <w:p>
      <w:pPr>
        <w:pStyle w:val="7"/>
        <w:spacing w:before="0" w:beforeAutospacing="0" w:after="0" w:afterAutospacing="0" w:line="360" w:lineRule="auto"/>
        <w:ind w:firstLine="420"/>
        <w:rPr>
          <w:sz w:val="21"/>
          <w:szCs w:val="21"/>
        </w:rPr>
      </w:pPr>
      <w:r>
        <w:rPr>
          <w:rFonts w:hint="eastAsia"/>
          <w:sz w:val="21"/>
          <w:szCs w:val="21"/>
        </w:rPr>
        <w:t xml:space="preserve">本基金的赎回费用由基金份额持有人承担。对持续持有期少于30日的投资人收取的赎回费全额计入基金财产；对持续持有期长于30日但少于3个月的投资人收取的赎回费，将不低于赎回费总额的75%计入基金财产；对持续持有期长于3个月但少于6个月的投资人收取的赎回费，将不低于赎回费总额的50%计入基金财产；对持续持有期长于6个月的投资人，将不低于赎回费总额的25%计入基金财产，未归入基金财产的部分用于支付登记费和其他必要的手续费。   </w:t>
      </w:r>
    </w:p>
    <w:p>
      <w:pPr>
        <w:pStyle w:val="7"/>
        <w:spacing w:before="0" w:beforeAutospacing="0" w:after="0" w:afterAutospacing="0" w:line="360" w:lineRule="auto"/>
        <w:ind w:firstLine="420"/>
        <w:rPr>
          <w:sz w:val="21"/>
          <w:szCs w:val="21"/>
        </w:rPr>
      </w:pPr>
      <w:r>
        <w:rPr>
          <w:rFonts w:hint="eastAsia"/>
          <w:sz w:val="21"/>
          <w:szCs w:val="21"/>
        </w:rPr>
        <w:t xml:space="preserve">3、基金管理人可以在基金合同约定的范围内调整费率或收费方式，并最迟应于新的费率或收费方式实施日前依照《信息披露办法》的有关规定在指定媒介上公告。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七、申购份额与赎回金额的计算方式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1.申购金额的计算方式：   </w:t>
      </w:r>
    </w:p>
    <w:p>
      <w:pPr>
        <w:pStyle w:val="7"/>
        <w:spacing w:before="0" w:beforeAutospacing="0" w:after="0" w:afterAutospacing="0" w:line="360" w:lineRule="auto"/>
        <w:ind w:firstLine="420"/>
        <w:rPr>
          <w:sz w:val="21"/>
          <w:szCs w:val="21"/>
        </w:rPr>
      </w:pPr>
      <w:r>
        <w:rPr>
          <w:rFonts w:hint="eastAsia"/>
          <w:sz w:val="21"/>
          <w:szCs w:val="21"/>
        </w:rPr>
        <w:t xml:space="preserve">（1）A类基金份额  </w:t>
      </w:r>
    </w:p>
    <w:p>
      <w:pPr>
        <w:pStyle w:val="7"/>
        <w:spacing w:before="0" w:beforeAutospacing="0" w:after="0" w:afterAutospacing="0" w:line="360" w:lineRule="auto"/>
        <w:ind w:firstLine="420"/>
        <w:rPr>
          <w:sz w:val="21"/>
          <w:szCs w:val="21"/>
        </w:rPr>
      </w:pPr>
      <w:r>
        <w:rPr>
          <w:rFonts w:hint="eastAsia"/>
          <w:sz w:val="21"/>
          <w:szCs w:val="21"/>
        </w:rPr>
        <w:t xml:space="preserve">1）申购费用适用比例费率的情形下：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净申购金额=申购金额/（1+申购费率）   </w:t>
      </w:r>
    </w:p>
    <w:p>
      <w:pPr>
        <w:pStyle w:val="7"/>
        <w:spacing w:before="0" w:beforeAutospacing="0" w:after="0" w:afterAutospacing="0" w:line="360" w:lineRule="auto"/>
        <w:ind w:firstLine="420"/>
        <w:rPr>
          <w:sz w:val="21"/>
          <w:szCs w:val="21"/>
        </w:rPr>
      </w:pPr>
      <w:r>
        <w:rPr>
          <w:rFonts w:hint="eastAsia"/>
          <w:sz w:val="21"/>
          <w:szCs w:val="21"/>
        </w:rPr>
        <w:t xml:space="preserve">申购费用=申购金额-净申购金额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申购份额=净申购金额/T日A类基金份额净值   </w:t>
      </w:r>
    </w:p>
    <w:p>
      <w:pPr>
        <w:pStyle w:val="7"/>
        <w:spacing w:before="0" w:beforeAutospacing="0" w:after="0" w:afterAutospacing="0" w:line="360" w:lineRule="auto"/>
        <w:ind w:firstLine="420"/>
        <w:rPr>
          <w:sz w:val="21"/>
          <w:szCs w:val="21"/>
        </w:rPr>
      </w:pPr>
      <w:r>
        <w:rPr>
          <w:rFonts w:hint="eastAsia"/>
          <w:sz w:val="21"/>
          <w:szCs w:val="21"/>
        </w:rPr>
        <w:t xml:space="preserve">2）申购费用适用固定金额的情形下：   </w:t>
      </w:r>
    </w:p>
    <w:p>
      <w:pPr>
        <w:pStyle w:val="7"/>
        <w:spacing w:before="0" w:beforeAutospacing="0" w:after="0" w:afterAutospacing="0" w:line="360" w:lineRule="auto"/>
        <w:ind w:firstLine="420"/>
        <w:rPr>
          <w:sz w:val="21"/>
          <w:szCs w:val="21"/>
        </w:rPr>
      </w:pPr>
      <w:r>
        <w:rPr>
          <w:rFonts w:hint="eastAsia"/>
          <w:sz w:val="21"/>
          <w:szCs w:val="21"/>
        </w:rPr>
        <w:t xml:space="preserve">申购费用=固定金额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净申购金额=申购金额-固定金额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申购份额=净申购金额/T日A类基金份额净值   </w:t>
      </w:r>
    </w:p>
    <w:p>
      <w:pPr>
        <w:pStyle w:val="7"/>
        <w:spacing w:before="0" w:beforeAutospacing="0" w:after="0" w:afterAutospacing="0" w:line="360" w:lineRule="auto"/>
        <w:ind w:firstLine="420"/>
        <w:rPr>
          <w:sz w:val="21"/>
          <w:szCs w:val="21"/>
        </w:rPr>
      </w:pPr>
      <w:r>
        <w:rPr>
          <w:rFonts w:hint="eastAsia"/>
          <w:sz w:val="21"/>
          <w:szCs w:val="21"/>
        </w:rPr>
        <w:t xml:space="preserve">例1：假定T日A类基金份额净值为1.056元，某投资人本次申购本基金A类基金份额40万元，对应的本次申购费率为1.50%，该投资人可得到的A类基金份额为：   </w:t>
      </w:r>
    </w:p>
    <w:p>
      <w:pPr>
        <w:pStyle w:val="7"/>
        <w:spacing w:before="0" w:beforeAutospacing="0" w:after="0" w:afterAutospacing="0" w:line="360" w:lineRule="auto"/>
        <w:ind w:firstLine="420"/>
        <w:rPr>
          <w:sz w:val="21"/>
          <w:szCs w:val="21"/>
        </w:rPr>
      </w:pPr>
      <w:r>
        <w:rPr>
          <w:rFonts w:hint="eastAsia"/>
          <w:sz w:val="21"/>
          <w:szCs w:val="21"/>
        </w:rPr>
        <w:t xml:space="preserve">净申购金额=400,000/（1+1.50%）＝394,088.67元   </w:t>
      </w:r>
    </w:p>
    <w:p>
      <w:pPr>
        <w:pStyle w:val="7"/>
        <w:spacing w:before="0" w:beforeAutospacing="0" w:after="0" w:afterAutospacing="0" w:line="360" w:lineRule="auto"/>
        <w:ind w:firstLine="420"/>
        <w:rPr>
          <w:sz w:val="21"/>
          <w:szCs w:val="21"/>
        </w:rPr>
      </w:pPr>
      <w:r>
        <w:rPr>
          <w:rFonts w:hint="eastAsia"/>
          <w:sz w:val="21"/>
          <w:szCs w:val="21"/>
        </w:rPr>
        <w:t xml:space="preserve">申购费用=400,000-394,088.67＝5,911.33元   </w:t>
      </w:r>
    </w:p>
    <w:p>
      <w:pPr>
        <w:pStyle w:val="7"/>
        <w:spacing w:before="0" w:beforeAutospacing="0" w:after="0" w:afterAutospacing="0" w:line="360" w:lineRule="auto"/>
        <w:ind w:firstLine="420"/>
        <w:rPr>
          <w:sz w:val="21"/>
          <w:szCs w:val="21"/>
        </w:rPr>
      </w:pPr>
      <w:r>
        <w:rPr>
          <w:rFonts w:hint="eastAsia"/>
          <w:sz w:val="21"/>
          <w:szCs w:val="21"/>
        </w:rPr>
        <w:t xml:space="preserve">申购份额=394,088.67/1.056＝373,190.03份   </w:t>
      </w:r>
    </w:p>
    <w:p>
      <w:pPr>
        <w:pStyle w:val="7"/>
        <w:spacing w:before="0" w:beforeAutospacing="0" w:after="0" w:afterAutospacing="0" w:line="360" w:lineRule="auto"/>
        <w:ind w:firstLine="420"/>
        <w:rPr>
          <w:sz w:val="21"/>
          <w:szCs w:val="21"/>
        </w:rPr>
      </w:pPr>
      <w:r>
        <w:rPr>
          <w:rFonts w:hint="eastAsia"/>
          <w:sz w:val="21"/>
          <w:szCs w:val="21"/>
        </w:rPr>
        <w:t xml:space="preserve">即：投资人投资40万元申购本基金A类基金份额，假定申购当日A类基金份额净值为1.056元，可得到373,190.03份A类基金份额。   </w:t>
      </w:r>
    </w:p>
    <w:p>
      <w:pPr>
        <w:pStyle w:val="7"/>
        <w:spacing w:before="0" w:beforeAutospacing="0" w:after="0" w:afterAutospacing="0" w:line="360" w:lineRule="auto"/>
        <w:ind w:firstLine="420"/>
        <w:rPr>
          <w:sz w:val="21"/>
          <w:szCs w:val="21"/>
        </w:rPr>
      </w:pPr>
      <w:r>
        <w:rPr>
          <w:rFonts w:hint="eastAsia"/>
          <w:sz w:val="21"/>
          <w:szCs w:val="21"/>
        </w:rPr>
        <w:t xml:space="preserve">例2：假定T日A类基金份额净值为1.056元，某投资人投资600万元申购本基金A类基金份额，其对应的申购费用为1000元，则其可得到的申购份额为：   </w:t>
      </w:r>
    </w:p>
    <w:p>
      <w:pPr>
        <w:pStyle w:val="7"/>
        <w:spacing w:before="0" w:beforeAutospacing="0" w:after="0" w:afterAutospacing="0" w:line="360" w:lineRule="auto"/>
        <w:ind w:firstLine="420"/>
        <w:rPr>
          <w:sz w:val="21"/>
          <w:szCs w:val="21"/>
        </w:rPr>
      </w:pPr>
      <w:r>
        <w:rPr>
          <w:rFonts w:hint="eastAsia"/>
          <w:sz w:val="21"/>
          <w:szCs w:val="21"/>
        </w:rPr>
        <w:t xml:space="preserve">申购费用＝1,000元   </w:t>
      </w:r>
    </w:p>
    <w:p>
      <w:pPr>
        <w:pStyle w:val="7"/>
        <w:spacing w:before="0" w:beforeAutospacing="0" w:after="0" w:afterAutospacing="0" w:line="360" w:lineRule="auto"/>
        <w:ind w:firstLine="420"/>
        <w:rPr>
          <w:sz w:val="21"/>
          <w:szCs w:val="21"/>
        </w:rPr>
      </w:pPr>
      <w:r>
        <w:rPr>
          <w:rFonts w:hint="eastAsia"/>
          <w:sz w:val="21"/>
          <w:szCs w:val="21"/>
        </w:rPr>
        <w:t xml:space="preserve">净申购金额＝6,000,000－1,000＝5,999,000.00元   </w:t>
      </w:r>
    </w:p>
    <w:p>
      <w:pPr>
        <w:pStyle w:val="7"/>
        <w:spacing w:before="0" w:beforeAutospacing="0" w:after="0" w:afterAutospacing="0" w:line="360" w:lineRule="auto"/>
        <w:ind w:firstLine="420"/>
        <w:rPr>
          <w:sz w:val="21"/>
          <w:szCs w:val="21"/>
        </w:rPr>
      </w:pPr>
      <w:r>
        <w:rPr>
          <w:rFonts w:hint="eastAsia"/>
          <w:sz w:val="21"/>
          <w:szCs w:val="21"/>
        </w:rPr>
        <w:t xml:space="preserve">申购份额＝5,999,000/1.056＝5,680,871.21份   </w:t>
      </w:r>
    </w:p>
    <w:p>
      <w:pPr>
        <w:pStyle w:val="7"/>
        <w:spacing w:before="0" w:beforeAutospacing="0" w:after="0" w:afterAutospacing="0" w:line="360" w:lineRule="auto"/>
        <w:ind w:firstLine="420"/>
        <w:rPr>
          <w:sz w:val="21"/>
          <w:szCs w:val="21"/>
        </w:rPr>
      </w:pPr>
      <w:r>
        <w:rPr>
          <w:rFonts w:hint="eastAsia"/>
          <w:sz w:val="21"/>
          <w:szCs w:val="21"/>
        </w:rPr>
        <w:t xml:space="preserve">即，投资人投资600万元申购本基金A类基金份额，假定申购当日A类基金份额净值为1.056元，可得到5,680,871.21份A类基金份额。   </w:t>
      </w:r>
    </w:p>
    <w:p>
      <w:pPr>
        <w:pStyle w:val="7"/>
        <w:spacing w:before="0" w:beforeAutospacing="0" w:after="0" w:afterAutospacing="0" w:line="360" w:lineRule="auto"/>
        <w:ind w:firstLine="420"/>
        <w:rPr>
          <w:sz w:val="21"/>
          <w:szCs w:val="21"/>
        </w:rPr>
      </w:pPr>
      <w:r>
        <w:rPr>
          <w:rFonts w:hint="eastAsia"/>
          <w:sz w:val="21"/>
          <w:szCs w:val="21"/>
        </w:rPr>
        <w:t xml:space="preserve">（2）C类基金份额  </w:t>
      </w:r>
    </w:p>
    <w:p>
      <w:pPr>
        <w:pStyle w:val="7"/>
        <w:spacing w:before="0" w:beforeAutospacing="0" w:after="0" w:afterAutospacing="0" w:line="360" w:lineRule="auto"/>
        <w:ind w:firstLine="420"/>
        <w:rPr>
          <w:sz w:val="21"/>
          <w:szCs w:val="21"/>
        </w:rPr>
      </w:pPr>
      <w:r>
        <w:rPr>
          <w:rFonts w:hint="eastAsia"/>
          <w:sz w:val="21"/>
          <w:szCs w:val="21"/>
        </w:rPr>
        <w:t xml:space="preserve">申购份额=申购金额/T日C类基金份额净值  </w:t>
      </w:r>
    </w:p>
    <w:p>
      <w:pPr>
        <w:pStyle w:val="7"/>
        <w:spacing w:before="0" w:beforeAutospacing="0" w:after="0" w:afterAutospacing="0" w:line="360" w:lineRule="auto"/>
        <w:ind w:firstLine="420"/>
        <w:rPr>
          <w:sz w:val="21"/>
          <w:szCs w:val="21"/>
        </w:rPr>
      </w:pPr>
      <w:r>
        <w:rPr>
          <w:rFonts w:hint="eastAsia"/>
          <w:sz w:val="21"/>
          <w:szCs w:val="21"/>
        </w:rPr>
        <w:t xml:space="preserve">例3：假设某投资者投资10万元申购本基金C类基金份额，申购当日本基金C类基金份额净值为1.0560元，则可得到的申购份额为： </w:t>
      </w:r>
    </w:p>
    <w:p>
      <w:pPr>
        <w:pStyle w:val="7"/>
        <w:spacing w:before="0" w:beforeAutospacing="0" w:after="0" w:afterAutospacing="0" w:line="360" w:lineRule="auto"/>
        <w:ind w:firstLine="420"/>
        <w:rPr>
          <w:sz w:val="21"/>
          <w:szCs w:val="21"/>
        </w:rPr>
      </w:pPr>
      <w:r>
        <w:rPr>
          <w:rFonts w:hint="eastAsia"/>
          <w:sz w:val="21"/>
          <w:szCs w:val="21"/>
        </w:rPr>
        <w:t xml:space="preserve">申购份额＝100,000/1.0560＝94,696.97份 </w:t>
      </w:r>
    </w:p>
    <w:p>
      <w:pPr>
        <w:pStyle w:val="7"/>
        <w:spacing w:before="0" w:beforeAutospacing="0" w:after="0" w:afterAutospacing="0" w:line="360" w:lineRule="auto"/>
        <w:ind w:firstLine="420"/>
        <w:rPr>
          <w:sz w:val="21"/>
          <w:szCs w:val="21"/>
        </w:rPr>
      </w:pPr>
      <w:r>
        <w:rPr>
          <w:rFonts w:hint="eastAsia"/>
          <w:sz w:val="21"/>
          <w:szCs w:val="21"/>
        </w:rPr>
        <w:t xml:space="preserve">即：投资者投资10万元申购本基金C类基金份额，假设申购当日本基金C类基金份额净值为1.0560元，则其可得到94,696.97份C类基金份额。 </w:t>
      </w:r>
    </w:p>
    <w:p>
      <w:pPr>
        <w:pStyle w:val="7"/>
        <w:spacing w:before="0" w:beforeAutospacing="0" w:after="0" w:afterAutospacing="0" w:line="360" w:lineRule="auto"/>
        <w:ind w:firstLine="420"/>
        <w:rPr>
          <w:sz w:val="21"/>
          <w:szCs w:val="21"/>
        </w:rPr>
      </w:pPr>
      <w:r>
        <w:rPr>
          <w:rFonts w:hint="eastAsia"/>
          <w:sz w:val="21"/>
          <w:szCs w:val="21"/>
        </w:rPr>
        <w:t xml:space="preserve">2、赎回金额的计算方式：   </w:t>
      </w:r>
    </w:p>
    <w:p>
      <w:pPr>
        <w:pStyle w:val="7"/>
        <w:spacing w:before="0" w:beforeAutospacing="0" w:after="0" w:afterAutospacing="0" w:line="360" w:lineRule="auto"/>
        <w:ind w:firstLine="420"/>
        <w:rPr>
          <w:sz w:val="21"/>
          <w:szCs w:val="21"/>
        </w:rPr>
      </w:pPr>
      <w:r>
        <w:rPr>
          <w:rFonts w:hint="eastAsia"/>
          <w:sz w:val="21"/>
          <w:szCs w:val="21"/>
        </w:rPr>
        <w:t xml:space="preserve">赎回总金额=赎回份额×T日基金份额净值   </w:t>
      </w:r>
    </w:p>
    <w:p>
      <w:pPr>
        <w:pStyle w:val="7"/>
        <w:spacing w:before="0" w:beforeAutospacing="0" w:after="0" w:afterAutospacing="0" w:line="360" w:lineRule="auto"/>
        <w:ind w:firstLine="420"/>
        <w:rPr>
          <w:sz w:val="21"/>
          <w:szCs w:val="21"/>
        </w:rPr>
      </w:pPr>
      <w:r>
        <w:rPr>
          <w:rFonts w:hint="eastAsia"/>
          <w:sz w:val="21"/>
          <w:szCs w:val="21"/>
        </w:rPr>
        <w:t xml:space="preserve">赎回费用=赎回总金额×赎回费率   </w:t>
      </w:r>
    </w:p>
    <w:p>
      <w:pPr>
        <w:pStyle w:val="7"/>
        <w:spacing w:before="0" w:beforeAutospacing="0" w:after="0" w:afterAutospacing="0" w:line="360" w:lineRule="auto"/>
        <w:ind w:firstLine="420"/>
        <w:rPr>
          <w:sz w:val="21"/>
          <w:szCs w:val="21"/>
        </w:rPr>
      </w:pPr>
      <w:r>
        <w:rPr>
          <w:rFonts w:hint="eastAsia"/>
          <w:sz w:val="21"/>
          <w:szCs w:val="21"/>
        </w:rPr>
        <w:t xml:space="preserve">净赎回金额=赎回总金额—赎回费用   </w:t>
      </w:r>
    </w:p>
    <w:p>
      <w:pPr>
        <w:pStyle w:val="7"/>
        <w:spacing w:before="0" w:beforeAutospacing="0" w:after="0" w:afterAutospacing="0" w:line="360" w:lineRule="auto"/>
        <w:ind w:firstLine="420"/>
        <w:rPr>
          <w:sz w:val="21"/>
          <w:szCs w:val="21"/>
        </w:rPr>
      </w:pPr>
      <w:r>
        <w:rPr>
          <w:rFonts w:hint="eastAsia"/>
          <w:sz w:val="21"/>
          <w:szCs w:val="21"/>
        </w:rPr>
        <w:t xml:space="preserve">例4：某投资者赎回本基金1万份A类基金份额，持有时间为三年，对应的赎回费率为0%，假设赎回当日A类基金份额净值是1.250 元，则其可得到的赎回金额为：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赎回总金额=10,000×1.250=12,500.00 元   </w:t>
      </w:r>
    </w:p>
    <w:p>
      <w:pPr>
        <w:pStyle w:val="7"/>
        <w:spacing w:before="0" w:beforeAutospacing="0" w:after="0" w:afterAutospacing="0" w:line="360" w:lineRule="auto"/>
        <w:ind w:firstLine="420"/>
        <w:rPr>
          <w:sz w:val="21"/>
          <w:szCs w:val="21"/>
        </w:rPr>
      </w:pPr>
      <w:r>
        <w:rPr>
          <w:rFonts w:hint="eastAsia"/>
          <w:sz w:val="21"/>
          <w:szCs w:val="21"/>
        </w:rPr>
        <w:t xml:space="preserve">赎回费用=12,500×0%=0.00 元   </w:t>
      </w:r>
    </w:p>
    <w:p>
      <w:pPr>
        <w:pStyle w:val="7"/>
        <w:spacing w:before="0" w:beforeAutospacing="0" w:after="0" w:afterAutospacing="0" w:line="360" w:lineRule="auto"/>
        <w:ind w:firstLine="420"/>
        <w:rPr>
          <w:sz w:val="21"/>
          <w:szCs w:val="21"/>
        </w:rPr>
      </w:pPr>
      <w:r>
        <w:rPr>
          <w:rFonts w:hint="eastAsia"/>
          <w:sz w:val="21"/>
          <w:szCs w:val="21"/>
        </w:rPr>
        <w:t xml:space="preserve">净赎回金额=12,500-0=12,500.00 元   </w:t>
      </w:r>
    </w:p>
    <w:p>
      <w:pPr>
        <w:pStyle w:val="7"/>
        <w:spacing w:before="0" w:beforeAutospacing="0" w:after="0" w:afterAutospacing="0" w:line="360" w:lineRule="auto"/>
        <w:ind w:firstLine="420"/>
        <w:rPr>
          <w:sz w:val="21"/>
          <w:szCs w:val="21"/>
        </w:rPr>
      </w:pPr>
      <w:r>
        <w:rPr>
          <w:rFonts w:hint="eastAsia"/>
          <w:sz w:val="21"/>
          <w:szCs w:val="21"/>
        </w:rPr>
        <w:t xml:space="preserve">即：投资者赎回本基金1万份A类基金份额，持有时间为三年，假设赎回当日A类基金份额净值是1.250元，则其可得到的赎回金额为12,500.00元。   </w:t>
      </w:r>
    </w:p>
    <w:p>
      <w:pPr>
        <w:pStyle w:val="7"/>
        <w:spacing w:before="0" w:beforeAutospacing="0" w:after="0" w:afterAutospacing="0" w:line="360" w:lineRule="auto"/>
        <w:ind w:firstLine="420"/>
        <w:rPr>
          <w:sz w:val="21"/>
          <w:szCs w:val="21"/>
        </w:rPr>
      </w:pPr>
      <w:r>
        <w:rPr>
          <w:rFonts w:hint="eastAsia"/>
          <w:sz w:val="21"/>
          <w:szCs w:val="21"/>
        </w:rPr>
        <w:t xml:space="preserve">3、本基金A类基金份额和C类基金份额分别设置代码，分别计算和公告各类基金份额净值和各类基金份额累计净值。本基金各类基金份额净值的计算，均保留到小数点后3位，小数点后第4位四舍五入，由此产生的收益或损失由基金财产承担。T日的各类基金份额净值在当天收市后计算，并按照基金合同约定公告。遇特殊情况，经中国证监会同意，可以适当延迟计算或公告。   </w:t>
      </w:r>
    </w:p>
    <w:p>
      <w:pPr>
        <w:pStyle w:val="7"/>
        <w:spacing w:before="0" w:beforeAutospacing="0" w:after="0" w:afterAutospacing="0" w:line="360" w:lineRule="auto"/>
        <w:ind w:firstLine="420"/>
        <w:rPr>
          <w:sz w:val="21"/>
          <w:szCs w:val="21"/>
        </w:rPr>
      </w:pPr>
      <w:r>
        <w:rPr>
          <w:rFonts w:hint="eastAsia"/>
          <w:sz w:val="21"/>
          <w:szCs w:val="21"/>
        </w:rPr>
        <w:t xml:space="preserve">4、申购份额余额的处理方式：申购的有效份额为净申购金额除以当日的基金份额净值，有效份额单位为份，上述计算结果均按四舍五入方法，保留到小数点后2位，由此产生的收益或损失由基金财产承担。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5、赎回金额的处理方式：赎回金额为按实际确认的有效赎回份额乘以当日基金份额净值并扣除相应的费用，赎回金额单位为元。上述计算结果均按四舍五入，保留到小数点后2位，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6、基金管理人可以在不违背法律法规规定及《基金合同》约定的情形下根据市场情况制定基金促销计划，针对投资者定期或不定期地开展基金促销活动。在基金促销活动期间，按相关监管部门要求履行必要手续后，基金管理人可以适当调低基金申购费率和基金赎回费率。  </w:t>
      </w:r>
    </w:p>
    <w:p>
      <w:pPr>
        <w:pStyle w:val="7"/>
        <w:spacing w:before="0" w:beforeAutospacing="0" w:after="0" w:afterAutospacing="0" w:line="360" w:lineRule="auto"/>
        <w:ind w:firstLine="420"/>
        <w:rPr>
          <w:sz w:val="21"/>
          <w:szCs w:val="21"/>
        </w:rPr>
      </w:pPr>
      <w:r>
        <w:rPr>
          <w:rStyle w:val="11"/>
          <w:rFonts w:hint="eastAsia"/>
          <w:sz w:val="21"/>
          <w:szCs w:val="21"/>
        </w:rPr>
        <w:t>八、申购与赎回的登记</w:t>
      </w:r>
    </w:p>
    <w:p>
      <w:pPr>
        <w:pStyle w:val="7"/>
        <w:spacing w:before="0" w:beforeAutospacing="0" w:after="0" w:afterAutospacing="0" w:line="360" w:lineRule="auto"/>
        <w:ind w:firstLine="420"/>
        <w:rPr>
          <w:sz w:val="21"/>
          <w:szCs w:val="21"/>
        </w:rPr>
      </w:pPr>
      <w:r>
        <w:rPr>
          <w:rFonts w:hint="eastAsia"/>
          <w:sz w:val="21"/>
          <w:szCs w:val="21"/>
        </w:rPr>
        <w:t xml:space="preserve">1、经基金销售机构同意，基金投资者提出的申购和赎回申请，在基金管理人规定的时间之前可以撤销。 </w:t>
      </w:r>
    </w:p>
    <w:p>
      <w:pPr>
        <w:pStyle w:val="7"/>
        <w:spacing w:before="0" w:beforeAutospacing="0" w:after="0" w:afterAutospacing="0" w:line="360" w:lineRule="auto"/>
        <w:ind w:firstLine="420"/>
        <w:rPr>
          <w:sz w:val="21"/>
          <w:szCs w:val="21"/>
        </w:rPr>
      </w:pPr>
      <w:r>
        <w:rPr>
          <w:rFonts w:hint="eastAsia"/>
          <w:sz w:val="21"/>
          <w:szCs w:val="21"/>
        </w:rPr>
        <w:t xml:space="preserve">2、投资者申购基金成功后，登记机构在T+1日为投资者登记权益并办理登记手续，投资人自T+2日（含该日）后有权赎回该部分基金份额。 </w:t>
      </w:r>
    </w:p>
    <w:p>
      <w:pPr>
        <w:pStyle w:val="7"/>
        <w:spacing w:before="0" w:beforeAutospacing="0" w:after="0" w:afterAutospacing="0" w:line="360" w:lineRule="auto"/>
        <w:ind w:firstLine="420"/>
        <w:rPr>
          <w:sz w:val="21"/>
          <w:szCs w:val="21"/>
        </w:rPr>
      </w:pPr>
      <w:r>
        <w:rPr>
          <w:rFonts w:hint="eastAsia"/>
          <w:sz w:val="21"/>
          <w:szCs w:val="21"/>
        </w:rPr>
        <w:t xml:space="preserve">3、投资人赎回基金成功后，登记机构在T+1日为投资者办理扣除权益的登记手续。 </w:t>
      </w:r>
    </w:p>
    <w:p>
      <w:pPr>
        <w:pStyle w:val="7"/>
        <w:spacing w:before="0" w:beforeAutospacing="0" w:after="0" w:afterAutospacing="0" w:line="360" w:lineRule="auto"/>
        <w:ind w:firstLine="420"/>
        <w:rPr>
          <w:sz w:val="21"/>
          <w:szCs w:val="21"/>
        </w:rPr>
      </w:pPr>
      <w:r>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4、基金管理人可以在法律法规允许的范围内，对上述登记办理时间进行调整，但不得实质影响投资者的合法权益，并最迟于开始实施前依照《信息披露办法》的有关规定进行公告。 </w:t>
      </w:r>
    </w:p>
    <w:p>
      <w:pPr>
        <w:pStyle w:val="7"/>
        <w:spacing w:before="0" w:beforeAutospacing="0" w:after="0" w:afterAutospacing="0" w:line="360" w:lineRule="auto"/>
        <w:ind w:firstLine="420"/>
        <w:rPr>
          <w:sz w:val="21"/>
          <w:szCs w:val="21"/>
        </w:rPr>
      </w:pPr>
      <w:r>
        <w:rPr>
          <w:rStyle w:val="11"/>
          <w:rFonts w:hint="eastAsia"/>
          <w:sz w:val="21"/>
          <w:szCs w:val="21"/>
        </w:rPr>
        <w:t>九、拒绝或暂停申购的情形及处理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4、基金管理人接受某笔或某些申购申请会损害现有基金份额持有人利益或对存量基金份额持有人利益构成潜在重大不利影响时。 </w:t>
      </w:r>
    </w:p>
    <w:p>
      <w:pPr>
        <w:pStyle w:val="7"/>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5、基金资产规模过大，使基金管理人无法找到合适的投资品种，或其他可能对基金业绩产生负面影响，或发生其他损害现有基金份额持有人利益的情形。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6、基金管理人、基金托管人、销售机构或登记机构的技术故障等异常情况导致基金销售系统、基金注册登记系统或基金会计系统无法正常运行。 </w:t>
      </w:r>
    </w:p>
    <w:p>
      <w:pPr>
        <w:pStyle w:val="7"/>
        <w:spacing w:before="0" w:beforeAutospacing="0" w:after="0" w:afterAutospacing="0" w:line="360" w:lineRule="auto"/>
        <w:ind w:firstLine="420"/>
        <w:rPr>
          <w:sz w:val="21"/>
          <w:szCs w:val="21"/>
        </w:rPr>
      </w:pPr>
      <w:r>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8、基金管理人接受某笔或者某些申购申请有可能导致单一投资者持有基金份额的比例达到或超过50％，或者变相规避50％集中度的情形时。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9、法律法规规定或中国证监会认定的其他情形。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第1、2、3、5、6、7、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pPr>
        <w:pStyle w:val="7"/>
        <w:spacing w:before="0" w:beforeAutospacing="0" w:after="0" w:afterAutospacing="0" w:line="360" w:lineRule="auto"/>
        <w:ind w:firstLine="420"/>
        <w:rPr>
          <w:sz w:val="21"/>
          <w:szCs w:val="21"/>
        </w:rPr>
      </w:pPr>
      <w:r>
        <w:rPr>
          <w:rStyle w:val="11"/>
          <w:rFonts w:hint="eastAsia"/>
          <w:sz w:val="21"/>
          <w:szCs w:val="21"/>
        </w:rPr>
        <w:t>十、暂停赎回或延缓支付赎回款项的情形 </w:t>
      </w:r>
    </w:p>
    <w:p>
      <w:pPr>
        <w:pStyle w:val="7"/>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4、连续两个或两个以上开放日发生巨额赎回。 </w:t>
      </w:r>
    </w:p>
    <w:p>
      <w:pPr>
        <w:pStyle w:val="7"/>
        <w:spacing w:before="0" w:beforeAutospacing="0" w:after="0" w:afterAutospacing="0" w:line="360" w:lineRule="auto"/>
        <w:ind w:firstLine="420"/>
        <w:rPr>
          <w:sz w:val="21"/>
          <w:szCs w:val="21"/>
        </w:rPr>
      </w:pPr>
      <w:r>
        <w:rPr>
          <w:rFonts w:hint="eastAsia"/>
          <w:sz w:val="21"/>
          <w:szCs w:val="21"/>
        </w:rPr>
        <w:t xml:space="preserve">5、继续接受赎回申请将损害现有基金份额持有人利益的情形时，可暂停接受投资人的赎回申请。 </w:t>
      </w:r>
    </w:p>
    <w:p>
      <w:pPr>
        <w:pStyle w:val="7"/>
        <w:spacing w:before="0" w:beforeAutospacing="0" w:after="0" w:afterAutospacing="0" w:line="360" w:lineRule="auto"/>
        <w:ind w:firstLine="420"/>
        <w:rPr>
          <w:sz w:val="21"/>
          <w:szCs w:val="21"/>
        </w:rPr>
      </w:pPr>
      <w:r>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7、法律法规规定或中国证监会认定的其他情形。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之一且基金管理人决定拒绝接受或暂停接受基金份额持有人的赎回申请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pPr>
        <w:pStyle w:val="7"/>
        <w:spacing w:before="0" w:beforeAutospacing="0" w:after="0" w:afterAutospacing="0" w:line="360" w:lineRule="auto"/>
        <w:ind w:firstLine="420"/>
        <w:rPr>
          <w:sz w:val="21"/>
          <w:szCs w:val="21"/>
        </w:rPr>
      </w:pPr>
      <w:r>
        <w:rPr>
          <w:rStyle w:val="11"/>
          <w:rFonts w:hint="eastAsia"/>
          <w:sz w:val="21"/>
          <w:szCs w:val="21"/>
        </w:rPr>
        <w:t>十一、巨额赎回的情形及处理方式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99" w:name="field_49_mintredeemscale_2"/>
      <w:r>
        <w:rPr>
          <w:sz w:val="21"/>
          <w:szCs w:val="21"/>
        </w:rPr>
        <w:t>10</w:t>
      </w:r>
      <w:bookmarkEnd w:id="99"/>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00" w:name="field_49_mintredeemscale_3"/>
      <w:r>
        <w:rPr>
          <w:sz w:val="21"/>
          <w:szCs w:val="21"/>
        </w:rPr>
        <w:t>10</w:t>
      </w:r>
      <w:bookmarkEnd w:id="100"/>
      <w:r>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 </w:t>
      </w:r>
    </w:p>
    <w:p>
      <w:pPr>
        <w:pStyle w:val="7"/>
        <w:spacing w:before="0" w:beforeAutospacing="0" w:after="0" w:afterAutospacing="0" w:line="360" w:lineRule="auto"/>
        <w:ind w:firstLine="420"/>
        <w:rPr>
          <w:sz w:val="21"/>
          <w:szCs w:val="21"/>
        </w:rPr>
      </w:pPr>
      <w:r>
        <w:rPr>
          <w:rFonts w:hint="eastAsia"/>
          <w:sz w:val="21"/>
          <w:szCs w:val="21"/>
        </w:rPr>
        <w:t xml:space="preserve">（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并以下一开放日的该类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pPr>
        <w:pStyle w:val="7"/>
        <w:spacing w:before="0" w:beforeAutospacing="0" w:after="0" w:afterAutospacing="0" w:line="360" w:lineRule="auto"/>
        <w:ind w:firstLine="420"/>
        <w:rPr>
          <w:sz w:val="21"/>
          <w:szCs w:val="21"/>
        </w:rPr>
      </w:pPr>
      <w:r>
        <w:rPr>
          <w:rFonts w:hint="eastAsia"/>
          <w:sz w:val="21"/>
          <w:szCs w:val="21"/>
        </w:rPr>
        <w:t xml:space="preserve">3、巨额赎回的公告 </w:t>
      </w:r>
    </w:p>
    <w:p>
      <w:pPr>
        <w:pStyle w:val="7"/>
        <w:spacing w:before="0" w:beforeAutospacing="0" w:after="0" w:afterAutospacing="0" w:line="360" w:lineRule="auto"/>
        <w:ind w:firstLine="420"/>
        <w:rPr>
          <w:sz w:val="21"/>
          <w:szCs w:val="21"/>
        </w:rPr>
      </w:pPr>
      <w:r>
        <w:rPr>
          <w:rFonts w:hint="eastAsia"/>
          <w:sz w:val="21"/>
          <w:szCs w:val="21"/>
        </w:rPr>
        <w:t xml:space="preserve">当发生上述延期赎回并延期办理时，基金管理人应当通过邮寄、传真或者招募说明书规定的其他方式在3个交易日内通知基金份额持有人，说明有关处理方法，并在2日内在指定媒介上刊登公告。 </w:t>
      </w:r>
    </w:p>
    <w:p>
      <w:pPr>
        <w:pStyle w:val="7"/>
        <w:spacing w:before="0" w:beforeAutospacing="0" w:after="0" w:afterAutospacing="0" w:line="360" w:lineRule="auto"/>
        <w:ind w:firstLine="420"/>
        <w:rPr>
          <w:sz w:val="21"/>
          <w:szCs w:val="21"/>
        </w:rPr>
      </w:pPr>
      <w:r>
        <w:rPr>
          <w:rStyle w:val="11"/>
          <w:rFonts w:hint="eastAsia"/>
          <w:sz w:val="21"/>
          <w:szCs w:val="21"/>
        </w:rPr>
        <w:t>十二、暂停申购或赎回的公告和重新开放申购或赎回的公告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pPr>
        <w:pStyle w:val="7"/>
        <w:spacing w:before="0" w:beforeAutospacing="0" w:after="0" w:afterAutospacing="0" w:line="360" w:lineRule="auto"/>
        <w:ind w:firstLine="420"/>
        <w:rPr>
          <w:sz w:val="21"/>
          <w:szCs w:val="21"/>
        </w:rPr>
      </w:pPr>
      <w:r>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pPr>
        <w:pStyle w:val="7"/>
        <w:spacing w:before="0" w:beforeAutospacing="0" w:after="0" w:afterAutospacing="0" w:line="360" w:lineRule="auto"/>
        <w:ind w:firstLine="420"/>
        <w:rPr>
          <w:sz w:val="21"/>
          <w:szCs w:val="21"/>
        </w:rPr>
      </w:pPr>
      <w:r>
        <w:rPr>
          <w:rFonts w:hint="eastAsia"/>
          <w:sz w:val="21"/>
          <w:szCs w:val="21"/>
        </w:rPr>
        <w:t>3、上述暂停申购或赎回情况消除的，基金管理人应于重新开放日公布最近1个工作日</w:t>
      </w:r>
      <w:bookmarkStart w:id="101" w:name="chapter_level1_10_59_section_3_end"/>
      <w:bookmarkEnd w:id="101"/>
      <w:r>
        <w:rPr>
          <w:rFonts w:hint="eastAsia"/>
          <w:sz w:val="21"/>
          <w:szCs w:val="21"/>
        </w:rPr>
        <w:t xml:space="preserve">各类基金份额净值。 </w:t>
      </w:r>
    </w:p>
    <w:p>
      <w:pPr>
        <w:pStyle w:val="7"/>
        <w:spacing w:before="0" w:beforeAutospacing="0" w:after="0" w:afterAutospacing="0" w:line="360" w:lineRule="auto"/>
        <w:ind w:firstLine="420"/>
        <w:rPr>
          <w:sz w:val="21"/>
          <w:szCs w:val="21"/>
        </w:rPr>
      </w:pPr>
      <w:bookmarkStart w:id="102" w:name="chapter_level1_10_59_section_4"/>
      <w:bookmarkEnd w:id="102"/>
      <w:r>
        <w:rPr>
          <w:rStyle w:val="11"/>
          <w:rFonts w:hint="eastAsia"/>
          <w:sz w:val="21"/>
          <w:szCs w:val="21"/>
        </w:rPr>
        <w:t>十三、基金转换</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本基金A类基金份额已于2017年8月2日开放日常转换业务，本基金C类基金份额于2021年2月24日开放日常转换业务。   </w:t>
      </w:r>
    </w:p>
    <w:p>
      <w:pPr>
        <w:pStyle w:val="7"/>
        <w:spacing w:before="0" w:beforeAutospacing="0" w:after="0" w:afterAutospacing="0" w:line="360" w:lineRule="auto"/>
        <w:ind w:firstLine="420"/>
        <w:rPr>
          <w:sz w:val="21"/>
          <w:szCs w:val="21"/>
        </w:rPr>
      </w:pPr>
      <w:r>
        <w:rPr>
          <w:rFonts w:hint="eastAsia"/>
          <w:sz w:val="21"/>
          <w:szCs w:val="21"/>
        </w:rPr>
        <w:t xml:space="preserve">1、转换费用 </w:t>
      </w:r>
    </w:p>
    <w:p>
      <w:pPr>
        <w:pStyle w:val="7"/>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pPr>
        <w:pStyle w:val="7"/>
        <w:spacing w:before="0" w:beforeAutospacing="0" w:after="0" w:afterAutospacing="0" w:line="360" w:lineRule="auto"/>
        <w:ind w:firstLine="420"/>
        <w:rPr>
          <w:sz w:val="21"/>
          <w:szCs w:val="21"/>
        </w:rPr>
      </w:pPr>
      <w:r>
        <w:rPr>
          <w:rFonts w:hint="eastAsia"/>
          <w:sz w:val="21"/>
          <w:szCs w:val="21"/>
        </w:rPr>
        <w:t xml:space="preserve">2、业务规则 </w:t>
      </w:r>
    </w:p>
    <w:p>
      <w:pPr>
        <w:pStyle w:val="7"/>
        <w:spacing w:before="0" w:beforeAutospacing="0" w:after="0" w:afterAutospacing="0" w:line="360" w:lineRule="auto"/>
        <w:ind w:firstLine="420"/>
        <w:rPr>
          <w:sz w:val="21"/>
          <w:szCs w:val="21"/>
        </w:rPr>
      </w:pPr>
      <w:r>
        <w:rPr>
          <w:rFonts w:hint="eastAsia"/>
          <w:sz w:val="21"/>
          <w:szCs w:val="21"/>
        </w:rPr>
        <w:t xml:space="preserve">（1）基金转换只能在同一销售机构进行。转换的两只基金必须都是该销售机构代理的同一基金管理人管理的、在同一注册登记机构处注册登记的基金。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7"/>
        <w:spacing w:before="0" w:beforeAutospacing="0" w:after="0" w:afterAutospacing="0" w:line="360" w:lineRule="auto"/>
        <w:ind w:firstLine="420"/>
        <w:rPr>
          <w:sz w:val="21"/>
          <w:szCs w:val="21"/>
        </w:rPr>
      </w:pPr>
      <w:r>
        <w:rPr>
          <w:rFonts w:hint="eastAsia"/>
          <w:sz w:val="21"/>
          <w:szCs w:val="21"/>
        </w:rPr>
        <w:t xml:space="preserve">（3）基金转换的目标基金份额按新交易计算持有时间。基金转出视为赎回，转入视为申购。基金转换后可赎回的时间为T＋2日。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（4）基金分红时再投资的份额可在权益登记日的T＋2日提交基金转换申请。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（5）基金转换以申请当日基金份额净值为基础计算。投资者采用“份额转换”的原则提交申请。转出基金份额必须是可用份额，并遵循“先进先出”的原则。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3、暂停基金转换的情形及处理 </w:t>
      </w:r>
    </w:p>
    <w:p>
      <w:pPr>
        <w:pStyle w:val="7"/>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基金转换视同为转出基金的赎回和转入基金的申购，因此有关转出基金和转入基金暂停或拒绝申购、暂停赎回的有关规定适用于基金转换。 </w:t>
      </w:r>
    </w:p>
    <w:p>
      <w:pPr>
        <w:pStyle w:val="7"/>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（1）本基金转换业务适用于可以销售包括</w:t>
      </w:r>
      <w:bookmarkStart w:id="103" w:name="field_0_productfullname_11"/>
      <w:r>
        <w:rPr>
          <w:rFonts w:hint="eastAsia"/>
          <w:sz w:val="21"/>
          <w:szCs w:val="21"/>
        </w:rPr>
        <w:t>博时军工主题股票型证券投资基金</w:t>
      </w:r>
      <w:bookmarkEnd w:id="103"/>
      <w:r>
        <w:rPr>
          <w:rFonts w:hint="eastAsia"/>
          <w:sz w:val="21"/>
          <w:szCs w:val="21"/>
        </w:rPr>
        <w:t xml:space="preserve">在内的两只以上（含两只），且基金注册登记机构为同一机构的博时旗下基金的销售机构。 </w:t>
      </w:r>
    </w:p>
    <w:p>
      <w:pPr>
        <w:pStyle w:val="7"/>
        <w:spacing w:before="0" w:beforeAutospacing="0" w:after="0" w:afterAutospacing="0" w:line="360" w:lineRule="auto"/>
        <w:ind w:firstLine="420"/>
        <w:rPr>
          <w:sz w:val="21"/>
          <w:szCs w:val="21"/>
        </w:rPr>
      </w:pPr>
      <w:r>
        <w:rPr>
          <w:rFonts w:hint="eastAsia"/>
          <w:sz w:val="21"/>
          <w:szCs w:val="21"/>
        </w:rPr>
        <w:t>（2）转换业务的收费计算公式及举例参见2010年3月16日刊登于本公司网站的《</w:t>
      </w:r>
      <w:bookmarkStart w:id="104" w:name="field_0_managerorgfullname_6"/>
      <w:r>
        <w:rPr>
          <w:rFonts w:hint="eastAsia"/>
          <w:sz w:val="21"/>
          <w:szCs w:val="21"/>
        </w:rPr>
        <w:t>博时基金管理有限公司</w:t>
      </w:r>
      <w:bookmarkEnd w:id="104"/>
      <w:r>
        <w:rPr>
          <w:rFonts w:hint="eastAsia"/>
          <w:sz w:val="21"/>
          <w:szCs w:val="21"/>
        </w:rPr>
        <w:t xml:space="preserve">关于旗下开放式基金转换业务的公告》。 </w:t>
      </w:r>
    </w:p>
    <w:p>
      <w:pPr>
        <w:pStyle w:val="7"/>
        <w:spacing w:before="0" w:beforeAutospacing="0" w:after="0" w:afterAutospacing="0" w:line="360" w:lineRule="auto"/>
        <w:ind w:firstLine="420"/>
        <w:rPr>
          <w:sz w:val="21"/>
          <w:szCs w:val="21"/>
        </w:rPr>
      </w:pPr>
      <w:bookmarkStart w:id="105" w:name="chapter_level1_10_59_section_4_end"/>
      <w:bookmarkEnd w:id="105"/>
      <w:r>
        <w:rPr>
          <w:rFonts w:hint="eastAsia"/>
          <w:sz w:val="21"/>
          <w:szCs w:val="21"/>
        </w:rPr>
        <w:t xml:space="preserve">（3）本公司管理基金的转换业务的解释权归本公司。 </w:t>
      </w:r>
    </w:p>
    <w:p>
      <w:pPr>
        <w:pStyle w:val="7"/>
        <w:spacing w:before="0" w:beforeAutospacing="0" w:after="0" w:afterAutospacing="0" w:line="360" w:lineRule="auto"/>
        <w:ind w:firstLine="420"/>
        <w:rPr>
          <w:sz w:val="21"/>
          <w:szCs w:val="21"/>
        </w:rPr>
      </w:pPr>
      <w:bookmarkStart w:id="106" w:name="chapter_level1_10_59_section_5"/>
      <w:bookmarkEnd w:id="106"/>
      <w:r>
        <w:rPr>
          <w:rStyle w:val="11"/>
          <w:rFonts w:hint="eastAsia"/>
          <w:sz w:val="21"/>
          <w:szCs w:val="21"/>
        </w:rPr>
        <w:t>十四、基金份额的转让</w:t>
      </w:r>
    </w:p>
    <w:p>
      <w:pPr>
        <w:pStyle w:val="7"/>
        <w:spacing w:before="0" w:beforeAutospacing="0" w:after="0" w:afterAutospacing="0" w:line="360" w:lineRule="auto"/>
        <w:ind w:firstLine="420"/>
        <w:rPr>
          <w:sz w:val="21"/>
          <w:szCs w:val="21"/>
        </w:rPr>
      </w:pPr>
      <w:r>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pPr>
        <w:pStyle w:val="7"/>
        <w:spacing w:before="0" w:beforeAutospacing="0" w:after="0" w:afterAutospacing="0" w:line="360" w:lineRule="auto"/>
        <w:ind w:firstLine="420"/>
        <w:rPr>
          <w:sz w:val="21"/>
          <w:szCs w:val="21"/>
        </w:rPr>
      </w:pPr>
      <w:r>
        <w:rPr>
          <w:rStyle w:val="11"/>
          <w:rFonts w:hint="eastAsia"/>
          <w:sz w:val="21"/>
          <w:szCs w:val="21"/>
        </w:rPr>
        <w:t>十五、基金的非交易过户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十六、基金的转托管</w:t>
      </w:r>
    </w:p>
    <w:p>
      <w:pPr>
        <w:pStyle w:val="7"/>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07" w:name="chapter_level1_10_59_section_5_end"/>
      <w:bookmarkEnd w:id="107"/>
      <w:r>
        <w:rPr>
          <w:rFonts w:hint="eastAsia"/>
          <w:sz w:val="21"/>
          <w:szCs w:val="21"/>
        </w:rPr>
        <w:t xml:space="preserve">以按照规定的标准收取转托管费。 </w:t>
      </w:r>
    </w:p>
    <w:p>
      <w:pPr>
        <w:pStyle w:val="7"/>
        <w:spacing w:before="0" w:beforeAutospacing="0" w:after="0" w:afterAutospacing="0" w:line="360" w:lineRule="auto"/>
        <w:ind w:firstLine="420"/>
        <w:rPr>
          <w:sz w:val="21"/>
          <w:szCs w:val="21"/>
        </w:rPr>
      </w:pPr>
      <w:bookmarkStart w:id="108" w:name="chapter_level1_10_59_section_6"/>
      <w:bookmarkEnd w:id="108"/>
      <w:r>
        <w:rPr>
          <w:rStyle w:val="11"/>
          <w:rFonts w:hint="eastAsia"/>
          <w:sz w:val="21"/>
          <w:szCs w:val="21"/>
        </w:rPr>
        <w:t>十七、定期定额投资计划</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本基金A类基金份额已于2017年8月2日开通定期定额投资业务，本基金C类基金份额于2021年2月24日开通定期定额投资业务。  </w:t>
      </w:r>
    </w:p>
    <w:p>
      <w:pPr>
        <w:pStyle w:val="7"/>
        <w:spacing w:before="0" w:beforeAutospacing="0" w:after="0" w:afterAutospacing="0" w:line="360" w:lineRule="auto"/>
        <w:ind w:firstLine="420"/>
        <w:rPr>
          <w:sz w:val="21"/>
          <w:szCs w:val="21"/>
        </w:rPr>
      </w:pPr>
      <w:r>
        <w:rPr>
          <w:rFonts w:hint="eastAsia"/>
          <w:sz w:val="21"/>
          <w:szCs w:val="21"/>
        </w:rPr>
        <w:t xml:space="preserve">1、适用投资者范围 </w:t>
      </w:r>
    </w:p>
    <w:p>
      <w:pPr>
        <w:pStyle w:val="7"/>
        <w:spacing w:before="0" w:beforeAutospacing="0" w:after="0" w:afterAutospacing="0" w:line="360" w:lineRule="auto"/>
        <w:ind w:firstLine="420"/>
        <w:rPr>
          <w:sz w:val="21"/>
          <w:szCs w:val="21"/>
        </w:rPr>
      </w:pPr>
      <w:r>
        <w:rPr>
          <w:rFonts w:hint="eastAsia"/>
          <w:sz w:val="21"/>
          <w:szCs w:val="21"/>
        </w:rPr>
        <w:t xml:space="preserve">个人投资者、机构投资者、合格境外机构投资者以及法律法规或中国证监会规定允许购买证券投资基金的其他投资者。 </w:t>
      </w:r>
    </w:p>
    <w:p>
      <w:pPr>
        <w:pStyle w:val="7"/>
        <w:spacing w:before="0" w:beforeAutospacing="0" w:after="0" w:afterAutospacing="0" w:line="360" w:lineRule="auto"/>
        <w:ind w:firstLine="420"/>
        <w:rPr>
          <w:sz w:val="21"/>
          <w:szCs w:val="21"/>
        </w:rPr>
      </w:pPr>
      <w:r>
        <w:rPr>
          <w:rFonts w:hint="eastAsia"/>
          <w:sz w:val="21"/>
          <w:szCs w:val="21"/>
        </w:rPr>
        <w:t xml:space="preserve">2、申购费率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本基金A类基金份额定期定额投资的申购费率与普通申购业务的费率相同。 </w:t>
      </w:r>
    </w:p>
    <w:p>
      <w:pPr>
        <w:pStyle w:val="7"/>
        <w:spacing w:before="0" w:beforeAutospacing="0" w:after="0" w:afterAutospacing="0" w:line="360" w:lineRule="auto"/>
        <w:ind w:firstLine="420"/>
        <w:rPr>
          <w:sz w:val="21"/>
          <w:szCs w:val="21"/>
        </w:rPr>
      </w:pPr>
      <w:r>
        <w:rPr>
          <w:rFonts w:hint="eastAsia"/>
          <w:sz w:val="21"/>
          <w:szCs w:val="21"/>
        </w:rPr>
        <w:t xml:space="preserve">表：本基金的申购费率结构表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3"/>
        <w:gridCol w:w="3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A类基金份额的申购费率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M＜50万元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50万元≤ M＜100万元 </w:t>
            </w:r>
          </w:p>
        </w:tc>
        <w:tc>
          <w:tcPr>
            <w:tcW w:w="0" w:type="auto"/>
            <w:shd w:val="clear" w:color="auto" w:fill="auto"/>
          </w:tcPr>
          <w:p>
            <w:pPr>
              <w:pStyle w:val="7"/>
            </w:pPr>
            <w:r>
              <w:rPr>
                <w:rFonts w:hint="eastAsia"/>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100万元≤ M＜500万元 </w:t>
            </w:r>
          </w:p>
        </w:tc>
        <w:tc>
          <w:tcPr>
            <w:tcW w:w="0" w:type="auto"/>
            <w:shd w:val="clear" w:color="auto" w:fill="auto"/>
          </w:tcPr>
          <w:p>
            <w:pPr>
              <w:pStyle w:val="7"/>
            </w:pPr>
            <w:r>
              <w:rPr>
                <w:rFonts w:hint="eastAsia"/>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 500万元 </w:t>
            </w:r>
          </w:p>
        </w:tc>
        <w:tc>
          <w:tcPr>
            <w:tcW w:w="0" w:type="auto"/>
            <w:shd w:val="clear" w:color="auto" w:fill="auto"/>
          </w:tcPr>
          <w:p>
            <w:pPr>
              <w:pStyle w:val="7"/>
            </w:pPr>
            <w:r>
              <w:rPr>
                <w:rFonts w:hint="eastAsia"/>
              </w:rPr>
              <w:t xml:space="preserve">1000元/笔 </w:t>
            </w:r>
          </w:p>
        </w:tc>
      </w:tr>
    </w:tbl>
    <w:p>
      <w:pPr>
        <w:pStyle w:val="7"/>
        <w:spacing w:before="0" w:beforeAutospacing="0" w:after="0" w:afterAutospacing="0" w:line="360" w:lineRule="auto"/>
        <w:ind w:firstLine="420"/>
        <w:rPr>
          <w:sz w:val="21"/>
          <w:szCs w:val="21"/>
        </w:rPr>
      </w:pPr>
      <w:r>
        <w:rPr>
          <w:rFonts w:hint="eastAsia"/>
          <w:sz w:val="21"/>
          <w:szCs w:val="21"/>
        </w:rPr>
        <w:t xml:space="preserve">来源：博时基金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本基金A类基金份额的申购费用由投资人承担，主要用于本基金的市场推广、销售、登记等各项费用，不列入基金财产。本基金C类基金份额不收取申购费。  </w:t>
      </w:r>
    </w:p>
    <w:p>
      <w:pPr>
        <w:pStyle w:val="7"/>
        <w:spacing w:before="0" w:beforeAutospacing="0" w:after="0" w:afterAutospacing="0" w:line="360" w:lineRule="auto"/>
        <w:ind w:firstLine="420"/>
        <w:rPr>
          <w:sz w:val="21"/>
          <w:szCs w:val="21"/>
        </w:rPr>
      </w:pPr>
      <w:r>
        <w:rPr>
          <w:rFonts w:hint="eastAsia"/>
          <w:sz w:val="21"/>
          <w:szCs w:val="21"/>
        </w:rPr>
        <w:t xml:space="preserve">3、扣款日期和扣款金额 </w:t>
      </w:r>
    </w:p>
    <w:p>
      <w:pPr>
        <w:pStyle w:val="7"/>
        <w:spacing w:before="0" w:beforeAutospacing="0" w:after="0" w:afterAutospacing="0" w:line="360" w:lineRule="auto"/>
        <w:ind w:firstLine="420"/>
        <w:rPr>
          <w:sz w:val="21"/>
          <w:szCs w:val="21"/>
        </w:rPr>
      </w:pPr>
      <w:r>
        <w:rPr>
          <w:rFonts w:hint="eastAsia"/>
          <w:sz w:val="21"/>
          <w:szCs w:val="21"/>
        </w:rPr>
        <w:t xml:space="preserve">投资者须遵循各销售机构有关扣款日期的规定，定投金额每次不少于人民币10元（含10元）。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w:t>
      </w:r>
      <w:bookmarkStart w:id="109" w:name="chapter_level1_10_59_section_6_end"/>
      <w:bookmarkEnd w:id="109"/>
      <w:r>
        <w:rPr>
          <w:rFonts w:hint="eastAsia"/>
          <w:sz w:val="21"/>
          <w:szCs w:val="21"/>
        </w:rPr>
        <w:t xml:space="preserve">额将在确认成功后直接计入投资者的基金账户。 </w:t>
      </w:r>
    </w:p>
    <w:p>
      <w:pPr>
        <w:pStyle w:val="7"/>
        <w:spacing w:before="0" w:beforeAutospacing="0" w:after="0" w:afterAutospacing="0" w:line="360" w:lineRule="auto"/>
        <w:ind w:firstLine="420"/>
        <w:rPr>
          <w:sz w:val="21"/>
          <w:szCs w:val="21"/>
        </w:rPr>
      </w:pPr>
      <w:bookmarkStart w:id="110" w:name="chapter_level1_10_59_section_7"/>
      <w:bookmarkEnd w:id="110"/>
      <w:r>
        <w:rPr>
          <w:rStyle w:val="11"/>
          <w:rFonts w:hint="eastAsia"/>
          <w:sz w:val="21"/>
          <w:szCs w:val="21"/>
        </w:rPr>
        <w:t>十八、基金份额的冻结和解冻与质押</w:t>
      </w:r>
    </w:p>
    <w:p>
      <w:pPr>
        <w:pStyle w:val="7"/>
        <w:spacing w:before="0" w:beforeAutospacing="0" w:after="0" w:afterAutospacing="0" w:line="360" w:lineRule="auto"/>
        <w:ind w:firstLine="420"/>
        <w:rPr>
          <w:sz w:val="21"/>
          <w:szCs w:val="21"/>
        </w:rPr>
      </w:pPr>
      <w:r>
        <w:rPr>
          <w:rFonts w:hint="eastAsia"/>
          <w:sz w:val="21"/>
          <w:szCs w:val="21"/>
        </w:rPr>
        <w:t xml:space="preserve">基金登记机构只受理国家有权机关依法要求的基金份额的冻结与解冻，以及登记机构认可、符合法律法规的其他情况下的冻结与解冻。 </w:t>
      </w:r>
    </w:p>
    <w:p>
      <w:pPr>
        <w:pStyle w:val="7"/>
        <w:spacing w:before="0" w:beforeAutospacing="0" w:after="0" w:afterAutospacing="0" w:line="360" w:lineRule="auto"/>
        <w:ind w:firstLine="420"/>
        <w:rPr>
          <w:sz w:val="21"/>
          <w:szCs w:val="21"/>
        </w:rPr>
      </w:pPr>
      <w:r>
        <w:rPr>
          <w:rFonts w:hint="eastAsia"/>
          <w:sz w:val="21"/>
          <w:szCs w:val="21"/>
        </w:rPr>
        <w:t>如相关法律法规允许基金管理人办理基金份额的质押业务或其他基金业务，基金管理人</w:t>
      </w:r>
      <w:bookmarkStart w:id="111" w:name="chapter_level1_10_59_section_7_end"/>
      <w:bookmarkEnd w:id="111"/>
      <w:r>
        <w:rPr>
          <w:rFonts w:hint="eastAsia"/>
          <w:sz w:val="21"/>
          <w:szCs w:val="21"/>
        </w:rPr>
        <w:t xml:space="preserve">将制定和实施相应的业务规则。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2" w:name="_Toc113560419"/>
      <w:bookmarkStart w:id="113" w:name="chapter_level1_11_60"/>
      <w:r>
        <w:rPr>
          <w:rFonts w:hint="eastAsia" w:ascii="宋体" w:hAnsi="宋体" w:eastAsia="宋体"/>
          <w:sz w:val="30"/>
        </w:rPr>
        <w:t>第八部分  基金的投资</w:t>
      </w:r>
      <w:bookmarkEnd w:id="112"/>
      <w:bookmarkEnd w:id="113"/>
    </w:p>
    <w:p>
      <w:pPr>
        <w:pStyle w:val="7"/>
        <w:spacing w:before="0" w:beforeAutospacing="0" w:after="0" w:afterAutospacing="0" w:line="360" w:lineRule="auto"/>
        <w:ind w:firstLine="420"/>
        <w:rPr>
          <w:sz w:val="21"/>
          <w:szCs w:val="21"/>
        </w:rPr>
      </w:pPr>
      <w:bookmarkStart w:id="114" w:name="chapter_level1_11_60_section_1"/>
      <w:bookmarkEnd w:id="114"/>
      <w:r>
        <w:rPr>
          <w:rStyle w:val="11"/>
          <w:rFonts w:hint="eastAsia"/>
          <w:sz w:val="21"/>
          <w:szCs w:val="21"/>
        </w:rPr>
        <w:t>一、投资目标</w:t>
      </w:r>
    </w:p>
    <w:p>
      <w:pPr>
        <w:pStyle w:val="7"/>
        <w:spacing w:before="0" w:beforeAutospacing="0" w:after="0" w:afterAutospacing="0" w:line="360" w:lineRule="auto"/>
        <w:ind w:firstLine="420"/>
        <w:rPr>
          <w:sz w:val="21"/>
          <w:szCs w:val="21"/>
        </w:rPr>
      </w:pPr>
      <w:bookmarkStart w:id="115" w:name="field_60_investmenttarget_1_start"/>
      <w:bookmarkEnd w:id="115"/>
      <w:r>
        <w:rPr>
          <w:rFonts w:hint="eastAsia"/>
          <w:sz w:val="21"/>
          <w:szCs w:val="21"/>
        </w:rPr>
        <w:t xml:space="preserve">本基金通过精选军工主题的优质上市公司进行投资，把握中国军工产业发展带来的投资机会，力求获得超越业绩比较基准的投资回报。  </w:t>
      </w:r>
      <w:bookmarkStart w:id="116" w:name="field_60_investmenttarget_1_end"/>
      <w:bookmarkEnd w:id="116"/>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二、投资范围</w:t>
      </w:r>
    </w:p>
    <w:p>
      <w:pPr>
        <w:pStyle w:val="7"/>
        <w:spacing w:before="0" w:beforeAutospacing="0" w:after="0" w:afterAutospacing="0" w:line="360" w:lineRule="auto"/>
        <w:ind w:firstLine="420"/>
        <w:rPr>
          <w:sz w:val="21"/>
          <w:szCs w:val="21"/>
        </w:rPr>
      </w:pPr>
      <w:bookmarkStart w:id="117" w:name="field_60_investmentrange_1_start"/>
      <w:bookmarkEnd w:id="117"/>
      <w:r>
        <w:rPr>
          <w:rFonts w:hint="eastAsia"/>
          <w:sz w:val="21"/>
          <w:szCs w:val="21"/>
        </w:rPr>
        <w:t xml:space="preserve">本基金的投资对象是具有良好流动性的金融工具，包括国内依法发行上市的股票(包括中小板、创业板及其他经中国证监会核准上市的股票、存托凭证)、权证、股指期货等权益类金融工具，以及债券、资产支持证券等固定收益类金融工具及法律法规或中国证监会允许基金投资的其他金融工具(但须符合中国证监会的相关规定)。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本基金可参与融资业务。基金参与融资业务后，在任何交易日日终，基金持有的融资买入股票与其他有价证券市值之和，不得超过基金资产净值的95%。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股票资产（含存托凭证）占基金资产的80%-95%，其中投资于本基金所界定的军工主题证券的比例不低于非现金资产的80%；中小企业私募债占基金资产净值的比例不高于20%；每个交易日日终在扣除股指期货保证金以后，本基金保留的现金或者到期日在一年以内的政府债券不低于基金资产净值的5%，其中，现金不包括结算备付金、存出保证金、应收申购款等；权证投资占基金资产净值的0-3%。股指期货的投资比例依照法律法规或监管机构的规定执行。  </w:t>
      </w:r>
    </w:p>
    <w:p>
      <w:pPr>
        <w:pStyle w:val="7"/>
        <w:spacing w:before="0" w:beforeAutospacing="0" w:after="0" w:afterAutospacing="0" w:line="360" w:lineRule="auto"/>
        <w:ind w:firstLine="420"/>
        <w:rPr>
          <w:sz w:val="21"/>
          <w:szCs w:val="21"/>
        </w:rPr>
      </w:pPr>
      <w:r>
        <w:rPr>
          <w:rFonts w:hint="eastAsia"/>
          <w:sz w:val="21"/>
          <w:szCs w:val="21"/>
        </w:rPr>
        <w:t xml:space="preserve"> 如果法律法规或中国证监会变更投资品种的投资比例限制，基金管理人在履行适当程序后，可以调整上述投资品种的投资比例。  </w:t>
      </w:r>
      <w:bookmarkStart w:id="118" w:name="field_60_investmentrange_1_end"/>
      <w:bookmarkEnd w:id="118"/>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三、投资策略</w:t>
      </w:r>
    </w:p>
    <w:p>
      <w:pPr>
        <w:pStyle w:val="7"/>
        <w:spacing w:before="0" w:beforeAutospacing="0" w:after="0" w:afterAutospacing="0" w:line="360" w:lineRule="auto"/>
        <w:ind w:firstLine="420"/>
        <w:rPr>
          <w:sz w:val="21"/>
          <w:szCs w:val="21"/>
        </w:rPr>
      </w:pPr>
      <w:bookmarkStart w:id="119" w:name="field_60_investmentstrategy_1_start"/>
      <w:bookmarkEnd w:id="119"/>
      <w:r>
        <w:rPr>
          <w:rFonts w:hint="eastAsia"/>
          <w:sz w:val="21"/>
          <w:szCs w:val="21"/>
        </w:rPr>
        <w:t xml:space="preserve">（一）大类资产配置策略  </w:t>
      </w:r>
    </w:p>
    <w:p>
      <w:pPr>
        <w:pStyle w:val="7"/>
        <w:spacing w:before="0" w:beforeAutospacing="0" w:after="0" w:afterAutospacing="0" w:line="360" w:lineRule="auto"/>
        <w:ind w:firstLine="420"/>
        <w:rPr>
          <w:sz w:val="21"/>
          <w:szCs w:val="21"/>
        </w:rPr>
      </w:pPr>
      <w:r>
        <w:rPr>
          <w:rFonts w:hint="eastAsia"/>
          <w:sz w:val="21"/>
          <w:szCs w:val="21"/>
        </w:rPr>
        <w:t xml:space="preserve">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  </w:t>
      </w:r>
    </w:p>
    <w:p>
      <w:pPr>
        <w:pStyle w:val="7"/>
        <w:spacing w:before="0" w:beforeAutospacing="0" w:after="0" w:afterAutospacing="0" w:line="360" w:lineRule="auto"/>
        <w:ind w:firstLine="420"/>
        <w:rPr>
          <w:sz w:val="21"/>
          <w:szCs w:val="21"/>
        </w:rPr>
      </w:pPr>
      <w:r>
        <w:rPr>
          <w:rFonts w:hint="eastAsia"/>
          <w:sz w:val="21"/>
          <w:szCs w:val="21"/>
        </w:rPr>
        <w:t xml:space="preserve">（二）债券投资策略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本基金采用的债券投资策略包括：期限结构策略、信用策略、互换策略、息差策略、可转债策略等。  </w:t>
      </w:r>
    </w:p>
    <w:p>
      <w:pPr>
        <w:pStyle w:val="7"/>
        <w:spacing w:before="0" w:beforeAutospacing="0" w:after="0" w:afterAutospacing="0" w:line="360" w:lineRule="auto"/>
        <w:ind w:firstLine="420"/>
        <w:rPr>
          <w:sz w:val="21"/>
          <w:szCs w:val="21"/>
        </w:rPr>
      </w:pPr>
      <w:r>
        <w:rPr>
          <w:rFonts w:hint="eastAsia"/>
          <w:sz w:val="21"/>
          <w:szCs w:val="21"/>
        </w:rPr>
        <w:t xml:space="preserve">（三）股票投资策略  </w:t>
      </w:r>
    </w:p>
    <w:p>
      <w:pPr>
        <w:pStyle w:val="7"/>
        <w:spacing w:before="0" w:beforeAutospacing="0" w:after="0" w:afterAutospacing="0" w:line="360" w:lineRule="auto"/>
        <w:ind w:firstLine="420"/>
        <w:rPr>
          <w:sz w:val="21"/>
          <w:szCs w:val="21"/>
        </w:rPr>
      </w:pPr>
      <w:r>
        <w:rPr>
          <w:rFonts w:hint="eastAsia"/>
          <w:sz w:val="21"/>
          <w:szCs w:val="21"/>
        </w:rPr>
        <w:t xml:space="preserve">1、军工主题的界定  </w:t>
      </w:r>
    </w:p>
    <w:p>
      <w:pPr>
        <w:pStyle w:val="7"/>
        <w:spacing w:before="0" w:beforeAutospacing="0" w:after="0" w:afterAutospacing="0" w:line="360" w:lineRule="auto"/>
        <w:ind w:firstLine="420"/>
        <w:rPr>
          <w:sz w:val="21"/>
          <w:szCs w:val="21"/>
        </w:rPr>
      </w:pPr>
      <w:r>
        <w:rPr>
          <w:rFonts w:hint="eastAsia"/>
          <w:sz w:val="21"/>
          <w:szCs w:val="21"/>
        </w:rPr>
        <w:t xml:space="preserve">本基金管理人界定，军工主题包括：航天装备、航空装备及其他涉及国家战略安全的相关领域，具体如下：  </w:t>
      </w:r>
    </w:p>
    <w:p>
      <w:pPr>
        <w:pStyle w:val="7"/>
        <w:spacing w:before="0" w:beforeAutospacing="0" w:after="0" w:afterAutospacing="0" w:line="360" w:lineRule="auto"/>
        <w:ind w:firstLine="420"/>
        <w:rPr>
          <w:sz w:val="21"/>
          <w:szCs w:val="21"/>
        </w:rPr>
      </w:pPr>
      <w:r>
        <w:rPr>
          <w:rFonts w:hint="eastAsia"/>
          <w:sz w:val="21"/>
          <w:szCs w:val="21"/>
        </w:rPr>
        <w:t xml:space="preserve">1）航天装备：包括航天制造及发射、卫星导航及应用、导弹及战略武器等相关产业的个股；  </w:t>
      </w:r>
    </w:p>
    <w:p>
      <w:pPr>
        <w:pStyle w:val="7"/>
        <w:spacing w:before="0" w:beforeAutospacing="0" w:after="0" w:afterAutospacing="0" w:line="360" w:lineRule="auto"/>
        <w:ind w:firstLine="420"/>
        <w:rPr>
          <w:sz w:val="21"/>
          <w:szCs w:val="21"/>
        </w:rPr>
      </w:pPr>
      <w:r>
        <w:rPr>
          <w:rFonts w:hint="eastAsia"/>
          <w:sz w:val="21"/>
          <w:szCs w:val="21"/>
        </w:rPr>
        <w:t xml:space="preserve">2）航空装备：包括军用航空、通用航空、民用航空及大飞机、航空配件等相关产业的个股；  </w:t>
      </w:r>
    </w:p>
    <w:p>
      <w:pPr>
        <w:pStyle w:val="7"/>
        <w:spacing w:before="0" w:beforeAutospacing="0" w:after="0" w:afterAutospacing="0" w:line="360" w:lineRule="auto"/>
        <w:ind w:firstLine="420"/>
        <w:rPr>
          <w:sz w:val="21"/>
          <w:szCs w:val="21"/>
        </w:rPr>
      </w:pPr>
      <w:r>
        <w:rPr>
          <w:rFonts w:hint="eastAsia"/>
          <w:sz w:val="21"/>
          <w:szCs w:val="21"/>
        </w:rPr>
        <w:t xml:space="preserve">3）海洋装备：包括军用舰艇、海上安全及预警装备等相关产业的个股；  </w:t>
      </w:r>
    </w:p>
    <w:p>
      <w:pPr>
        <w:pStyle w:val="7"/>
        <w:spacing w:before="0" w:beforeAutospacing="0" w:after="0" w:afterAutospacing="0" w:line="360" w:lineRule="auto"/>
        <w:ind w:firstLine="420"/>
        <w:rPr>
          <w:sz w:val="21"/>
          <w:szCs w:val="21"/>
        </w:rPr>
      </w:pPr>
      <w:r>
        <w:rPr>
          <w:rFonts w:hint="eastAsia"/>
          <w:sz w:val="21"/>
          <w:szCs w:val="21"/>
        </w:rPr>
        <w:t xml:space="preserve">4）陆上装备：包括陆军机械化装备、单兵装备、配件及服务等相关产业个股；  </w:t>
      </w:r>
    </w:p>
    <w:p>
      <w:pPr>
        <w:pStyle w:val="7"/>
        <w:spacing w:before="0" w:beforeAutospacing="0" w:after="0" w:afterAutospacing="0" w:line="360" w:lineRule="auto"/>
        <w:ind w:firstLine="420"/>
        <w:rPr>
          <w:sz w:val="21"/>
          <w:szCs w:val="21"/>
        </w:rPr>
      </w:pPr>
      <w:r>
        <w:rPr>
          <w:rFonts w:hint="eastAsia"/>
          <w:sz w:val="21"/>
          <w:szCs w:val="21"/>
        </w:rPr>
        <w:t xml:space="preserve">5）电子信息安全：包括电子电气设备、网络安全、通信安全等相关产业个股；  </w:t>
      </w:r>
    </w:p>
    <w:p>
      <w:pPr>
        <w:pStyle w:val="7"/>
        <w:spacing w:before="0" w:beforeAutospacing="0" w:after="0" w:afterAutospacing="0" w:line="360" w:lineRule="auto"/>
        <w:ind w:firstLine="420"/>
        <w:rPr>
          <w:sz w:val="21"/>
          <w:szCs w:val="21"/>
        </w:rPr>
      </w:pPr>
      <w:r>
        <w:rPr>
          <w:rFonts w:hint="eastAsia"/>
          <w:sz w:val="21"/>
          <w:szCs w:val="21"/>
        </w:rPr>
        <w:t xml:space="preserve">6）新材料：包括军工新材料，核心高端基础材料等相关产业个股；  </w:t>
      </w:r>
    </w:p>
    <w:p>
      <w:pPr>
        <w:pStyle w:val="7"/>
        <w:spacing w:before="0" w:beforeAutospacing="0" w:after="0" w:afterAutospacing="0" w:line="360" w:lineRule="auto"/>
        <w:ind w:firstLine="420"/>
        <w:rPr>
          <w:sz w:val="21"/>
          <w:szCs w:val="21"/>
        </w:rPr>
      </w:pPr>
      <w:r>
        <w:rPr>
          <w:rFonts w:hint="eastAsia"/>
          <w:sz w:val="21"/>
          <w:szCs w:val="21"/>
        </w:rPr>
        <w:t xml:space="preserve">7）民参军主题：包括各类有潜力从民用产品进入军用产品的相关产业个股。  </w:t>
      </w:r>
    </w:p>
    <w:p>
      <w:pPr>
        <w:pStyle w:val="7"/>
        <w:spacing w:before="0" w:beforeAutospacing="0" w:after="0" w:afterAutospacing="0" w:line="360" w:lineRule="auto"/>
        <w:ind w:firstLine="420"/>
        <w:rPr>
          <w:sz w:val="21"/>
          <w:szCs w:val="21"/>
        </w:rPr>
      </w:pPr>
      <w:r>
        <w:rPr>
          <w:rFonts w:hint="eastAsia"/>
          <w:sz w:val="21"/>
          <w:szCs w:val="21"/>
        </w:rPr>
        <w:t xml:space="preserve">8）其他安全：其他涉及国家战略安全的领域。  </w:t>
      </w:r>
    </w:p>
    <w:p>
      <w:pPr>
        <w:pStyle w:val="7"/>
        <w:spacing w:before="0" w:beforeAutospacing="0" w:after="0" w:afterAutospacing="0" w:line="360" w:lineRule="auto"/>
        <w:ind w:firstLine="420"/>
        <w:rPr>
          <w:sz w:val="21"/>
          <w:szCs w:val="21"/>
        </w:rPr>
      </w:pPr>
      <w:r>
        <w:rPr>
          <w:rFonts w:hint="eastAsia"/>
          <w:sz w:val="21"/>
          <w:szCs w:val="21"/>
        </w:rPr>
        <w:t xml:space="preserve">对于以上领域界定之外的其他行业，如果其中某些细分行业符合军工主题的定义，本基金也可以酌情将其纳入军工主题的范围。  </w:t>
      </w:r>
    </w:p>
    <w:p>
      <w:pPr>
        <w:pStyle w:val="7"/>
        <w:spacing w:before="0" w:beforeAutospacing="0" w:after="0" w:afterAutospacing="0" w:line="360" w:lineRule="auto"/>
        <w:ind w:firstLine="420"/>
        <w:rPr>
          <w:sz w:val="21"/>
          <w:szCs w:val="21"/>
        </w:rPr>
      </w:pPr>
      <w:r>
        <w:rPr>
          <w:rFonts w:hint="eastAsia"/>
          <w:sz w:val="21"/>
          <w:szCs w:val="21"/>
        </w:rPr>
        <w:t xml:space="preserve">2、股票筛选策略  </w:t>
      </w:r>
    </w:p>
    <w:p>
      <w:pPr>
        <w:pStyle w:val="7"/>
        <w:spacing w:before="0" w:beforeAutospacing="0" w:after="0" w:afterAutospacing="0" w:line="360" w:lineRule="auto"/>
        <w:ind w:firstLine="420"/>
        <w:rPr>
          <w:sz w:val="21"/>
          <w:szCs w:val="21"/>
        </w:rPr>
      </w:pPr>
      <w:r>
        <w:rPr>
          <w:rFonts w:hint="eastAsia"/>
          <w:sz w:val="21"/>
          <w:szCs w:val="21"/>
        </w:rPr>
        <w:t xml:space="preserve">本基金对于以上方向领域所界定行业的上市公司，通过公司基本状况分析、股票估值分析进行个股精选。  </w:t>
      </w:r>
    </w:p>
    <w:p>
      <w:pPr>
        <w:pStyle w:val="7"/>
        <w:spacing w:before="0" w:beforeAutospacing="0" w:after="0" w:afterAutospacing="0" w:line="360" w:lineRule="auto"/>
        <w:ind w:firstLine="420"/>
        <w:rPr>
          <w:sz w:val="21"/>
          <w:szCs w:val="21"/>
        </w:rPr>
      </w:pPr>
      <w:r>
        <w:rPr>
          <w:rFonts w:hint="eastAsia"/>
          <w:sz w:val="21"/>
          <w:szCs w:val="21"/>
        </w:rPr>
        <w:t xml:space="preserve">1) 公司基本状况分析  </w:t>
      </w:r>
    </w:p>
    <w:p>
      <w:pPr>
        <w:pStyle w:val="7"/>
        <w:spacing w:before="0" w:beforeAutospacing="0" w:after="0" w:afterAutospacing="0" w:line="360" w:lineRule="auto"/>
        <w:ind w:firstLine="420"/>
        <w:rPr>
          <w:sz w:val="21"/>
          <w:szCs w:val="21"/>
        </w:rPr>
      </w:pPr>
      <w:r>
        <w:rPr>
          <w:rFonts w:hint="eastAsia"/>
          <w:sz w:val="21"/>
          <w:szCs w:val="21"/>
        </w:rPr>
        <w:t xml:space="preserve">A．经营状况分析  </w:t>
      </w:r>
    </w:p>
    <w:p>
      <w:pPr>
        <w:pStyle w:val="7"/>
        <w:spacing w:before="0" w:beforeAutospacing="0" w:after="0" w:afterAutospacing="0" w:line="360" w:lineRule="auto"/>
        <w:ind w:firstLine="420"/>
        <w:rPr>
          <w:sz w:val="21"/>
          <w:szCs w:val="21"/>
        </w:rPr>
      </w:pPr>
      <w:r>
        <w:rPr>
          <w:rFonts w:hint="eastAsia"/>
          <w:sz w:val="21"/>
          <w:szCs w:val="21"/>
        </w:rPr>
        <w:t xml:space="preserve">将重点关注：国家投入力度、成长空间、业绩成长性、技术密集、附加值、资产整合空间等因素，主要通过分析公司的研发能力、产品线发展空间、经营模式、公司治理、行业整合等多方面的运营管理能力，寻找确定性最大、能充分受益于未来军工黄金发展期的个股，构建投资股票池。  </w:t>
      </w:r>
    </w:p>
    <w:p>
      <w:pPr>
        <w:pStyle w:val="7"/>
        <w:spacing w:before="0" w:beforeAutospacing="0" w:after="0" w:afterAutospacing="0" w:line="360" w:lineRule="auto"/>
        <w:ind w:firstLine="420"/>
        <w:rPr>
          <w:sz w:val="21"/>
          <w:szCs w:val="21"/>
        </w:rPr>
      </w:pPr>
      <w:r>
        <w:rPr>
          <w:rFonts w:hint="eastAsia"/>
          <w:sz w:val="21"/>
          <w:szCs w:val="21"/>
        </w:rPr>
        <w:t xml:space="preserve">B．财务状况分析  </w:t>
      </w:r>
    </w:p>
    <w:p>
      <w:pPr>
        <w:pStyle w:val="7"/>
        <w:spacing w:before="0" w:beforeAutospacing="0" w:after="0" w:afterAutospacing="0" w:line="360" w:lineRule="auto"/>
        <w:ind w:firstLine="420"/>
        <w:rPr>
          <w:sz w:val="21"/>
          <w:szCs w:val="21"/>
        </w:rPr>
      </w:pPr>
      <w:r>
        <w:rPr>
          <w:rFonts w:hint="eastAsia"/>
          <w:sz w:val="21"/>
          <w:szCs w:val="21"/>
        </w:rPr>
        <w:t xml:space="preserve">本基金将重点关注上市公司的盈利能力、成长和股本扩张能力、持续经营力、杠杆水平以及现金流管理水平，选择优良财务状况的上市公司股票。  </w:t>
      </w:r>
    </w:p>
    <w:p>
      <w:pPr>
        <w:pStyle w:val="7"/>
        <w:spacing w:before="0" w:beforeAutospacing="0" w:after="0" w:afterAutospacing="0" w:line="360" w:lineRule="auto"/>
        <w:ind w:firstLine="420"/>
        <w:rPr>
          <w:sz w:val="21"/>
          <w:szCs w:val="21"/>
        </w:rPr>
      </w:pPr>
      <w:r>
        <w:rPr>
          <w:rFonts w:hint="eastAsia"/>
          <w:sz w:val="21"/>
          <w:szCs w:val="21"/>
        </w:rPr>
        <w:t xml:space="preserve">2）股票估值分析  </w:t>
      </w:r>
    </w:p>
    <w:p>
      <w:pPr>
        <w:pStyle w:val="7"/>
        <w:spacing w:before="0" w:beforeAutospacing="0" w:after="0" w:afterAutospacing="0" w:line="360" w:lineRule="auto"/>
        <w:ind w:firstLine="420"/>
        <w:rPr>
          <w:sz w:val="21"/>
          <w:szCs w:val="21"/>
        </w:rPr>
      </w:pPr>
      <w:r>
        <w:rPr>
          <w:rFonts w:hint="eastAsia"/>
          <w:sz w:val="21"/>
          <w:szCs w:val="21"/>
        </w:rPr>
        <w:t xml:space="preserve">通过对内在价值、相对价值、收购价值等方面的研究，考察市盈增长比率（PEG）、市盈率（P/E）、市净率（P/B）、企业价值/息税前利润（EV/EBIT）、自由现金流贴现（DCF）等一系列估值指标，给出股票综合评级，从中选择估值水平相对合理的公司。  </w:t>
      </w:r>
    </w:p>
    <w:p>
      <w:pPr>
        <w:pStyle w:val="7"/>
        <w:spacing w:before="0" w:beforeAutospacing="0" w:after="0" w:afterAutospacing="0" w:line="360" w:lineRule="auto"/>
        <w:ind w:firstLine="420"/>
        <w:rPr>
          <w:sz w:val="21"/>
          <w:szCs w:val="21"/>
        </w:rPr>
      </w:pPr>
      <w:r>
        <w:rPr>
          <w:rFonts w:hint="eastAsia"/>
          <w:sz w:val="21"/>
          <w:szCs w:val="21"/>
        </w:rPr>
        <w:t xml:space="preserve">3、存托凭证投资策略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Fonts w:hint="eastAsia"/>
          <w:sz w:val="21"/>
          <w:szCs w:val="21"/>
        </w:rPr>
        <w:t xml:space="preserve">（四）金融衍生品投资策略  </w:t>
      </w:r>
    </w:p>
    <w:p>
      <w:pPr>
        <w:pStyle w:val="7"/>
        <w:spacing w:before="0" w:beforeAutospacing="0" w:after="0" w:afterAutospacing="0" w:line="360" w:lineRule="auto"/>
        <w:ind w:firstLine="420"/>
        <w:rPr>
          <w:sz w:val="21"/>
          <w:szCs w:val="21"/>
        </w:rPr>
      </w:pPr>
      <w:r>
        <w:rPr>
          <w:rFonts w:hint="eastAsia"/>
          <w:sz w:val="21"/>
          <w:szCs w:val="21"/>
        </w:rPr>
        <w:t xml:space="preserve">1、权证投资策略  </w:t>
      </w:r>
    </w:p>
    <w:p>
      <w:pPr>
        <w:pStyle w:val="7"/>
        <w:spacing w:before="0" w:beforeAutospacing="0" w:after="0" w:afterAutospacing="0" w:line="360" w:lineRule="auto"/>
        <w:ind w:firstLine="420"/>
        <w:rPr>
          <w:sz w:val="21"/>
          <w:szCs w:val="21"/>
        </w:rPr>
      </w:pPr>
      <w:r>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pPr>
        <w:pStyle w:val="7"/>
        <w:spacing w:before="0" w:beforeAutospacing="0" w:after="0" w:afterAutospacing="0" w:line="360" w:lineRule="auto"/>
        <w:ind w:firstLine="420"/>
        <w:rPr>
          <w:sz w:val="21"/>
          <w:szCs w:val="21"/>
        </w:rPr>
      </w:pPr>
      <w:r>
        <w:rPr>
          <w:rFonts w:hint="eastAsia"/>
          <w:sz w:val="21"/>
          <w:szCs w:val="21"/>
        </w:rPr>
        <w:t xml:space="preserve">2、股指期货投资策略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pPr>
        <w:pStyle w:val="7"/>
        <w:spacing w:before="0" w:beforeAutospacing="0" w:after="0" w:afterAutospacing="0" w:line="360" w:lineRule="auto"/>
        <w:ind w:firstLine="420"/>
        <w:rPr>
          <w:sz w:val="21"/>
          <w:szCs w:val="21"/>
        </w:rPr>
      </w:pPr>
      <w:r>
        <w:rPr>
          <w:rFonts w:hint="eastAsia"/>
          <w:sz w:val="21"/>
          <w:szCs w:val="21"/>
        </w:rPr>
        <w:t xml:space="preserve">（五）资产支持证券投资策略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本基金将通过对资产支持证券基础资产及结构设计的研究，结合多种定价模型，根据基金资产组合情况适度进行资产支持证券的投资。  </w:t>
      </w:r>
    </w:p>
    <w:p>
      <w:pPr>
        <w:pStyle w:val="7"/>
        <w:spacing w:before="0" w:beforeAutospacing="0" w:after="0" w:afterAutospacing="0" w:line="360" w:lineRule="auto"/>
        <w:ind w:firstLine="420"/>
        <w:rPr>
          <w:sz w:val="21"/>
          <w:szCs w:val="21"/>
        </w:rPr>
      </w:pPr>
      <w:r>
        <w:rPr>
          <w:rFonts w:hint="eastAsia"/>
          <w:sz w:val="21"/>
          <w:szCs w:val="21"/>
        </w:rPr>
        <w:t xml:space="preserve">（六）融资交易策略  </w:t>
      </w:r>
    </w:p>
    <w:p>
      <w:pPr>
        <w:pStyle w:val="7"/>
        <w:spacing w:before="0" w:beforeAutospacing="0" w:after="0" w:afterAutospacing="0" w:line="360" w:lineRule="auto"/>
        <w:ind w:firstLine="420"/>
        <w:rPr>
          <w:sz w:val="21"/>
          <w:szCs w:val="21"/>
        </w:rPr>
      </w:pPr>
      <w:r>
        <w:rPr>
          <w:rFonts w:hint="eastAsia"/>
          <w:sz w:val="21"/>
          <w:szCs w:val="21"/>
        </w:rPr>
        <w:t xml:space="preserve">本基金可通过融资交易的杠杆作用，在符合融资交易各项法规要求及风险控制要求的前提下，放大投资收益。  </w:t>
      </w:r>
    </w:p>
    <w:p>
      <w:pPr>
        <w:pStyle w:val="7"/>
        <w:spacing w:before="0" w:beforeAutospacing="0" w:after="0" w:afterAutospacing="0" w:line="360" w:lineRule="auto"/>
        <w:ind w:firstLine="420"/>
        <w:rPr>
          <w:sz w:val="21"/>
          <w:szCs w:val="21"/>
        </w:rPr>
      </w:pPr>
      <w:r>
        <w:rPr>
          <w:rFonts w:hint="eastAsia"/>
          <w:sz w:val="21"/>
          <w:szCs w:val="21"/>
        </w:rPr>
        <w:t xml:space="preserve">未来随着证券市场投资工具的发展和丰富，在符合有关法律法规规定的前提下，本基金可相应调整和更新相关投资策略。   </w:t>
      </w:r>
    </w:p>
    <w:p>
      <w:pPr>
        <w:pStyle w:val="7"/>
        <w:spacing w:before="0" w:beforeAutospacing="0" w:after="0" w:afterAutospacing="0" w:line="360" w:lineRule="auto"/>
        <w:ind w:firstLine="420"/>
        <w:rPr>
          <w:sz w:val="21"/>
          <w:szCs w:val="21"/>
        </w:rPr>
      </w:pPr>
      <w:bookmarkStart w:id="120" w:name="chapter_level1_11_60_section_1_end"/>
      <w:bookmarkEnd w:id="120"/>
      <w:r>
        <w:rPr>
          <w:rFonts w:hint="eastAsia"/>
          <w:sz w:val="21"/>
          <w:szCs w:val="21"/>
        </w:rPr>
        <w:t xml:space="preserve">   </w:t>
      </w:r>
      <w:bookmarkStart w:id="121" w:name="field_60_investmentstrategy_1_end"/>
      <w:bookmarkEnd w:id="121"/>
      <w:r>
        <w:rPr>
          <w:rFonts w:hint="eastAsia"/>
          <w:sz w:val="21"/>
          <w:szCs w:val="21"/>
        </w:rPr>
        <w:t xml:space="preserve">  </w:t>
      </w:r>
    </w:p>
    <w:p>
      <w:pPr>
        <w:pStyle w:val="7"/>
        <w:spacing w:before="0" w:beforeAutospacing="0" w:after="0" w:afterAutospacing="0" w:line="360" w:lineRule="auto"/>
        <w:ind w:firstLine="420"/>
        <w:rPr>
          <w:sz w:val="21"/>
          <w:szCs w:val="21"/>
        </w:rPr>
      </w:pPr>
      <w:bookmarkStart w:id="122" w:name="chapter_level1_11_60_section_2"/>
      <w:bookmarkEnd w:id="122"/>
      <w:r>
        <w:rPr>
          <w:rStyle w:val="11"/>
          <w:rFonts w:hint="eastAsia"/>
          <w:sz w:val="21"/>
          <w:szCs w:val="21"/>
        </w:rPr>
        <w:t>四、投资决策流程</w:t>
      </w:r>
    </w:p>
    <w:p>
      <w:pPr>
        <w:pStyle w:val="7"/>
        <w:spacing w:before="0" w:beforeAutospacing="0" w:after="0" w:afterAutospacing="0" w:line="360" w:lineRule="auto"/>
        <w:ind w:firstLine="420"/>
        <w:rPr>
          <w:sz w:val="21"/>
          <w:szCs w:val="21"/>
        </w:rPr>
      </w:pPr>
      <w:r>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pPr>
        <w:pStyle w:val="7"/>
        <w:spacing w:before="0" w:beforeAutospacing="0" w:after="0" w:afterAutospacing="0" w:line="360" w:lineRule="auto"/>
        <w:ind w:firstLine="420"/>
        <w:rPr>
          <w:sz w:val="21"/>
          <w:szCs w:val="21"/>
        </w:rPr>
      </w:pPr>
      <w:r>
        <w:rPr>
          <w:rFonts w:hint="eastAsia"/>
          <w:sz w:val="21"/>
          <w:szCs w:val="21"/>
        </w:rPr>
        <w:t xml:space="preserve">1、投资决策委员会定期召开会议，确定本基金的总投资思路和投资原则； </w:t>
      </w:r>
    </w:p>
    <w:p>
      <w:pPr>
        <w:pStyle w:val="7"/>
        <w:spacing w:before="0" w:beforeAutospacing="0" w:after="0" w:afterAutospacing="0" w:line="360" w:lineRule="auto"/>
        <w:ind w:firstLine="420"/>
        <w:rPr>
          <w:sz w:val="21"/>
          <w:szCs w:val="21"/>
        </w:rPr>
      </w:pPr>
      <w:r>
        <w:rPr>
          <w:rFonts w:hint="eastAsia"/>
          <w:sz w:val="21"/>
          <w:szCs w:val="21"/>
        </w:rPr>
        <w:t xml:space="preserve">2、研究部宏观策略分析师基于自上而下的研究为本基金提供总的资产配置建议；研究部行业研究员为行业研究与分析提供支持；固定收益部数量及信用分析员为固定收益类投资决策提供依据； </w:t>
      </w:r>
    </w:p>
    <w:p>
      <w:pPr>
        <w:pStyle w:val="7"/>
        <w:spacing w:before="0" w:beforeAutospacing="0" w:after="0" w:afterAutospacing="0" w:line="360" w:lineRule="auto"/>
        <w:ind w:firstLine="420"/>
        <w:rPr>
          <w:sz w:val="21"/>
          <w:szCs w:val="21"/>
        </w:rPr>
      </w:pPr>
      <w:r>
        <w:rPr>
          <w:rFonts w:hint="eastAsia"/>
          <w:sz w:val="21"/>
          <w:szCs w:val="21"/>
        </w:rPr>
        <w:t xml:space="preserve">3、固定收益部定期召开投资例会，根据投资决策委员会的决定，结合市场和个券的变化，制定具体的投资策略； </w:t>
      </w:r>
    </w:p>
    <w:p>
      <w:pPr>
        <w:pStyle w:val="7"/>
        <w:spacing w:before="0" w:beforeAutospacing="0" w:after="0" w:afterAutospacing="0" w:line="360" w:lineRule="auto"/>
        <w:ind w:firstLine="420"/>
        <w:rPr>
          <w:sz w:val="21"/>
          <w:szCs w:val="21"/>
        </w:rPr>
      </w:pPr>
      <w:r>
        <w:rPr>
          <w:rFonts w:hint="eastAsia"/>
          <w:sz w:val="21"/>
          <w:szCs w:val="21"/>
        </w:rPr>
        <w:t xml:space="preserve">4、基金经理依据投委会投资决策委员会的决定，参考研究员的投资建议，结合风险控制和业绩评估的反馈意见，根据市场情况，制定并实施具体的投资组合方案； </w:t>
      </w:r>
    </w:p>
    <w:p>
      <w:pPr>
        <w:pStyle w:val="7"/>
        <w:spacing w:before="0" w:beforeAutospacing="0" w:after="0" w:afterAutospacing="0" w:line="360" w:lineRule="auto"/>
        <w:ind w:firstLine="420"/>
        <w:rPr>
          <w:sz w:val="21"/>
          <w:szCs w:val="21"/>
        </w:rPr>
      </w:pPr>
      <w:r>
        <w:rPr>
          <w:rFonts w:hint="eastAsia"/>
          <w:sz w:val="21"/>
          <w:szCs w:val="21"/>
        </w:rPr>
        <w:t xml:space="preserve">5、基金经理向交易员下达指令，交易员执行后向基金经理反馈； </w:t>
      </w:r>
    </w:p>
    <w:p>
      <w:pPr>
        <w:pStyle w:val="7"/>
        <w:spacing w:before="0" w:beforeAutospacing="0" w:after="0" w:afterAutospacing="0" w:line="360" w:lineRule="auto"/>
        <w:ind w:firstLine="420"/>
        <w:rPr>
          <w:sz w:val="21"/>
          <w:szCs w:val="21"/>
        </w:rPr>
      </w:pPr>
      <w:r>
        <w:rPr>
          <w:rFonts w:hint="eastAsia"/>
          <w:sz w:val="21"/>
          <w:szCs w:val="21"/>
        </w:rPr>
        <w:t xml:space="preserve">6、监察法律部对投资的全过程进行合规风险监控； </w:t>
      </w:r>
    </w:p>
    <w:p>
      <w:pPr>
        <w:pStyle w:val="7"/>
        <w:spacing w:before="0" w:beforeAutospacing="0" w:after="0" w:afterAutospacing="0" w:line="360" w:lineRule="auto"/>
        <w:ind w:firstLine="420"/>
        <w:rPr>
          <w:sz w:val="21"/>
          <w:szCs w:val="21"/>
        </w:rPr>
      </w:pPr>
      <w:r>
        <w:rPr>
          <w:rFonts w:hint="eastAsia"/>
          <w:sz w:val="21"/>
          <w:szCs w:val="21"/>
        </w:rPr>
        <w:t xml:space="preserve">7、风险管理部通过行使风险管理职能，测算、分析和监控投资风险,根据风险限额管理政策防范超预期风险； </w:t>
      </w:r>
    </w:p>
    <w:p>
      <w:pPr>
        <w:pStyle w:val="7"/>
        <w:spacing w:before="0" w:beforeAutospacing="0" w:after="0" w:afterAutospacing="0" w:line="360" w:lineRule="auto"/>
        <w:ind w:firstLine="420"/>
        <w:rPr>
          <w:sz w:val="21"/>
          <w:szCs w:val="21"/>
        </w:rPr>
      </w:pPr>
      <w:r>
        <w:rPr>
          <w:rFonts w:hint="eastAsia"/>
          <w:sz w:val="21"/>
          <w:szCs w:val="21"/>
        </w:rPr>
        <w:t xml:space="preserve">8、风险管理部对基金投资进行风险调整业绩评估，定期与基金经理讨论收益和风险预算。 </w:t>
      </w:r>
    </w:p>
    <w:p>
      <w:pPr>
        <w:pStyle w:val="7"/>
        <w:spacing w:before="0" w:beforeAutospacing="0" w:after="0" w:afterAutospacing="0" w:line="360" w:lineRule="auto"/>
        <w:ind w:firstLine="420"/>
        <w:rPr>
          <w:sz w:val="21"/>
          <w:szCs w:val="21"/>
        </w:rPr>
      </w:pPr>
      <w:r>
        <w:rPr>
          <w:rStyle w:val="11"/>
          <w:rFonts w:hint="eastAsia"/>
          <w:sz w:val="21"/>
          <w:szCs w:val="21"/>
        </w:rPr>
        <w:t>五、投资限制</w:t>
      </w:r>
    </w:p>
    <w:p>
      <w:pPr>
        <w:pStyle w:val="7"/>
        <w:spacing w:before="0" w:beforeAutospacing="0" w:after="0" w:afterAutospacing="0" w:line="360" w:lineRule="auto"/>
        <w:ind w:firstLine="420"/>
        <w:rPr>
          <w:sz w:val="21"/>
          <w:szCs w:val="21"/>
        </w:rPr>
      </w:pPr>
      <w:r>
        <w:rPr>
          <w:rFonts w:hint="eastAsia"/>
          <w:sz w:val="21"/>
          <w:szCs w:val="21"/>
        </w:rPr>
        <w:t xml:space="preserve">1、组合限制 </w:t>
      </w:r>
    </w:p>
    <w:p>
      <w:pPr>
        <w:pStyle w:val="7"/>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（1）本基金股票（含存托凭证）投资比例为基金资产的80%-95%，投资于军工主题相关的上市公司发行的证券占非现金基金资产的比例不低于80%；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（6）本基金管理人管理的全部基金持有的同一权证，不得超过该权证的10％；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（11）本基金管理人管理的全部基金投资于同一原始权益人的各类资产支持证券，不得超过其各类资产支持证券合计规模的10％；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（13）基金财产参与股票发行申购，本基金所申报的金额不超过本基金的总资产，本基金所申报的股票数量不超过拟发行股票公司本次发行股票的总量；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（14）本基金进入全国银行间同业市场进行债券回购的资金余额不得超过基金资产净值的40%；本基金在全国银行间同业市场中的债券回购最长期限为1 年，债券回购到期后不得展期； </w:t>
      </w:r>
    </w:p>
    <w:p>
      <w:pPr>
        <w:pStyle w:val="7"/>
        <w:spacing w:before="0" w:beforeAutospacing="0" w:after="0" w:afterAutospacing="0" w:line="360" w:lineRule="auto"/>
        <w:ind w:firstLine="420"/>
        <w:rPr>
          <w:sz w:val="21"/>
          <w:szCs w:val="21"/>
        </w:rPr>
      </w:pPr>
      <w:r>
        <w:rPr>
          <w:rFonts w:hint="eastAsia"/>
          <w:sz w:val="21"/>
          <w:szCs w:val="21"/>
        </w:rPr>
        <w:t xml:space="preserve">（15）本基金资产总值不得超过基金资产净值的140%；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（16）本基金投资流通受限证券，基金管理人应制订严格的投资决策流程和风险控制制度，防范流动性风险、法律风险和操作风险等各种风险； </w:t>
      </w:r>
    </w:p>
    <w:p>
      <w:pPr>
        <w:pStyle w:val="7"/>
        <w:spacing w:before="0" w:beforeAutospacing="0" w:after="0" w:afterAutospacing="0" w:line="360" w:lineRule="auto"/>
        <w:ind w:firstLine="420"/>
        <w:rPr>
          <w:sz w:val="21"/>
          <w:szCs w:val="21"/>
        </w:rPr>
      </w:pPr>
      <w:r>
        <w:rPr>
          <w:rFonts w:hint="eastAsia"/>
          <w:sz w:val="21"/>
          <w:szCs w:val="21"/>
        </w:rPr>
        <w:t xml:space="preserve">（17）本基金参与股指期货投资的，应遵循下列限制：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3）本基金在任何交易日日终，持有的卖出期货合约价值不得超过基金持有的股票总市值的20%；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4）本基金所持有的股票市值和买入、卖出股指期货合约价值，合计（轧差计算）应当符合《基金合同》关于股票投资比例的有关规定；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5）本基金在任何交易日内交易（不包括平仓）的股指期货合约的成交金额不得超过上一交易日基金资产净值的20%；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（18）本基金持有单只中小企业私募债券，其市值不得超过本基金资产净值的10%；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（19）在任何交易日日终，基金持有的融资买入股票与其他有价证券市值之和，不得超过基金资产净值的95%； </w:t>
      </w:r>
    </w:p>
    <w:p>
      <w:pPr>
        <w:pStyle w:val="7"/>
        <w:spacing w:before="0" w:beforeAutospacing="0" w:after="0" w:afterAutospacing="0" w:line="360" w:lineRule="auto"/>
        <w:ind w:firstLine="420"/>
        <w:rPr>
          <w:sz w:val="21"/>
          <w:szCs w:val="21"/>
        </w:rPr>
      </w:pPr>
      <w:r>
        <w:rPr>
          <w:rFonts w:hint="eastAsia"/>
          <w:sz w:val="21"/>
          <w:szCs w:val="21"/>
        </w:rPr>
        <w:t xml:space="preserve">（20）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（21）本基金主动投资于流动性受限资产的市值合计不得超过本基金资产净值的15%；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（22）本基金与私募类证券资管产品及中国证监会认定的其他主体为交易对手开展逆回购交易的，可接受质押品的资质要求应当与基金合同约定的投资范围保持一致；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（23）法律法规及中国证监会规定的和《基金合同》约定的其他投资限制。 </w:t>
      </w:r>
    </w:p>
    <w:p>
      <w:pPr>
        <w:pStyle w:val="7"/>
        <w:spacing w:before="0" w:beforeAutospacing="0" w:after="0" w:afterAutospacing="0" w:line="360" w:lineRule="auto"/>
        <w:ind w:firstLine="420"/>
        <w:rPr>
          <w:sz w:val="21"/>
          <w:szCs w:val="21"/>
        </w:rPr>
      </w:pPr>
      <w:r>
        <w:rPr>
          <w:rFonts w:hint="eastAsia"/>
          <w:sz w:val="21"/>
          <w:szCs w:val="21"/>
        </w:rPr>
        <w:t xml:space="preserve">除上述第（2）、（12）、（21）、（22）条外，因证券、期货市场波动、上市公司合并、基金规模变动等基金管理人之外的因素致使基金投资比例不符合上述规定投资比例的，基金管理人应当在10个交易日内进行调整，但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法律法规或监管部门取消或变更上述限制，如适用于本基金，基金管理人在履行适当程序后，则本基金投资不再受相关限制，或以变更后的规定为准。 </w:t>
      </w:r>
    </w:p>
    <w:p>
      <w:pPr>
        <w:pStyle w:val="7"/>
        <w:spacing w:before="0" w:beforeAutospacing="0" w:after="0" w:afterAutospacing="0" w:line="360" w:lineRule="auto"/>
        <w:ind w:firstLine="420"/>
        <w:rPr>
          <w:sz w:val="21"/>
          <w:szCs w:val="21"/>
        </w:rPr>
      </w:pPr>
      <w:r>
        <w:rPr>
          <w:rFonts w:hint="eastAsia"/>
          <w:sz w:val="21"/>
          <w:szCs w:val="21"/>
        </w:rPr>
        <w:t xml:space="preserve">2、禁止行为 </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7"/>
        <w:spacing w:before="0" w:beforeAutospacing="0" w:after="0" w:afterAutospacing="0" w:line="360" w:lineRule="auto"/>
        <w:ind w:firstLine="420"/>
        <w:rPr>
          <w:sz w:val="21"/>
          <w:szCs w:val="21"/>
        </w:rPr>
      </w:pPr>
      <w:r>
        <w:rPr>
          <w:rFonts w:hint="eastAsia"/>
          <w:sz w:val="21"/>
          <w:szCs w:val="21"/>
        </w:rPr>
        <w:t xml:space="preserve">法律、行政法规或监管部门取消或变更上述禁止性规定，如适用于本基金，基金管理人在履行适当程序后，则本基金投资不再受相关限制或以变更后的规定为准。 </w:t>
      </w:r>
    </w:p>
    <w:p>
      <w:pPr>
        <w:pStyle w:val="7"/>
        <w:spacing w:before="0" w:beforeAutospacing="0" w:after="0" w:afterAutospacing="0" w:line="360" w:lineRule="auto"/>
        <w:ind w:firstLine="420"/>
        <w:rPr>
          <w:sz w:val="21"/>
          <w:szCs w:val="21"/>
        </w:rPr>
      </w:pPr>
      <w:bookmarkStart w:id="123" w:name="chapter_level1_11_60_section_2_end"/>
      <w:bookmarkEnd w:id="123"/>
      <w:r>
        <w:rPr>
          <w:rStyle w:val="11"/>
          <w:rFonts w:hint="eastAsia"/>
          <w:sz w:val="21"/>
          <w:szCs w:val="21"/>
        </w:rPr>
        <w:t>六、业绩比较基准</w:t>
      </w:r>
    </w:p>
    <w:p>
      <w:pPr>
        <w:pStyle w:val="7"/>
        <w:spacing w:before="0" w:beforeAutospacing="0" w:after="0" w:afterAutospacing="0" w:line="360" w:lineRule="auto"/>
        <w:ind w:firstLine="420"/>
        <w:rPr>
          <w:sz w:val="21"/>
          <w:szCs w:val="21"/>
        </w:rPr>
      </w:pPr>
      <w:bookmarkStart w:id="124" w:name="chapter_level1_11_60_section_3"/>
      <w:bookmarkEnd w:id="124"/>
      <w:r>
        <w:rPr>
          <w:rFonts w:hint="eastAsia"/>
          <w:sz w:val="21"/>
          <w:szCs w:val="21"/>
        </w:rPr>
        <w:t>本基金的业绩比较基准为：</w:t>
      </w:r>
      <w:bookmarkStart w:id="125" w:name="field_60_benchmark_1_start"/>
      <w:bookmarkEnd w:id="125"/>
      <w:r>
        <w:rPr>
          <w:rFonts w:hint="eastAsia"/>
          <w:sz w:val="21"/>
          <w:szCs w:val="21"/>
        </w:rPr>
        <w:t xml:space="preserve">中证军工指数收益率*80%+上证国债指数收益率*20%。  </w:t>
      </w:r>
      <w:bookmarkStart w:id="126" w:name="field_60_benchmark_1_end"/>
      <w:bookmarkEnd w:id="12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本基金的资产主要投资于军工主题的股票，基金持有的军工主题股票占非现金基金资产的比例不低于80%，中证军工指数反映沪深两市军工行业上市公司的整体表现，由十大军工集团控股的且主营业务与军工行业相关的上市公司以及其他主营业务为军工行业的上市公司作为指数样本，故以中证军工指数收益率为业绩比较基准，能够准确地反映本基金的投资绩效。 </w:t>
      </w:r>
    </w:p>
    <w:p>
      <w:pPr>
        <w:pStyle w:val="7"/>
        <w:spacing w:before="0" w:beforeAutospacing="0" w:after="0" w:afterAutospacing="0" w:line="360" w:lineRule="auto"/>
        <w:ind w:firstLine="420"/>
        <w:rPr>
          <w:sz w:val="21"/>
          <w:szCs w:val="21"/>
        </w:rPr>
      </w:pPr>
      <w:r>
        <w:rPr>
          <w:rFonts w:hint="eastAsia"/>
          <w:sz w:val="21"/>
          <w:szCs w:val="21"/>
        </w:rPr>
        <w:t>随着市场环境的变化，如果上述业绩比较基准不适用本基金时，本基金管理人可以依据维护基金份额持有人合法权益的原则，根据实际情况对业绩比较基准进行相应调整。调整业绩比较基准应经基金托管人同意，报中国证监会备案，基金管理人应在调整前依照《信息披</w:t>
      </w:r>
      <w:bookmarkStart w:id="127" w:name="chapter_level1_11_60_section_3_end"/>
      <w:bookmarkEnd w:id="127"/>
      <w:r>
        <w:rPr>
          <w:rFonts w:hint="eastAsia"/>
          <w:sz w:val="21"/>
          <w:szCs w:val="21"/>
        </w:rPr>
        <w:t xml:space="preserve">露办法》的有关规定在中国证监会指定的信息披露媒介上刊登公告。 </w:t>
      </w:r>
    </w:p>
    <w:p>
      <w:pPr>
        <w:pStyle w:val="7"/>
        <w:spacing w:before="0" w:beforeAutospacing="0" w:after="0" w:afterAutospacing="0" w:line="360" w:lineRule="auto"/>
        <w:ind w:firstLine="420"/>
        <w:rPr>
          <w:sz w:val="21"/>
          <w:szCs w:val="21"/>
        </w:rPr>
      </w:pPr>
      <w:bookmarkStart w:id="128" w:name="chapter_level1_11_60_section_4"/>
      <w:bookmarkEnd w:id="128"/>
      <w:r>
        <w:rPr>
          <w:rStyle w:val="11"/>
          <w:rFonts w:hint="eastAsia"/>
          <w:sz w:val="21"/>
          <w:szCs w:val="21"/>
        </w:rPr>
        <w:t>七、风险收益特征</w:t>
      </w:r>
    </w:p>
    <w:p>
      <w:pPr>
        <w:pStyle w:val="7"/>
        <w:spacing w:before="0" w:beforeAutospacing="0" w:after="0" w:afterAutospacing="0" w:line="360" w:lineRule="auto"/>
        <w:ind w:firstLine="420"/>
        <w:rPr>
          <w:sz w:val="21"/>
          <w:szCs w:val="21"/>
        </w:rPr>
      </w:pPr>
      <w:bookmarkStart w:id="129" w:name="field_60_riskyield_1_start"/>
      <w:bookmarkEnd w:id="129"/>
      <w:r>
        <w:rPr>
          <w:rFonts w:hint="eastAsia"/>
          <w:sz w:val="21"/>
          <w:szCs w:val="21"/>
        </w:rPr>
        <w:t>本基金是股票型基金，其预期收益及风险水平高于货币市场基金、债券型</w:t>
      </w:r>
      <w:bookmarkStart w:id="130" w:name="chapter_level1_11_60_section_4_end"/>
      <w:bookmarkEnd w:id="130"/>
      <w:r>
        <w:rPr>
          <w:rFonts w:hint="eastAsia"/>
          <w:sz w:val="21"/>
          <w:szCs w:val="21"/>
        </w:rPr>
        <w:t xml:space="preserve">基金与混合型基金，属于风险水平较高的基金。  </w:t>
      </w:r>
      <w:bookmarkStart w:id="131" w:name="field_60_riskyield_1_end"/>
      <w:bookmarkEnd w:id="131"/>
      <w:r>
        <w:rPr>
          <w:rFonts w:hint="eastAsia"/>
          <w:sz w:val="21"/>
          <w:szCs w:val="21"/>
        </w:rPr>
        <w:t xml:space="preserve">  </w:t>
      </w:r>
    </w:p>
    <w:p>
      <w:pPr>
        <w:pStyle w:val="7"/>
        <w:spacing w:before="0" w:beforeAutospacing="0" w:after="0" w:afterAutospacing="0" w:line="360" w:lineRule="auto"/>
        <w:ind w:firstLine="420"/>
        <w:rPr>
          <w:sz w:val="21"/>
          <w:szCs w:val="21"/>
        </w:rPr>
      </w:pPr>
      <w:bookmarkStart w:id="132" w:name="chapter_level1_11_60_section_5"/>
      <w:bookmarkEnd w:id="132"/>
      <w:bookmarkStart w:id="133" w:name="chapter_level1_11_60_section_5_end"/>
      <w:bookmarkEnd w:id="133"/>
      <w:r>
        <w:rPr>
          <w:rStyle w:val="11"/>
          <w:rFonts w:hint="eastAsia"/>
          <w:sz w:val="21"/>
          <w:szCs w:val="21"/>
        </w:rPr>
        <w:t>八、基金投资组合报告</w:t>
      </w:r>
    </w:p>
    <w:p>
      <w:pPr>
        <w:pStyle w:val="7"/>
        <w:spacing w:before="0" w:beforeAutospacing="0" w:after="0" w:afterAutospacing="0" w:line="360" w:lineRule="auto"/>
        <w:ind w:firstLine="420"/>
        <w:rPr>
          <w:sz w:val="21"/>
          <w:szCs w:val="21"/>
        </w:rPr>
      </w:pPr>
      <w:bookmarkStart w:id="134" w:name="chapter_level1_11_60_section_6"/>
      <w:bookmarkEnd w:id="134"/>
      <w:r>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35" w:name="field_2343_financeendday_2"/>
      <w:r>
        <w:rPr>
          <w:sz w:val="21"/>
          <w:szCs w:val="21"/>
        </w:rPr>
        <w:t>2022年6月30日</w:t>
      </w:r>
      <w:bookmarkEnd w:id="135"/>
      <w:r>
        <w:rPr>
          <w:rFonts w:hint="eastAsia"/>
          <w:sz w:val="21"/>
          <w:szCs w:val="21"/>
        </w:rPr>
        <w:t xml:space="preserve">，本报告中所列财务数据未经审计。 </w:t>
      </w:r>
    </w:p>
    <w:p>
      <w:pPr>
        <w:pStyle w:val="7"/>
        <w:spacing w:before="0" w:beforeAutospacing="0" w:after="0" w:afterAutospacing="0" w:line="360" w:lineRule="auto"/>
        <w:ind w:firstLine="420"/>
        <w:rPr>
          <w:sz w:val="21"/>
          <w:szCs w:val="21"/>
        </w:rPr>
      </w:pPr>
      <w:r>
        <w:rPr>
          <w:rFonts w:hint="eastAsia"/>
          <w:b/>
          <w:bCs/>
          <w:sz w:val="21"/>
          <w:szCs w:val="21"/>
        </w:rPr>
        <w:t>1报告期末基金资产组合情况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3140"/>
        <w:gridCol w:w="2504"/>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序号 </w:t>
            </w:r>
          </w:p>
        </w:tc>
        <w:tc>
          <w:tcPr>
            <w:tcW w:w="3945" w:type="dxa"/>
            <w:shd w:val="clear" w:color="auto" w:fill="auto"/>
          </w:tcPr>
          <w:p>
            <w:pPr>
              <w:pStyle w:val="7"/>
              <w:jc w:val="center"/>
            </w:pPr>
            <w:r>
              <w:rPr>
                <w:rFonts w:hint="eastAsia"/>
              </w:rPr>
              <w:t xml:space="preserve">项目 </w:t>
            </w:r>
          </w:p>
        </w:tc>
        <w:tc>
          <w:tcPr>
            <w:tcW w:w="2625" w:type="dxa"/>
            <w:shd w:val="clear" w:color="auto" w:fill="auto"/>
          </w:tcPr>
          <w:p>
            <w:pPr>
              <w:pStyle w:val="7"/>
              <w:jc w:val="center"/>
            </w:pPr>
            <w:r>
              <w:rPr>
                <w:rFonts w:hint="eastAsia"/>
              </w:rPr>
              <w:t xml:space="preserve">金额(元) </w:t>
            </w:r>
          </w:p>
        </w:tc>
        <w:tc>
          <w:tcPr>
            <w:tcW w:w="2595" w:type="dxa"/>
            <w:shd w:val="clear" w:color="auto" w:fill="auto"/>
          </w:tcPr>
          <w:p>
            <w:pPr>
              <w:pStyle w:val="7"/>
              <w:jc w:val="center"/>
            </w:pPr>
            <w:r>
              <w:rPr>
                <w:rFonts w:hint="eastAsia"/>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1 </w:t>
            </w:r>
          </w:p>
        </w:tc>
        <w:tc>
          <w:tcPr>
            <w:tcW w:w="3945" w:type="dxa"/>
            <w:shd w:val="clear" w:color="auto" w:fill="auto"/>
          </w:tcPr>
          <w:p>
            <w:pPr>
              <w:pStyle w:val="7"/>
            </w:pPr>
            <w:r>
              <w:rPr>
                <w:rFonts w:hint="eastAsia"/>
              </w:rPr>
              <w:t xml:space="preserve">权益投资 </w:t>
            </w:r>
          </w:p>
        </w:tc>
        <w:tc>
          <w:tcPr>
            <w:tcW w:w="2625" w:type="dxa"/>
            <w:shd w:val="clear" w:color="auto" w:fill="auto"/>
          </w:tcPr>
          <w:p>
            <w:pPr>
              <w:pStyle w:val="7"/>
              <w:jc w:val="right"/>
            </w:pPr>
            <w:r>
              <w:rPr>
                <w:rFonts w:hint="eastAsia"/>
              </w:rPr>
              <w:t xml:space="preserve">4,239,640,758.73 </w:t>
            </w:r>
          </w:p>
        </w:tc>
        <w:tc>
          <w:tcPr>
            <w:tcW w:w="2595" w:type="dxa"/>
            <w:shd w:val="clear" w:color="auto" w:fill="auto"/>
          </w:tcPr>
          <w:p>
            <w:pPr>
              <w:pStyle w:val="7"/>
              <w:jc w:val="right"/>
            </w:pPr>
            <w:r>
              <w:rPr>
                <w:rFonts w:hint="eastAsia"/>
              </w:rPr>
              <w:t xml:space="preserve">91.59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rPr>
                <w:rFonts w:ascii="宋体" w:hAnsi="宋体" w:eastAsia="宋体" w:cs="宋体"/>
                <w:sz w:val="24"/>
                <w:szCs w:val="24"/>
              </w:rPr>
            </w:pPr>
          </w:p>
        </w:tc>
        <w:tc>
          <w:tcPr>
            <w:tcW w:w="3945" w:type="dxa"/>
            <w:shd w:val="clear" w:color="auto" w:fill="auto"/>
          </w:tcPr>
          <w:p>
            <w:pPr>
              <w:pStyle w:val="7"/>
            </w:pPr>
            <w:r>
              <w:rPr>
                <w:rFonts w:hint="eastAsia"/>
              </w:rPr>
              <w:t xml:space="preserve">其中：股票 </w:t>
            </w:r>
          </w:p>
        </w:tc>
        <w:tc>
          <w:tcPr>
            <w:tcW w:w="2625" w:type="dxa"/>
            <w:shd w:val="clear" w:color="auto" w:fill="auto"/>
          </w:tcPr>
          <w:p>
            <w:pPr>
              <w:pStyle w:val="7"/>
              <w:jc w:val="right"/>
            </w:pPr>
            <w:r>
              <w:rPr>
                <w:rFonts w:hint="eastAsia"/>
              </w:rPr>
              <w:t xml:space="preserve">4,239,640,758.73 </w:t>
            </w:r>
          </w:p>
        </w:tc>
        <w:tc>
          <w:tcPr>
            <w:tcW w:w="2595" w:type="dxa"/>
            <w:shd w:val="clear" w:color="auto" w:fill="auto"/>
          </w:tcPr>
          <w:p>
            <w:pPr>
              <w:pStyle w:val="7"/>
              <w:jc w:val="right"/>
            </w:pPr>
            <w:r>
              <w:rPr>
                <w:rFonts w:hint="eastAsia"/>
              </w:rPr>
              <w:t xml:space="preserve">91.59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2 </w:t>
            </w:r>
          </w:p>
        </w:tc>
        <w:tc>
          <w:tcPr>
            <w:tcW w:w="3945" w:type="dxa"/>
            <w:shd w:val="clear" w:color="auto" w:fill="auto"/>
          </w:tcPr>
          <w:p>
            <w:pPr>
              <w:pStyle w:val="7"/>
            </w:pPr>
            <w:r>
              <w:rPr>
                <w:rFonts w:hint="eastAsia"/>
              </w:rPr>
              <w:t xml:space="preserve">基金投资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3 </w:t>
            </w:r>
          </w:p>
        </w:tc>
        <w:tc>
          <w:tcPr>
            <w:tcW w:w="3945" w:type="dxa"/>
            <w:shd w:val="clear" w:color="auto" w:fill="auto"/>
          </w:tcPr>
          <w:p>
            <w:pPr>
              <w:pStyle w:val="7"/>
            </w:pPr>
            <w:r>
              <w:rPr>
                <w:rFonts w:hint="eastAsia"/>
              </w:rPr>
              <w:t xml:space="preserve">固定收益投资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rPr>
                <w:rFonts w:ascii="宋体" w:hAnsi="宋体" w:eastAsia="宋体" w:cs="宋体"/>
                <w:sz w:val="24"/>
                <w:szCs w:val="24"/>
              </w:rPr>
            </w:pPr>
          </w:p>
        </w:tc>
        <w:tc>
          <w:tcPr>
            <w:tcW w:w="3945" w:type="dxa"/>
            <w:shd w:val="clear" w:color="auto" w:fill="auto"/>
          </w:tcPr>
          <w:p>
            <w:pPr>
              <w:pStyle w:val="7"/>
            </w:pPr>
            <w:r>
              <w:rPr>
                <w:rFonts w:hint="eastAsia"/>
              </w:rPr>
              <w:t xml:space="preserve">其中：债券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rPr>
                <w:rFonts w:ascii="宋体" w:hAnsi="宋体" w:eastAsia="宋体" w:cs="宋体"/>
                <w:sz w:val="24"/>
                <w:szCs w:val="24"/>
              </w:rPr>
            </w:pPr>
          </w:p>
        </w:tc>
        <w:tc>
          <w:tcPr>
            <w:tcW w:w="3945" w:type="dxa"/>
            <w:shd w:val="clear" w:color="auto" w:fill="auto"/>
          </w:tcPr>
          <w:p>
            <w:pPr>
              <w:pStyle w:val="7"/>
            </w:pPr>
            <w:r>
              <w:rPr>
                <w:rFonts w:hint="eastAsia"/>
              </w:rPr>
              <w:t xml:space="preserve">资产支持证券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4 </w:t>
            </w:r>
          </w:p>
        </w:tc>
        <w:tc>
          <w:tcPr>
            <w:tcW w:w="3945" w:type="dxa"/>
            <w:shd w:val="clear" w:color="auto" w:fill="auto"/>
          </w:tcPr>
          <w:p>
            <w:pPr>
              <w:pStyle w:val="7"/>
            </w:pPr>
            <w:r>
              <w:rPr>
                <w:rFonts w:hint="eastAsia"/>
              </w:rPr>
              <w:t xml:space="preserve">贵金属投资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5 </w:t>
            </w:r>
          </w:p>
        </w:tc>
        <w:tc>
          <w:tcPr>
            <w:tcW w:w="3945" w:type="dxa"/>
            <w:shd w:val="clear" w:color="auto" w:fill="auto"/>
          </w:tcPr>
          <w:p>
            <w:pPr>
              <w:pStyle w:val="7"/>
            </w:pPr>
            <w:r>
              <w:rPr>
                <w:rFonts w:hint="eastAsia"/>
              </w:rPr>
              <w:t xml:space="preserve">金融衍生品投资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6 </w:t>
            </w:r>
          </w:p>
        </w:tc>
        <w:tc>
          <w:tcPr>
            <w:tcW w:w="3945" w:type="dxa"/>
            <w:shd w:val="clear" w:color="auto" w:fill="auto"/>
          </w:tcPr>
          <w:p>
            <w:pPr>
              <w:pStyle w:val="7"/>
            </w:pPr>
            <w:r>
              <w:rPr>
                <w:rFonts w:hint="eastAsia"/>
              </w:rPr>
              <w:t xml:space="preserve">买入返售金融资产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rPr>
                <w:rFonts w:ascii="宋体" w:hAnsi="宋体" w:eastAsia="宋体" w:cs="宋体"/>
                <w:sz w:val="24"/>
                <w:szCs w:val="24"/>
              </w:rPr>
            </w:pPr>
          </w:p>
        </w:tc>
        <w:tc>
          <w:tcPr>
            <w:tcW w:w="3945" w:type="dxa"/>
            <w:shd w:val="clear" w:color="auto" w:fill="auto"/>
          </w:tcPr>
          <w:p>
            <w:pPr>
              <w:pStyle w:val="7"/>
            </w:pPr>
            <w:r>
              <w:rPr>
                <w:rFonts w:hint="eastAsia"/>
              </w:rPr>
              <w:t xml:space="preserve">其中：买断式回购的买入返售金融资产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7 </w:t>
            </w:r>
          </w:p>
        </w:tc>
        <w:tc>
          <w:tcPr>
            <w:tcW w:w="3945" w:type="dxa"/>
            <w:shd w:val="clear" w:color="auto" w:fill="auto"/>
          </w:tcPr>
          <w:p>
            <w:pPr>
              <w:pStyle w:val="7"/>
            </w:pPr>
            <w:r>
              <w:rPr>
                <w:rFonts w:hint="eastAsia"/>
              </w:rPr>
              <w:t xml:space="preserve">银行存款和结算备付金合计 </w:t>
            </w:r>
          </w:p>
        </w:tc>
        <w:tc>
          <w:tcPr>
            <w:tcW w:w="2625" w:type="dxa"/>
            <w:shd w:val="clear" w:color="auto" w:fill="auto"/>
          </w:tcPr>
          <w:p>
            <w:pPr>
              <w:pStyle w:val="7"/>
              <w:jc w:val="right"/>
            </w:pPr>
            <w:r>
              <w:rPr>
                <w:rFonts w:hint="eastAsia"/>
              </w:rPr>
              <w:t xml:space="preserve">349,517,219.37 </w:t>
            </w:r>
          </w:p>
        </w:tc>
        <w:tc>
          <w:tcPr>
            <w:tcW w:w="2595" w:type="dxa"/>
            <w:shd w:val="clear" w:color="auto" w:fill="auto"/>
          </w:tcPr>
          <w:p>
            <w:pPr>
              <w:pStyle w:val="7"/>
              <w:jc w:val="right"/>
            </w:pPr>
            <w:r>
              <w:rPr>
                <w:rFonts w:hint="eastAsia"/>
              </w:rPr>
              <w:t xml:space="preserve">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8 </w:t>
            </w:r>
          </w:p>
        </w:tc>
        <w:tc>
          <w:tcPr>
            <w:tcW w:w="3945" w:type="dxa"/>
            <w:shd w:val="clear" w:color="auto" w:fill="auto"/>
          </w:tcPr>
          <w:p>
            <w:pPr>
              <w:pStyle w:val="7"/>
            </w:pPr>
            <w:r>
              <w:rPr>
                <w:rFonts w:hint="eastAsia"/>
              </w:rPr>
              <w:t xml:space="preserve">其他各项资产 </w:t>
            </w:r>
          </w:p>
        </w:tc>
        <w:tc>
          <w:tcPr>
            <w:tcW w:w="2625" w:type="dxa"/>
            <w:shd w:val="clear" w:color="auto" w:fill="auto"/>
          </w:tcPr>
          <w:p>
            <w:pPr>
              <w:pStyle w:val="7"/>
              <w:jc w:val="right"/>
            </w:pPr>
            <w:r>
              <w:rPr>
                <w:rFonts w:hint="eastAsia"/>
              </w:rPr>
              <w:t xml:space="preserve">39,722,089.48 </w:t>
            </w:r>
          </w:p>
        </w:tc>
        <w:tc>
          <w:tcPr>
            <w:tcW w:w="2595" w:type="dxa"/>
            <w:shd w:val="clear" w:color="auto" w:fill="auto"/>
          </w:tcPr>
          <w:p>
            <w:pPr>
              <w:pStyle w:val="7"/>
              <w:jc w:val="right"/>
            </w:pPr>
            <w:r>
              <w:rPr>
                <w:rFonts w:hint="eastAsia"/>
              </w:rPr>
              <w:t xml:space="preserve">0.86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9 </w:t>
            </w:r>
          </w:p>
        </w:tc>
        <w:tc>
          <w:tcPr>
            <w:tcW w:w="3945" w:type="dxa"/>
            <w:shd w:val="clear" w:color="auto" w:fill="auto"/>
          </w:tcPr>
          <w:p>
            <w:pPr>
              <w:pStyle w:val="7"/>
            </w:pPr>
            <w:r>
              <w:rPr>
                <w:rFonts w:hint="eastAsia"/>
              </w:rPr>
              <w:t xml:space="preserve">合计 </w:t>
            </w:r>
          </w:p>
        </w:tc>
        <w:tc>
          <w:tcPr>
            <w:tcW w:w="2625" w:type="dxa"/>
            <w:shd w:val="clear" w:color="auto" w:fill="auto"/>
          </w:tcPr>
          <w:p>
            <w:pPr>
              <w:pStyle w:val="7"/>
              <w:jc w:val="right"/>
            </w:pPr>
            <w:r>
              <w:rPr>
                <w:rFonts w:hint="eastAsia"/>
              </w:rPr>
              <w:t xml:space="preserve">4,628,880,067.58 </w:t>
            </w:r>
          </w:p>
        </w:tc>
        <w:tc>
          <w:tcPr>
            <w:tcW w:w="2595" w:type="dxa"/>
            <w:shd w:val="clear" w:color="auto" w:fill="auto"/>
          </w:tcPr>
          <w:p>
            <w:pPr>
              <w:pStyle w:val="7"/>
              <w:jc w:val="right"/>
            </w:pPr>
            <w:r>
              <w:rPr>
                <w:rFonts w:hint="eastAsia"/>
              </w:rPr>
              <w:t xml:space="preserve">100.00 </w:t>
            </w:r>
          </w:p>
        </w:tc>
      </w:tr>
    </w:tbl>
    <w:p>
      <w:pPr>
        <w:pStyle w:val="7"/>
        <w:spacing w:before="0" w:beforeAutospacing="0" w:after="0" w:afterAutospacing="0" w:line="360" w:lineRule="auto"/>
        <w:ind w:firstLine="420"/>
        <w:rPr>
          <w:sz w:val="21"/>
          <w:szCs w:val="21"/>
        </w:rPr>
      </w:pPr>
      <w:r>
        <w:rPr>
          <w:rFonts w:hint="eastAsia"/>
          <w:b/>
          <w:bCs/>
          <w:sz w:val="21"/>
          <w:szCs w:val="21"/>
        </w:rPr>
        <w:t>2报告期末按行业分类的股票投资组合</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2911"/>
        <w:gridCol w:w="2794"/>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代码 </w:t>
            </w:r>
          </w:p>
        </w:tc>
        <w:tc>
          <w:tcPr>
            <w:tcW w:w="3525" w:type="dxa"/>
            <w:shd w:val="clear" w:color="auto" w:fill="auto"/>
          </w:tcPr>
          <w:p>
            <w:pPr>
              <w:pStyle w:val="7"/>
              <w:jc w:val="center"/>
            </w:pPr>
            <w:r>
              <w:rPr>
                <w:rFonts w:hint="eastAsia"/>
              </w:rPr>
              <w:t xml:space="preserve">行业类别 </w:t>
            </w:r>
          </w:p>
        </w:tc>
        <w:tc>
          <w:tcPr>
            <w:tcW w:w="2985" w:type="dxa"/>
            <w:shd w:val="clear" w:color="auto" w:fill="auto"/>
          </w:tcPr>
          <w:p>
            <w:pPr>
              <w:pStyle w:val="7"/>
              <w:jc w:val="center"/>
            </w:pPr>
            <w:r>
              <w:rPr>
                <w:rFonts w:hint="eastAsia"/>
              </w:rPr>
              <w:t xml:space="preserve">公允价值（元） </w:t>
            </w:r>
          </w:p>
        </w:tc>
        <w:tc>
          <w:tcPr>
            <w:tcW w:w="256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A </w:t>
            </w:r>
          </w:p>
        </w:tc>
        <w:tc>
          <w:tcPr>
            <w:tcW w:w="3525" w:type="dxa"/>
            <w:shd w:val="clear" w:color="auto" w:fill="auto"/>
          </w:tcPr>
          <w:p>
            <w:pPr>
              <w:pStyle w:val="7"/>
              <w:ind w:left="105"/>
            </w:pPr>
            <w:r>
              <w:rPr>
                <w:rFonts w:hint="eastAsia"/>
              </w:rPr>
              <w:t xml:space="preserve">农、林、牧、渔业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B </w:t>
            </w:r>
          </w:p>
        </w:tc>
        <w:tc>
          <w:tcPr>
            <w:tcW w:w="3525" w:type="dxa"/>
            <w:shd w:val="clear" w:color="auto" w:fill="auto"/>
          </w:tcPr>
          <w:p>
            <w:pPr>
              <w:pStyle w:val="7"/>
              <w:ind w:left="105"/>
            </w:pPr>
            <w:r>
              <w:rPr>
                <w:rFonts w:hint="eastAsia"/>
              </w:rPr>
              <w:t xml:space="preserve">采矿业 </w:t>
            </w:r>
          </w:p>
        </w:tc>
        <w:tc>
          <w:tcPr>
            <w:tcW w:w="2985" w:type="dxa"/>
            <w:shd w:val="clear" w:color="auto" w:fill="auto"/>
          </w:tcPr>
          <w:p>
            <w:pPr>
              <w:pStyle w:val="7"/>
              <w:jc w:val="right"/>
            </w:pPr>
            <w:r>
              <w:rPr>
                <w:rFonts w:hint="eastAsia"/>
              </w:rPr>
              <w:t xml:space="preserve">29,776,605.89 </w:t>
            </w:r>
          </w:p>
        </w:tc>
        <w:tc>
          <w:tcPr>
            <w:tcW w:w="2565" w:type="dxa"/>
            <w:shd w:val="clear" w:color="auto" w:fill="auto"/>
          </w:tcPr>
          <w:p>
            <w:pPr>
              <w:pStyle w:val="7"/>
              <w:jc w:val="right"/>
            </w:pPr>
            <w:r>
              <w:rPr>
                <w:rFonts w:hint="eastAsia"/>
              </w:rPr>
              <w:t xml:space="preserve">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C </w:t>
            </w:r>
          </w:p>
        </w:tc>
        <w:tc>
          <w:tcPr>
            <w:tcW w:w="3525" w:type="dxa"/>
            <w:shd w:val="clear" w:color="auto" w:fill="auto"/>
          </w:tcPr>
          <w:p>
            <w:pPr>
              <w:pStyle w:val="7"/>
              <w:ind w:left="105"/>
            </w:pPr>
            <w:r>
              <w:rPr>
                <w:rFonts w:hint="eastAsia"/>
              </w:rPr>
              <w:t xml:space="preserve">制造业 </w:t>
            </w:r>
          </w:p>
        </w:tc>
        <w:tc>
          <w:tcPr>
            <w:tcW w:w="2985" w:type="dxa"/>
            <w:shd w:val="clear" w:color="auto" w:fill="auto"/>
          </w:tcPr>
          <w:p>
            <w:pPr>
              <w:pStyle w:val="7"/>
              <w:jc w:val="right"/>
            </w:pPr>
            <w:r>
              <w:rPr>
                <w:rFonts w:hint="eastAsia"/>
              </w:rPr>
              <w:t xml:space="preserve">4,185,337,537.44 </w:t>
            </w:r>
          </w:p>
        </w:tc>
        <w:tc>
          <w:tcPr>
            <w:tcW w:w="2565" w:type="dxa"/>
            <w:shd w:val="clear" w:color="auto" w:fill="auto"/>
          </w:tcPr>
          <w:p>
            <w:pPr>
              <w:pStyle w:val="7"/>
              <w:jc w:val="right"/>
            </w:pPr>
            <w:r>
              <w:rPr>
                <w:rFonts w:hint="eastAsia"/>
              </w:rPr>
              <w:t xml:space="preserve">91.67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D </w:t>
            </w:r>
          </w:p>
        </w:tc>
        <w:tc>
          <w:tcPr>
            <w:tcW w:w="3525" w:type="dxa"/>
            <w:shd w:val="clear" w:color="auto" w:fill="auto"/>
          </w:tcPr>
          <w:p>
            <w:pPr>
              <w:pStyle w:val="7"/>
              <w:ind w:left="105"/>
            </w:pPr>
            <w:r>
              <w:rPr>
                <w:rFonts w:hint="eastAsia"/>
              </w:rPr>
              <w:t xml:space="preserve">电力、热力、燃气及水生产和供应业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E </w:t>
            </w:r>
          </w:p>
        </w:tc>
        <w:tc>
          <w:tcPr>
            <w:tcW w:w="3525" w:type="dxa"/>
            <w:shd w:val="clear" w:color="auto" w:fill="auto"/>
          </w:tcPr>
          <w:p>
            <w:pPr>
              <w:pStyle w:val="7"/>
              <w:ind w:left="105"/>
            </w:pPr>
            <w:r>
              <w:rPr>
                <w:rFonts w:hint="eastAsia"/>
              </w:rPr>
              <w:t xml:space="preserve">建筑业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F </w:t>
            </w:r>
          </w:p>
        </w:tc>
        <w:tc>
          <w:tcPr>
            <w:tcW w:w="3525" w:type="dxa"/>
            <w:shd w:val="clear" w:color="auto" w:fill="auto"/>
          </w:tcPr>
          <w:p>
            <w:pPr>
              <w:pStyle w:val="7"/>
              <w:ind w:left="105"/>
            </w:pPr>
            <w:r>
              <w:rPr>
                <w:rFonts w:hint="eastAsia"/>
              </w:rPr>
              <w:t xml:space="preserve">批发和零售业 </w:t>
            </w:r>
          </w:p>
        </w:tc>
        <w:tc>
          <w:tcPr>
            <w:tcW w:w="2985" w:type="dxa"/>
            <w:shd w:val="clear" w:color="auto" w:fill="auto"/>
          </w:tcPr>
          <w:p>
            <w:pPr>
              <w:pStyle w:val="7"/>
              <w:jc w:val="right"/>
            </w:pPr>
            <w:r>
              <w:rPr>
                <w:rFonts w:hint="eastAsia"/>
              </w:rPr>
              <w:t xml:space="preserve">95,059.14 </w:t>
            </w:r>
          </w:p>
        </w:tc>
        <w:tc>
          <w:tcPr>
            <w:tcW w:w="2565"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G </w:t>
            </w:r>
          </w:p>
        </w:tc>
        <w:tc>
          <w:tcPr>
            <w:tcW w:w="3525" w:type="dxa"/>
            <w:shd w:val="clear" w:color="auto" w:fill="auto"/>
          </w:tcPr>
          <w:p>
            <w:pPr>
              <w:pStyle w:val="7"/>
              <w:ind w:left="105"/>
            </w:pPr>
            <w:r>
              <w:rPr>
                <w:rFonts w:hint="eastAsia"/>
              </w:rPr>
              <w:t xml:space="preserve">交通运输、仓储和邮政业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H </w:t>
            </w:r>
          </w:p>
        </w:tc>
        <w:tc>
          <w:tcPr>
            <w:tcW w:w="3525" w:type="dxa"/>
            <w:shd w:val="clear" w:color="auto" w:fill="auto"/>
          </w:tcPr>
          <w:p>
            <w:pPr>
              <w:pStyle w:val="7"/>
              <w:ind w:left="105"/>
            </w:pPr>
            <w:r>
              <w:rPr>
                <w:rFonts w:hint="eastAsia"/>
              </w:rPr>
              <w:t xml:space="preserve">住宿和餐饮业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I </w:t>
            </w:r>
          </w:p>
        </w:tc>
        <w:tc>
          <w:tcPr>
            <w:tcW w:w="3525" w:type="dxa"/>
            <w:shd w:val="clear" w:color="auto" w:fill="auto"/>
          </w:tcPr>
          <w:p>
            <w:pPr>
              <w:pStyle w:val="7"/>
              <w:ind w:left="105"/>
            </w:pPr>
            <w:r>
              <w:rPr>
                <w:rFonts w:hint="eastAsia"/>
              </w:rPr>
              <w:t xml:space="preserve">信息传输、软件和信息技术服务业 </w:t>
            </w:r>
          </w:p>
        </w:tc>
        <w:tc>
          <w:tcPr>
            <w:tcW w:w="2985" w:type="dxa"/>
            <w:shd w:val="clear" w:color="auto" w:fill="auto"/>
          </w:tcPr>
          <w:p>
            <w:pPr>
              <w:pStyle w:val="7"/>
              <w:jc w:val="right"/>
            </w:pPr>
            <w:r>
              <w:rPr>
                <w:rFonts w:hint="eastAsia"/>
              </w:rPr>
              <w:t xml:space="preserve">127,672.25 </w:t>
            </w:r>
          </w:p>
        </w:tc>
        <w:tc>
          <w:tcPr>
            <w:tcW w:w="2565"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J </w:t>
            </w:r>
          </w:p>
        </w:tc>
        <w:tc>
          <w:tcPr>
            <w:tcW w:w="3525" w:type="dxa"/>
            <w:shd w:val="clear" w:color="auto" w:fill="auto"/>
          </w:tcPr>
          <w:p>
            <w:pPr>
              <w:pStyle w:val="7"/>
              <w:ind w:left="105"/>
            </w:pPr>
            <w:r>
              <w:rPr>
                <w:rFonts w:hint="eastAsia"/>
              </w:rPr>
              <w:t xml:space="preserve">金融业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K </w:t>
            </w:r>
          </w:p>
        </w:tc>
        <w:tc>
          <w:tcPr>
            <w:tcW w:w="3525" w:type="dxa"/>
            <w:shd w:val="clear" w:color="auto" w:fill="auto"/>
          </w:tcPr>
          <w:p>
            <w:pPr>
              <w:pStyle w:val="7"/>
              <w:ind w:left="105"/>
            </w:pPr>
            <w:r>
              <w:rPr>
                <w:rFonts w:hint="eastAsia"/>
              </w:rPr>
              <w:t xml:space="preserve">房地产业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L </w:t>
            </w:r>
          </w:p>
        </w:tc>
        <w:tc>
          <w:tcPr>
            <w:tcW w:w="3525" w:type="dxa"/>
            <w:shd w:val="clear" w:color="auto" w:fill="auto"/>
          </w:tcPr>
          <w:p>
            <w:pPr>
              <w:pStyle w:val="7"/>
              <w:ind w:left="105"/>
            </w:pPr>
            <w:r>
              <w:rPr>
                <w:rFonts w:hint="eastAsia"/>
              </w:rPr>
              <w:t xml:space="preserve">租赁和商务服务业 </w:t>
            </w:r>
          </w:p>
        </w:tc>
        <w:tc>
          <w:tcPr>
            <w:tcW w:w="2985" w:type="dxa"/>
            <w:shd w:val="clear" w:color="auto" w:fill="auto"/>
          </w:tcPr>
          <w:p>
            <w:pPr>
              <w:pStyle w:val="7"/>
              <w:jc w:val="right"/>
            </w:pPr>
            <w:r>
              <w:rPr>
                <w:rFonts w:hint="eastAsia"/>
              </w:rPr>
              <w:t xml:space="preserve">19,959.78 </w:t>
            </w:r>
          </w:p>
        </w:tc>
        <w:tc>
          <w:tcPr>
            <w:tcW w:w="2565"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M </w:t>
            </w:r>
          </w:p>
        </w:tc>
        <w:tc>
          <w:tcPr>
            <w:tcW w:w="3525" w:type="dxa"/>
            <w:shd w:val="clear" w:color="auto" w:fill="auto"/>
          </w:tcPr>
          <w:p>
            <w:pPr>
              <w:pStyle w:val="7"/>
              <w:ind w:left="105"/>
            </w:pPr>
            <w:r>
              <w:rPr>
                <w:rFonts w:hint="eastAsia"/>
              </w:rPr>
              <w:t xml:space="preserve">科学研究和技术服务业 </w:t>
            </w:r>
          </w:p>
        </w:tc>
        <w:tc>
          <w:tcPr>
            <w:tcW w:w="2985" w:type="dxa"/>
            <w:shd w:val="clear" w:color="auto" w:fill="auto"/>
          </w:tcPr>
          <w:p>
            <w:pPr>
              <w:pStyle w:val="7"/>
              <w:jc w:val="right"/>
            </w:pPr>
            <w:r>
              <w:rPr>
                <w:rFonts w:hint="eastAsia"/>
              </w:rPr>
              <w:t xml:space="preserve">24,259,545.81 </w:t>
            </w:r>
          </w:p>
        </w:tc>
        <w:tc>
          <w:tcPr>
            <w:tcW w:w="2565" w:type="dxa"/>
            <w:shd w:val="clear" w:color="auto" w:fill="auto"/>
          </w:tcPr>
          <w:p>
            <w:pPr>
              <w:pStyle w:val="7"/>
              <w:jc w:val="right"/>
            </w:pPr>
            <w:r>
              <w:rPr>
                <w:rFonts w:hint="eastAsia"/>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N </w:t>
            </w:r>
          </w:p>
        </w:tc>
        <w:tc>
          <w:tcPr>
            <w:tcW w:w="3525" w:type="dxa"/>
            <w:shd w:val="clear" w:color="auto" w:fill="auto"/>
          </w:tcPr>
          <w:p>
            <w:pPr>
              <w:pStyle w:val="7"/>
              <w:ind w:left="105"/>
            </w:pPr>
            <w:r>
              <w:rPr>
                <w:rFonts w:hint="eastAsia"/>
              </w:rPr>
              <w:t xml:space="preserve">水利、环境和公共设施管理业 </w:t>
            </w:r>
          </w:p>
        </w:tc>
        <w:tc>
          <w:tcPr>
            <w:tcW w:w="2985" w:type="dxa"/>
            <w:shd w:val="clear" w:color="auto" w:fill="auto"/>
          </w:tcPr>
          <w:p>
            <w:pPr>
              <w:pStyle w:val="7"/>
              <w:jc w:val="right"/>
            </w:pPr>
            <w:r>
              <w:rPr>
                <w:rFonts w:hint="eastAsia"/>
              </w:rPr>
              <w:t xml:space="preserve">24,378.42 </w:t>
            </w:r>
          </w:p>
        </w:tc>
        <w:tc>
          <w:tcPr>
            <w:tcW w:w="2565"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O </w:t>
            </w:r>
          </w:p>
        </w:tc>
        <w:tc>
          <w:tcPr>
            <w:tcW w:w="3525" w:type="dxa"/>
            <w:shd w:val="clear" w:color="auto" w:fill="auto"/>
          </w:tcPr>
          <w:p>
            <w:pPr>
              <w:pStyle w:val="7"/>
              <w:ind w:left="105"/>
            </w:pPr>
            <w:r>
              <w:rPr>
                <w:rFonts w:hint="eastAsia"/>
              </w:rPr>
              <w:t xml:space="preserve">居民服务、修理和其他服务业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P </w:t>
            </w:r>
          </w:p>
        </w:tc>
        <w:tc>
          <w:tcPr>
            <w:tcW w:w="3525" w:type="dxa"/>
            <w:shd w:val="clear" w:color="auto" w:fill="auto"/>
          </w:tcPr>
          <w:p>
            <w:pPr>
              <w:pStyle w:val="7"/>
              <w:ind w:left="105"/>
            </w:pPr>
            <w:r>
              <w:rPr>
                <w:rFonts w:hint="eastAsia"/>
              </w:rPr>
              <w:t xml:space="preserve">教育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Q </w:t>
            </w:r>
          </w:p>
        </w:tc>
        <w:tc>
          <w:tcPr>
            <w:tcW w:w="3525" w:type="dxa"/>
            <w:shd w:val="clear" w:color="auto" w:fill="auto"/>
          </w:tcPr>
          <w:p>
            <w:pPr>
              <w:pStyle w:val="7"/>
              <w:ind w:left="105"/>
            </w:pPr>
            <w:r>
              <w:rPr>
                <w:rFonts w:hint="eastAsia"/>
              </w:rPr>
              <w:t xml:space="preserve">卫生和社会工作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R </w:t>
            </w:r>
          </w:p>
        </w:tc>
        <w:tc>
          <w:tcPr>
            <w:tcW w:w="3525" w:type="dxa"/>
            <w:shd w:val="clear" w:color="auto" w:fill="auto"/>
          </w:tcPr>
          <w:p>
            <w:pPr>
              <w:pStyle w:val="7"/>
              <w:ind w:left="105"/>
            </w:pPr>
            <w:r>
              <w:rPr>
                <w:rFonts w:hint="eastAsia"/>
              </w:rPr>
              <w:t xml:space="preserve">文化、体育和娱乐业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S </w:t>
            </w:r>
          </w:p>
        </w:tc>
        <w:tc>
          <w:tcPr>
            <w:tcW w:w="3525" w:type="dxa"/>
            <w:shd w:val="clear" w:color="auto" w:fill="auto"/>
          </w:tcPr>
          <w:p>
            <w:pPr>
              <w:pStyle w:val="7"/>
              <w:ind w:left="105"/>
            </w:pPr>
            <w:r>
              <w:rPr>
                <w:rFonts w:hint="eastAsia"/>
              </w:rPr>
              <w:t xml:space="preserve">综合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rPr>
                <w:rFonts w:ascii="宋体" w:hAnsi="宋体" w:eastAsia="宋体" w:cs="宋体"/>
                <w:sz w:val="24"/>
                <w:szCs w:val="24"/>
              </w:rPr>
            </w:pPr>
          </w:p>
        </w:tc>
        <w:tc>
          <w:tcPr>
            <w:tcW w:w="3525" w:type="dxa"/>
            <w:shd w:val="clear" w:color="auto" w:fill="auto"/>
          </w:tcPr>
          <w:p>
            <w:pPr>
              <w:pStyle w:val="7"/>
              <w:ind w:left="105"/>
            </w:pPr>
            <w:r>
              <w:rPr>
                <w:rFonts w:hint="eastAsia"/>
              </w:rPr>
              <w:t xml:space="preserve">合计 </w:t>
            </w:r>
          </w:p>
        </w:tc>
        <w:tc>
          <w:tcPr>
            <w:tcW w:w="2985" w:type="dxa"/>
            <w:shd w:val="clear" w:color="auto" w:fill="auto"/>
          </w:tcPr>
          <w:p>
            <w:pPr>
              <w:pStyle w:val="7"/>
              <w:jc w:val="right"/>
            </w:pPr>
            <w:r>
              <w:rPr>
                <w:rFonts w:hint="eastAsia"/>
              </w:rPr>
              <w:t xml:space="preserve">4,239,640,758.73 </w:t>
            </w:r>
          </w:p>
        </w:tc>
        <w:tc>
          <w:tcPr>
            <w:tcW w:w="2565" w:type="dxa"/>
            <w:shd w:val="clear" w:color="auto" w:fill="auto"/>
          </w:tcPr>
          <w:p>
            <w:pPr>
              <w:pStyle w:val="7"/>
              <w:jc w:val="right"/>
            </w:pPr>
            <w:r>
              <w:rPr>
                <w:rFonts w:hint="eastAsia"/>
              </w:rPr>
              <w:t xml:space="preserve">92.86 </w:t>
            </w:r>
          </w:p>
        </w:tc>
      </w:tr>
    </w:tbl>
    <w:p>
      <w:pPr>
        <w:pStyle w:val="7"/>
        <w:spacing w:before="0" w:beforeAutospacing="0" w:after="0" w:afterAutospacing="0" w:line="360" w:lineRule="auto"/>
        <w:ind w:firstLine="420"/>
        <w:rPr>
          <w:sz w:val="21"/>
          <w:szCs w:val="21"/>
        </w:rPr>
      </w:pPr>
      <w:r>
        <w:rPr>
          <w:rFonts w:hint="eastAsia"/>
          <w:b/>
          <w:bCs/>
          <w:sz w:val="21"/>
          <w:szCs w:val="21"/>
        </w:rPr>
        <w:t>3报告期末按公允价值占基金资产净值比例大小排序的前十名股票投资明细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230"/>
        <w:gridCol w:w="1088"/>
        <w:gridCol w:w="1630"/>
        <w:gridCol w:w="1912"/>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序号 </w:t>
            </w:r>
          </w:p>
        </w:tc>
        <w:tc>
          <w:tcPr>
            <w:tcW w:w="1380" w:type="dxa"/>
            <w:shd w:val="clear" w:color="auto" w:fill="auto"/>
          </w:tcPr>
          <w:p>
            <w:pPr>
              <w:pStyle w:val="7"/>
              <w:jc w:val="center"/>
            </w:pPr>
            <w:r>
              <w:rPr>
                <w:rFonts w:hint="eastAsia"/>
              </w:rPr>
              <w:t xml:space="preserve">股票代码 </w:t>
            </w:r>
          </w:p>
        </w:tc>
        <w:tc>
          <w:tcPr>
            <w:tcW w:w="1410" w:type="dxa"/>
            <w:shd w:val="clear" w:color="auto" w:fill="auto"/>
          </w:tcPr>
          <w:p>
            <w:pPr>
              <w:pStyle w:val="7"/>
              <w:jc w:val="center"/>
            </w:pPr>
            <w:r>
              <w:rPr>
                <w:rFonts w:hint="eastAsia"/>
              </w:rPr>
              <w:t xml:space="preserve">股票名称 </w:t>
            </w:r>
          </w:p>
        </w:tc>
        <w:tc>
          <w:tcPr>
            <w:tcW w:w="1800" w:type="dxa"/>
            <w:shd w:val="clear" w:color="auto" w:fill="auto"/>
          </w:tcPr>
          <w:p>
            <w:pPr>
              <w:pStyle w:val="7"/>
              <w:jc w:val="center"/>
            </w:pPr>
            <w:r>
              <w:rPr>
                <w:rFonts w:hint="eastAsia"/>
              </w:rPr>
              <w:t xml:space="preserve">数量(股) </w:t>
            </w:r>
          </w:p>
        </w:tc>
        <w:tc>
          <w:tcPr>
            <w:tcW w:w="1920" w:type="dxa"/>
            <w:shd w:val="clear" w:color="auto" w:fill="auto"/>
          </w:tcPr>
          <w:p>
            <w:pPr>
              <w:pStyle w:val="7"/>
              <w:jc w:val="center"/>
            </w:pPr>
            <w:r>
              <w:rPr>
                <w:rFonts w:hint="eastAsia"/>
              </w:rPr>
              <w:t xml:space="preserve">公允价值(元) </w:t>
            </w:r>
          </w:p>
        </w:tc>
        <w:tc>
          <w:tcPr>
            <w:tcW w:w="265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1 </w:t>
            </w:r>
          </w:p>
        </w:tc>
        <w:tc>
          <w:tcPr>
            <w:tcW w:w="1380" w:type="dxa"/>
            <w:shd w:val="clear" w:color="auto" w:fill="auto"/>
          </w:tcPr>
          <w:p>
            <w:pPr>
              <w:pStyle w:val="7"/>
              <w:jc w:val="center"/>
            </w:pPr>
            <w:r>
              <w:rPr>
                <w:rFonts w:hint="eastAsia"/>
              </w:rPr>
              <w:t xml:space="preserve">000733 </w:t>
            </w:r>
          </w:p>
        </w:tc>
        <w:tc>
          <w:tcPr>
            <w:tcW w:w="1410" w:type="dxa"/>
            <w:shd w:val="clear" w:color="auto" w:fill="auto"/>
          </w:tcPr>
          <w:p>
            <w:pPr>
              <w:pStyle w:val="7"/>
              <w:jc w:val="center"/>
            </w:pPr>
            <w:r>
              <w:rPr>
                <w:rFonts w:hint="eastAsia"/>
              </w:rPr>
              <w:t xml:space="preserve">振华科技 </w:t>
            </w:r>
          </w:p>
        </w:tc>
        <w:tc>
          <w:tcPr>
            <w:tcW w:w="1800" w:type="dxa"/>
            <w:shd w:val="clear" w:color="auto" w:fill="auto"/>
          </w:tcPr>
          <w:p>
            <w:pPr>
              <w:pStyle w:val="7"/>
              <w:jc w:val="right"/>
            </w:pPr>
            <w:r>
              <w:rPr>
                <w:rFonts w:hint="eastAsia"/>
              </w:rPr>
              <w:t xml:space="preserve">3,270,766 </w:t>
            </w:r>
          </w:p>
        </w:tc>
        <w:tc>
          <w:tcPr>
            <w:tcW w:w="1920" w:type="dxa"/>
            <w:shd w:val="clear" w:color="auto" w:fill="auto"/>
          </w:tcPr>
          <w:p>
            <w:pPr>
              <w:pStyle w:val="7"/>
              <w:jc w:val="right"/>
            </w:pPr>
            <w:r>
              <w:rPr>
                <w:rFonts w:hint="eastAsia"/>
              </w:rPr>
              <w:t xml:space="preserve">444,726,053.02 </w:t>
            </w:r>
          </w:p>
        </w:tc>
        <w:tc>
          <w:tcPr>
            <w:tcW w:w="2655" w:type="dxa"/>
            <w:shd w:val="clear" w:color="auto" w:fill="auto"/>
          </w:tcPr>
          <w:p>
            <w:pPr>
              <w:pStyle w:val="7"/>
              <w:jc w:val="right"/>
            </w:pPr>
            <w:r>
              <w:rPr>
                <w:rFonts w:hint="eastAsia"/>
              </w:rPr>
              <w:t xml:space="preserve">9.74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2 </w:t>
            </w:r>
          </w:p>
        </w:tc>
        <w:tc>
          <w:tcPr>
            <w:tcW w:w="1380" w:type="dxa"/>
            <w:shd w:val="clear" w:color="auto" w:fill="auto"/>
          </w:tcPr>
          <w:p>
            <w:pPr>
              <w:pStyle w:val="7"/>
              <w:jc w:val="center"/>
            </w:pPr>
            <w:r>
              <w:rPr>
                <w:rFonts w:hint="eastAsia"/>
              </w:rPr>
              <w:t xml:space="preserve">002179 </w:t>
            </w:r>
          </w:p>
        </w:tc>
        <w:tc>
          <w:tcPr>
            <w:tcW w:w="1410" w:type="dxa"/>
            <w:shd w:val="clear" w:color="auto" w:fill="auto"/>
          </w:tcPr>
          <w:p>
            <w:pPr>
              <w:pStyle w:val="7"/>
              <w:jc w:val="center"/>
            </w:pPr>
            <w:r>
              <w:rPr>
                <w:rFonts w:hint="eastAsia"/>
              </w:rPr>
              <w:t xml:space="preserve">中航光电 </w:t>
            </w:r>
          </w:p>
        </w:tc>
        <w:tc>
          <w:tcPr>
            <w:tcW w:w="1800" w:type="dxa"/>
            <w:shd w:val="clear" w:color="auto" w:fill="auto"/>
          </w:tcPr>
          <w:p>
            <w:pPr>
              <w:pStyle w:val="7"/>
              <w:jc w:val="right"/>
            </w:pPr>
            <w:r>
              <w:rPr>
                <w:rFonts w:hint="eastAsia"/>
              </w:rPr>
              <w:t xml:space="preserve">6,045,585 </w:t>
            </w:r>
          </w:p>
        </w:tc>
        <w:tc>
          <w:tcPr>
            <w:tcW w:w="1920" w:type="dxa"/>
            <w:shd w:val="clear" w:color="auto" w:fill="auto"/>
          </w:tcPr>
          <w:p>
            <w:pPr>
              <w:pStyle w:val="7"/>
              <w:jc w:val="right"/>
            </w:pPr>
            <w:r>
              <w:rPr>
                <w:rFonts w:hint="eastAsia"/>
              </w:rPr>
              <w:t xml:space="preserve">382,806,442.20 </w:t>
            </w:r>
          </w:p>
        </w:tc>
        <w:tc>
          <w:tcPr>
            <w:tcW w:w="2655" w:type="dxa"/>
            <w:shd w:val="clear" w:color="auto" w:fill="auto"/>
          </w:tcPr>
          <w:p>
            <w:pPr>
              <w:pStyle w:val="7"/>
              <w:jc w:val="right"/>
            </w:pPr>
            <w:r>
              <w:rPr>
                <w:rFonts w:hint="eastAsia"/>
              </w:rPr>
              <w:t xml:space="preserve">8.38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3 </w:t>
            </w:r>
          </w:p>
        </w:tc>
        <w:tc>
          <w:tcPr>
            <w:tcW w:w="1380" w:type="dxa"/>
            <w:shd w:val="clear" w:color="auto" w:fill="auto"/>
          </w:tcPr>
          <w:p>
            <w:pPr>
              <w:pStyle w:val="7"/>
              <w:jc w:val="center"/>
            </w:pPr>
            <w:r>
              <w:rPr>
                <w:rFonts w:hint="eastAsia"/>
              </w:rPr>
              <w:t xml:space="preserve">600760 </w:t>
            </w:r>
          </w:p>
        </w:tc>
        <w:tc>
          <w:tcPr>
            <w:tcW w:w="1410" w:type="dxa"/>
            <w:shd w:val="clear" w:color="auto" w:fill="auto"/>
          </w:tcPr>
          <w:p>
            <w:pPr>
              <w:pStyle w:val="7"/>
              <w:jc w:val="center"/>
            </w:pPr>
            <w:r>
              <w:rPr>
                <w:rFonts w:hint="eastAsia"/>
              </w:rPr>
              <w:t xml:space="preserve">中航沈飞 </w:t>
            </w:r>
          </w:p>
        </w:tc>
        <w:tc>
          <w:tcPr>
            <w:tcW w:w="1800" w:type="dxa"/>
            <w:shd w:val="clear" w:color="auto" w:fill="auto"/>
          </w:tcPr>
          <w:p>
            <w:pPr>
              <w:pStyle w:val="7"/>
              <w:jc w:val="right"/>
            </w:pPr>
            <w:r>
              <w:rPr>
                <w:rFonts w:hint="eastAsia"/>
              </w:rPr>
              <w:t xml:space="preserve">6,145,983 </w:t>
            </w:r>
          </w:p>
        </w:tc>
        <w:tc>
          <w:tcPr>
            <w:tcW w:w="1920" w:type="dxa"/>
            <w:shd w:val="clear" w:color="auto" w:fill="auto"/>
          </w:tcPr>
          <w:p>
            <w:pPr>
              <w:pStyle w:val="7"/>
              <w:jc w:val="right"/>
            </w:pPr>
            <w:r>
              <w:rPr>
                <w:rFonts w:hint="eastAsia"/>
              </w:rPr>
              <w:t xml:space="preserve">371,524,672.35 </w:t>
            </w:r>
          </w:p>
        </w:tc>
        <w:tc>
          <w:tcPr>
            <w:tcW w:w="2655" w:type="dxa"/>
            <w:shd w:val="clear" w:color="auto" w:fill="auto"/>
          </w:tcPr>
          <w:p>
            <w:pPr>
              <w:pStyle w:val="7"/>
              <w:jc w:val="right"/>
            </w:pPr>
            <w:r>
              <w:rPr>
                <w:rFonts w:hint="eastAsia"/>
              </w:rPr>
              <w:t xml:space="preserve">8.14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4 </w:t>
            </w:r>
          </w:p>
        </w:tc>
        <w:tc>
          <w:tcPr>
            <w:tcW w:w="1380" w:type="dxa"/>
            <w:shd w:val="clear" w:color="auto" w:fill="auto"/>
          </w:tcPr>
          <w:p>
            <w:pPr>
              <w:pStyle w:val="7"/>
              <w:jc w:val="center"/>
            </w:pPr>
            <w:r>
              <w:rPr>
                <w:rFonts w:hint="eastAsia"/>
              </w:rPr>
              <w:t xml:space="preserve">603267 </w:t>
            </w:r>
          </w:p>
        </w:tc>
        <w:tc>
          <w:tcPr>
            <w:tcW w:w="1410" w:type="dxa"/>
            <w:shd w:val="clear" w:color="auto" w:fill="auto"/>
          </w:tcPr>
          <w:p>
            <w:pPr>
              <w:pStyle w:val="7"/>
              <w:jc w:val="center"/>
            </w:pPr>
            <w:r>
              <w:rPr>
                <w:rFonts w:hint="eastAsia"/>
              </w:rPr>
              <w:t xml:space="preserve">鸿远电子 </w:t>
            </w:r>
          </w:p>
        </w:tc>
        <w:tc>
          <w:tcPr>
            <w:tcW w:w="1800" w:type="dxa"/>
            <w:shd w:val="clear" w:color="auto" w:fill="auto"/>
          </w:tcPr>
          <w:p>
            <w:pPr>
              <w:pStyle w:val="7"/>
              <w:jc w:val="right"/>
            </w:pPr>
            <w:r>
              <w:rPr>
                <w:rFonts w:hint="eastAsia"/>
              </w:rPr>
              <w:t xml:space="preserve">2,560,611 </w:t>
            </w:r>
          </w:p>
        </w:tc>
        <w:tc>
          <w:tcPr>
            <w:tcW w:w="1920" w:type="dxa"/>
            <w:shd w:val="clear" w:color="auto" w:fill="auto"/>
          </w:tcPr>
          <w:p>
            <w:pPr>
              <w:pStyle w:val="7"/>
              <w:jc w:val="right"/>
            </w:pPr>
            <w:r>
              <w:rPr>
                <w:rFonts w:hint="eastAsia"/>
              </w:rPr>
              <w:t xml:space="preserve">343,966,875.63 </w:t>
            </w:r>
          </w:p>
        </w:tc>
        <w:tc>
          <w:tcPr>
            <w:tcW w:w="2655" w:type="dxa"/>
            <w:shd w:val="clear" w:color="auto" w:fill="auto"/>
          </w:tcPr>
          <w:p>
            <w:pPr>
              <w:pStyle w:val="7"/>
              <w:jc w:val="right"/>
            </w:pPr>
            <w:r>
              <w:rPr>
                <w:rFonts w:hint="eastAsia"/>
              </w:rPr>
              <w:t xml:space="preserve">7.53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5 </w:t>
            </w:r>
          </w:p>
        </w:tc>
        <w:tc>
          <w:tcPr>
            <w:tcW w:w="1380" w:type="dxa"/>
            <w:shd w:val="clear" w:color="auto" w:fill="auto"/>
          </w:tcPr>
          <w:p>
            <w:pPr>
              <w:pStyle w:val="7"/>
              <w:jc w:val="center"/>
            </w:pPr>
            <w:r>
              <w:rPr>
                <w:rFonts w:hint="eastAsia"/>
              </w:rPr>
              <w:t xml:space="preserve">002025 </w:t>
            </w:r>
          </w:p>
        </w:tc>
        <w:tc>
          <w:tcPr>
            <w:tcW w:w="1410" w:type="dxa"/>
            <w:shd w:val="clear" w:color="auto" w:fill="auto"/>
          </w:tcPr>
          <w:p>
            <w:pPr>
              <w:pStyle w:val="7"/>
              <w:jc w:val="center"/>
            </w:pPr>
            <w:r>
              <w:rPr>
                <w:rFonts w:hint="eastAsia"/>
              </w:rPr>
              <w:t xml:space="preserve">航天电器 </w:t>
            </w:r>
          </w:p>
        </w:tc>
        <w:tc>
          <w:tcPr>
            <w:tcW w:w="1800" w:type="dxa"/>
            <w:shd w:val="clear" w:color="auto" w:fill="auto"/>
          </w:tcPr>
          <w:p>
            <w:pPr>
              <w:pStyle w:val="7"/>
              <w:jc w:val="right"/>
            </w:pPr>
            <w:r>
              <w:rPr>
                <w:rFonts w:hint="eastAsia"/>
              </w:rPr>
              <w:t xml:space="preserve">4,522,440 </w:t>
            </w:r>
          </w:p>
        </w:tc>
        <w:tc>
          <w:tcPr>
            <w:tcW w:w="1920" w:type="dxa"/>
            <w:shd w:val="clear" w:color="auto" w:fill="auto"/>
          </w:tcPr>
          <w:p>
            <w:pPr>
              <w:pStyle w:val="7"/>
              <w:jc w:val="right"/>
            </w:pPr>
            <w:r>
              <w:rPr>
                <w:rFonts w:hint="eastAsia"/>
              </w:rPr>
              <w:t xml:space="preserve">315,756,760.80 </w:t>
            </w:r>
          </w:p>
        </w:tc>
        <w:tc>
          <w:tcPr>
            <w:tcW w:w="2655" w:type="dxa"/>
            <w:shd w:val="clear" w:color="auto" w:fill="auto"/>
          </w:tcPr>
          <w:p>
            <w:pPr>
              <w:pStyle w:val="7"/>
              <w:jc w:val="right"/>
            </w:pPr>
            <w:r>
              <w:rPr>
                <w:rFonts w:hint="eastAsia"/>
              </w:rPr>
              <w:t xml:space="preserve">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6 </w:t>
            </w:r>
          </w:p>
        </w:tc>
        <w:tc>
          <w:tcPr>
            <w:tcW w:w="1380" w:type="dxa"/>
            <w:shd w:val="clear" w:color="auto" w:fill="auto"/>
          </w:tcPr>
          <w:p>
            <w:pPr>
              <w:pStyle w:val="7"/>
              <w:jc w:val="center"/>
            </w:pPr>
            <w:r>
              <w:rPr>
                <w:rFonts w:hint="eastAsia"/>
              </w:rPr>
              <w:t xml:space="preserve">002049 </w:t>
            </w:r>
          </w:p>
        </w:tc>
        <w:tc>
          <w:tcPr>
            <w:tcW w:w="1410" w:type="dxa"/>
            <w:shd w:val="clear" w:color="auto" w:fill="auto"/>
          </w:tcPr>
          <w:p>
            <w:pPr>
              <w:pStyle w:val="7"/>
              <w:jc w:val="center"/>
            </w:pPr>
            <w:r>
              <w:rPr>
                <w:rFonts w:hint="eastAsia"/>
              </w:rPr>
              <w:t xml:space="preserve">紫光国微 </w:t>
            </w:r>
          </w:p>
        </w:tc>
        <w:tc>
          <w:tcPr>
            <w:tcW w:w="1800" w:type="dxa"/>
            <w:shd w:val="clear" w:color="auto" w:fill="auto"/>
          </w:tcPr>
          <w:p>
            <w:pPr>
              <w:pStyle w:val="7"/>
              <w:jc w:val="right"/>
            </w:pPr>
            <w:r>
              <w:rPr>
                <w:rFonts w:hint="eastAsia"/>
              </w:rPr>
              <w:t xml:space="preserve">1,572,300 </w:t>
            </w:r>
          </w:p>
        </w:tc>
        <w:tc>
          <w:tcPr>
            <w:tcW w:w="1920" w:type="dxa"/>
            <w:shd w:val="clear" w:color="auto" w:fill="auto"/>
          </w:tcPr>
          <w:p>
            <w:pPr>
              <w:pStyle w:val="7"/>
              <w:jc w:val="right"/>
            </w:pPr>
            <w:r>
              <w:rPr>
                <w:rFonts w:hint="eastAsia"/>
              </w:rPr>
              <w:t xml:space="preserve">298,296,756.00 </w:t>
            </w:r>
          </w:p>
        </w:tc>
        <w:tc>
          <w:tcPr>
            <w:tcW w:w="2655" w:type="dxa"/>
            <w:shd w:val="clear" w:color="auto" w:fill="auto"/>
          </w:tcPr>
          <w:p>
            <w:pPr>
              <w:pStyle w:val="7"/>
              <w:jc w:val="right"/>
            </w:pPr>
            <w:r>
              <w:rPr>
                <w:rFonts w:hint="eastAsia"/>
              </w:rPr>
              <w:t xml:space="preserve">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7 </w:t>
            </w:r>
          </w:p>
        </w:tc>
        <w:tc>
          <w:tcPr>
            <w:tcW w:w="1380" w:type="dxa"/>
            <w:shd w:val="clear" w:color="auto" w:fill="auto"/>
          </w:tcPr>
          <w:p>
            <w:pPr>
              <w:pStyle w:val="7"/>
              <w:jc w:val="center"/>
            </w:pPr>
            <w:r>
              <w:rPr>
                <w:rFonts w:hint="eastAsia"/>
              </w:rPr>
              <w:t xml:space="preserve">603712 </w:t>
            </w:r>
          </w:p>
        </w:tc>
        <w:tc>
          <w:tcPr>
            <w:tcW w:w="1410" w:type="dxa"/>
            <w:shd w:val="clear" w:color="auto" w:fill="auto"/>
          </w:tcPr>
          <w:p>
            <w:pPr>
              <w:pStyle w:val="7"/>
              <w:jc w:val="center"/>
            </w:pPr>
            <w:r>
              <w:rPr>
                <w:rFonts w:hint="eastAsia"/>
              </w:rPr>
              <w:t xml:space="preserve">七一二 </w:t>
            </w:r>
          </w:p>
        </w:tc>
        <w:tc>
          <w:tcPr>
            <w:tcW w:w="1800" w:type="dxa"/>
            <w:shd w:val="clear" w:color="auto" w:fill="auto"/>
          </w:tcPr>
          <w:p>
            <w:pPr>
              <w:pStyle w:val="7"/>
              <w:jc w:val="right"/>
            </w:pPr>
            <w:r>
              <w:rPr>
                <w:rFonts w:hint="eastAsia"/>
              </w:rPr>
              <w:t xml:space="preserve">8,362,349 </w:t>
            </w:r>
          </w:p>
        </w:tc>
        <w:tc>
          <w:tcPr>
            <w:tcW w:w="1920" w:type="dxa"/>
            <w:shd w:val="clear" w:color="auto" w:fill="auto"/>
          </w:tcPr>
          <w:p>
            <w:pPr>
              <w:pStyle w:val="7"/>
              <w:jc w:val="right"/>
            </w:pPr>
            <w:r>
              <w:rPr>
                <w:rFonts w:hint="eastAsia"/>
              </w:rPr>
              <w:t xml:space="preserve">263,413,993.50 </w:t>
            </w:r>
          </w:p>
        </w:tc>
        <w:tc>
          <w:tcPr>
            <w:tcW w:w="2655" w:type="dxa"/>
            <w:shd w:val="clear" w:color="auto" w:fill="auto"/>
          </w:tcPr>
          <w:p>
            <w:pPr>
              <w:pStyle w:val="7"/>
              <w:jc w:val="right"/>
            </w:pPr>
            <w:r>
              <w:rPr>
                <w:rFonts w:hint="eastAsia"/>
              </w:rPr>
              <w:t xml:space="preserve">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8 </w:t>
            </w:r>
          </w:p>
        </w:tc>
        <w:tc>
          <w:tcPr>
            <w:tcW w:w="1380" w:type="dxa"/>
            <w:shd w:val="clear" w:color="auto" w:fill="auto"/>
          </w:tcPr>
          <w:p>
            <w:pPr>
              <w:pStyle w:val="7"/>
              <w:jc w:val="center"/>
            </w:pPr>
            <w:r>
              <w:rPr>
                <w:rFonts w:hint="eastAsia"/>
              </w:rPr>
              <w:t xml:space="preserve">605123 </w:t>
            </w:r>
          </w:p>
        </w:tc>
        <w:tc>
          <w:tcPr>
            <w:tcW w:w="1410" w:type="dxa"/>
            <w:shd w:val="clear" w:color="auto" w:fill="auto"/>
          </w:tcPr>
          <w:p>
            <w:pPr>
              <w:pStyle w:val="7"/>
              <w:jc w:val="center"/>
            </w:pPr>
            <w:r>
              <w:rPr>
                <w:rFonts w:hint="eastAsia"/>
              </w:rPr>
              <w:t xml:space="preserve">派克新材 </w:t>
            </w:r>
          </w:p>
        </w:tc>
        <w:tc>
          <w:tcPr>
            <w:tcW w:w="1800" w:type="dxa"/>
            <w:shd w:val="clear" w:color="auto" w:fill="auto"/>
          </w:tcPr>
          <w:p>
            <w:pPr>
              <w:pStyle w:val="7"/>
              <w:jc w:val="right"/>
            </w:pPr>
            <w:r>
              <w:rPr>
                <w:rFonts w:hint="eastAsia"/>
              </w:rPr>
              <w:t xml:space="preserve">1,871,838 </w:t>
            </w:r>
          </w:p>
        </w:tc>
        <w:tc>
          <w:tcPr>
            <w:tcW w:w="1920" w:type="dxa"/>
            <w:shd w:val="clear" w:color="auto" w:fill="auto"/>
          </w:tcPr>
          <w:p>
            <w:pPr>
              <w:pStyle w:val="7"/>
              <w:jc w:val="right"/>
            </w:pPr>
            <w:r>
              <w:rPr>
                <w:rFonts w:hint="eastAsia"/>
              </w:rPr>
              <w:t xml:space="preserve">263,405,043.36 </w:t>
            </w:r>
          </w:p>
        </w:tc>
        <w:tc>
          <w:tcPr>
            <w:tcW w:w="2655" w:type="dxa"/>
            <w:shd w:val="clear" w:color="auto" w:fill="auto"/>
          </w:tcPr>
          <w:p>
            <w:pPr>
              <w:pStyle w:val="7"/>
              <w:jc w:val="right"/>
            </w:pPr>
            <w:r>
              <w:rPr>
                <w:rFonts w:hint="eastAsia"/>
              </w:rPr>
              <w:t xml:space="preserve">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9 </w:t>
            </w:r>
          </w:p>
        </w:tc>
        <w:tc>
          <w:tcPr>
            <w:tcW w:w="1380" w:type="dxa"/>
            <w:shd w:val="clear" w:color="auto" w:fill="auto"/>
          </w:tcPr>
          <w:p>
            <w:pPr>
              <w:pStyle w:val="7"/>
              <w:jc w:val="center"/>
            </w:pPr>
            <w:r>
              <w:rPr>
                <w:rFonts w:hint="eastAsia"/>
              </w:rPr>
              <w:t xml:space="preserve">600456 </w:t>
            </w:r>
          </w:p>
        </w:tc>
        <w:tc>
          <w:tcPr>
            <w:tcW w:w="1410" w:type="dxa"/>
            <w:shd w:val="clear" w:color="auto" w:fill="auto"/>
          </w:tcPr>
          <w:p>
            <w:pPr>
              <w:pStyle w:val="7"/>
              <w:jc w:val="center"/>
            </w:pPr>
            <w:r>
              <w:rPr>
                <w:rFonts w:hint="eastAsia"/>
              </w:rPr>
              <w:t xml:space="preserve">宝钛股份 </w:t>
            </w:r>
          </w:p>
        </w:tc>
        <w:tc>
          <w:tcPr>
            <w:tcW w:w="1800" w:type="dxa"/>
            <w:shd w:val="clear" w:color="auto" w:fill="auto"/>
          </w:tcPr>
          <w:p>
            <w:pPr>
              <w:pStyle w:val="7"/>
              <w:jc w:val="right"/>
            </w:pPr>
            <w:r>
              <w:rPr>
                <w:rFonts w:hint="eastAsia"/>
              </w:rPr>
              <w:t xml:space="preserve">3,672,156 </w:t>
            </w:r>
          </w:p>
        </w:tc>
        <w:tc>
          <w:tcPr>
            <w:tcW w:w="1920" w:type="dxa"/>
            <w:shd w:val="clear" w:color="auto" w:fill="auto"/>
          </w:tcPr>
          <w:p>
            <w:pPr>
              <w:pStyle w:val="7"/>
              <w:jc w:val="right"/>
            </w:pPr>
            <w:r>
              <w:rPr>
                <w:rFonts w:hint="eastAsia"/>
              </w:rPr>
              <w:t xml:space="preserve">218,126,066.40 </w:t>
            </w:r>
          </w:p>
        </w:tc>
        <w:tc>
          <w:tcPr>
            <w:tcW w:w="2655" w:type="dxa"/>
            <w:shd w:val="clear" w:color="auto" w:fill="auto"/>
          </w:tcPr>
          <w:p>
            <w:pPr>
              <w:pStyle w:val="7"/>
              <w:jc w:val="right"/>
            </w:pPr>
            <w:r>
              <w:rPr>
                <w:rFonts w:hint="eastAsia"/>
              </w:rPr>
              <w:t xml:space="preserve">4.78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10 </w:t>
            </w:r>
          </w:p>
        </w:tc>
        <w:tc>
          <w:tcPr>
            <w:tcW w:w="1380" w:type="dxa"/>
            <w:shd w:val="clear" w:color="auto" w:fill="auto"/>
          </w:tcPr>
          <w:p>
            <w:pPr>
              <w:pStyle w:val="7"/>
              <w:jc w:val="center"/>
            </w:pPr>
            <w:r>
              <w:rPr>
                <w:rFonts w:hint="eastAsia"/>
              </w:rPr>
              <w:t xml:space="preserve">000818 </w:t>
            </w:r>
          </w:p>
        </w:tc>
        <w:tc>
          <w:tcPr>
            <w:tcW w:w="1410" w:type="dxa"/>
            <w:shd w:val="clear" w:color="auto" w:fill="auto"/>
          </w:tcPr>
          <w:p>
            <w:pPr>
              <w:pStyle w:val="7"/>
              <w:jc w:val="center"/>
            </w:pPr>
            <w:r>
              <w:rPr>
                <w:rFonts w:hint="eastAsia"/>
              </w:rPr>
              <w:t xml:space="preserve">航锦科技 </w:t>
            </w:r>
          </w:p>
        </w:tc>
        <w:tc>
          <w:tcPr>
            <w:tcW w:w="1800" w:type="dxa"/>
            <w:shd w:val="clear" w:color="auto" w:fill="auto"/>
          </w:tcPr>
          <w:p>
            <w:pPr>
              <w:pStyle w:val="7"/>
              <w:jc w:val="right"/>
            </w:pPr>
            <w:r>
              <w:rPr>
                <w:rFonts w:hint="eastAsia"/>
              </w:rPr>
              <w:t xml:space="preserve">5,000,852 </w:t>
            </w:r>
          </w:p>
        </w:tc>
        <w:tc>
          <w:tcPr>
            <w:tcW w:w="1920" w:type="dxa"/>
            <w:shd w:val="clear" w:color="auto" w:fill="auto"/>
          </w:tcPr>
          <w:p>
            <w:pPr>
              <w:pStyle w:val="7"/>
              <w:jc w:val="right"/>
            </w:pPr>
            <w:r>
              <w:rPr>
                <w:rFonts w:hint="eastAsia"/>
              </w:rPr>
              <w:t xml:space="preserve">169,528,882.80 </w:t>
            </w:r>
          </w:p>
        </w:tc>
        <w:tc>
          <w:tcPr>
            <w:tcW w:w="2655" w:type="dxa"/>
            <w:shd w:val="clear" w:color="auto" w:fill="auto"/>
          </w:tcPr>
          <w:p>
            <w:pPr>
              <w:pStyle w:val="7"/>
              <w:jc w:val="right"/>
            </w:pPr>
            <w:r>
              <w:rPr>
                <w:rFonts w:hint="eastAsia"/>
              </w:rPr>
              <w:t xml:space="preserve">3.71 </w:t>
            </w:r>
          </w:p>
        </w:tc>
      </w:tr>
    </w:tbl>
    <w:p>
      <w:pPr>
        <w:pStyle w:val="7"/>
        <w:spacing w:before="0" w:beforeAutospacing="0" w:after="0" w:afterAutospacing="0" w:line="360" w:lineRule="auto"/>
        <w:ind w:firstLine="420"/>
        <w:rPr>
          <w:sz w:val="21"/>
          <w:szCs w:val="21"/>
        </w:rPr>
      </w:pPr>
      <w:r>
        <w:rPr>
          <w:rFonts w:hint="eastAsia"/>
          <w:b/>
          <w:bCs/>
          <w:sz w:val="21"/>
          <w:szCs w:val="21"/>
        </w:rPr>
        <w:t>4报告期末按债券品种分类的债券投资组合</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本基金本报告期末未持有债券。 </w:t>
      </w:r>
    </w:p>
    <w:p>
      <w:pPr>
        <w:pStyle w:val="7"/>
        <w:spacing w:before="0" w:beforeAutospacing="0" w:after="0" w:afterAutospacing="0" w:line="360" w:lineRule="auto"/>
        <w:ind w:firstLine="420"/>
        <w:rPr>
          <w:sz w:val="21"/>
          <w:szCs w:val="21"/>
        </w:rPr>
      </w:pPr>
      <w:r>
        <w:rPr>
          <w:rFonts w:hint="eastAsia"/>
          <w:b/>
          <w:bCs/>
          <w:sz w:val="21"/>
          <w:szCs w:val="21"/>
        </w:rPr>
        <w:t>5报告期末按公允价值占基金资产净值比例大小排序的前五名债券投资明细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本基金本报告期末未持有债券。 </w:t>
      </w:r>
    </w:p>
    <w:p>
      <w:pPr>
        <w:pStyle w:val="7"/>
        <w:spacing w:before="0" w:beforeAutospacing="0" w:after="0" w:afterAutospacing="0" w:line="360" w:lineRule="auto"/>
        <w:ind w:firstLine="420"/>
        <w:rPr>
          <w:sz w:val="21"/>
          <w:szCs w:val="21"/>
        </w:rPr>
      </w:pPr>
      <w:r>
        <w:rPr>
          <w:rFonts w:hint="eastAsia"/>
          <w:b/>
          <w:bCs/>
          <w:sz w:val="21"/>
          <w:szCs w:val="21"/>
        </w:rPr>
        <w:t>6报告期末按公允价值占基金资产净值比例大小排序的前十名资产支持证券投资明细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b/>
          <w:bCs/>
          <w:sz w:val="21"/>
          <w:szCs w:val="21"/>
        </w:rPr>
        <w:t>7报告期末按公允价值占基金资产净值比例大小排序的前五名贵金属投资明细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b/>
          <w:bCs/>
          <w:sz w:val="21"/>
          <w:szCs w:val="21"/>
        </w:rPr>
        <w:t>8报告期末按公允价值占基金资产净值比例大小排序的前五名权证投资明细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b/>
          <w:bCs/>
          <w:sz w:val="21"/>
          <w:szCs w:val="21"/>
        </w:rPr>
        <w:t>9报告期末本基金投资的股指期货交易情况说明</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7"/>
        <w:spacing w:before="0" w:beforeAutospacing="0" w:after="0" w:afterAutospacing="0" w:line="360" w:lineRule="auto"/>
        <w:ind w:firstLine="420"/>
        <w:rPr>
          <w:sz w:val="21"/>
          <w:szCs w:val="21"/>
        </w:rPr>
      </w:pPr>
      <w:r>
        <w:rPr>
          <w:rFonts w:hint="eastAsia"/>
          <w:b/>
          <w:bCs/>
          <w:sz w:val="21"/>
          <w:szCs w:val="21"/>
        </w:rPr>
        <w:t>10报告期末本基金投资的国债期货交易情况说明</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7"/>
        <w:spacing w:before="0" w:beforeAutospacing="0" w:after="0" w:afterAutospacing="0" w:line="360" w:lineRule="auto"/>
        <w:ind w:firstLine="420"/>
        <w:rPr>
          <w:sz w:val="21"/>
          <w:szCs w:val="21"/>
        </w:rPr>
      </w:pPr>
      <w:r>
        <w:rPr>
          <w:rFonts w:hint="eastAsia"/>
          <w:b/>
          <w:bCs/>
          <w:sz w:val="21"/>
          <w:szCs w:val="21"/>
        </w:rPr>
        <w:t>11投资组合报告附注</w:t>
      </w:r>
    </w:p>
    <w:p>
      <w:pPr>
        <w:pStyle w:val="7"/>
        <w:spacing w:before="0" w:beforeAutospacing="0" w:after="0" w:afterAutospacing="0" w:line="360" w:lineRule="auto"/>
        <w:ind w:firstLine="420"/>
        <w:rPr>
          <w:sz w:val="21"/>
          <w:szCs w:val="21"/>
        </w:rPr>
      </w:pPr>
      <w:r>
        <w:rPr>
          <w:rFonts w:hint="eastAsia"/>
          <w:b/>
          <w:bCs/>
          <w:sz w:val="21"/>
          <w:szCs w:val="21"/>
        </w:rPr>
        <w:t>11.1基金投资前十名证券的发行主体被监管部门立案调查或编制日前一年内受到公开谴责、处罚的投资决策程序说明</w:t>
      </w:r>
    </w:p>
    <w:p>
      <w:pPr>
        <w:pStyle w:val="7"/>
        <w:spacing w:before="0" w:beforeAutospacing="0" w:after="0" w:afterAutospacing="0" w:line="360" w:lineRule="auto"/>
        <w:ind w:firstLine="420"/>
        <w:rPr>
          <w:sz w:val="21"/>
          <w:szCs w:val="21"/>
        </w:rPr>
      </w:pPr>
      <w:r>
        <w:rPr>
          <w:rFonts w:hint="eastAsia"/>
          <w:sz w:val="21"/>
          <w:szCs w:val="21"/>
        </w:rPr>
        <w:t xml:space="preserve">基金管理人未发现本基金投资的前十名证券的发行主体出现本期被监管部门立案调查，或在报告编制日前一年内受到公开谴责、处罚的情形。 </w:t>
      </w:r>
    </w:p>
    <w:p>
      <w:pPr>
        <w:pStyle w:val="7"/>
        <w:spacing w:before="0" w:beforeAutospacing="0" w:after="0" w:afterAutospacing="0" w:line="360" w:lineRule="auto"/>
        <w:ind w:firstLine="420"/>
        <w:rPr>
          <w:sz w:val="21"/>
          <w:szCs w:val="21"/>
        </w:rPr>
      </w:pPr>
      <w:r>
        <w:rPr>
          <w:rFonts w:hint="eastAsia"/>
          <w:b/>
          <w:bCs/>
          <w:sz w:val="21"/>
          <w:szCs w:val="21"/>
        </w:rPr>
        <w:t>11.2报告期内基金投资的前十名股票中，没有投资超出基金合同规定备选股票库之外的股票。</w:t>
      </w:r>
    </w:p>
    <w:p>
      <w:pPr>
        <w:pStyle w:val="7"/>
        <w:spacing w:before="0" w:beforeAutospacing="0" w:after="0" w:afterAutospacing="0" w:line="360" w:lineRule="auto"/>
        <w:ind w:firstLine="420"/>
        <w:rPr>
          <w:sz w:val="21"/>
          <w:szCs w:val="21"/>
        </w:rPr>
      </w:pPr>
      <w:r>
        <w:rPr>
          <w:rFonts w:hint="eastAsia"/>
          <w:b/>
          <w:bCs/>
          <w:sz w:val="21"/>
          <w:szCs w:val="21"/>
        </w:rPr>
        <w:t>11.3其他资产构成</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3783"/>
        <w:gridCol w:w="4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序号 </w:t>
            </w:r>
          </w:p>
        </w:tc>
        <w:tc>
          <w:tcPr>
            <w:tcW w:w="4590" w:type="dxa"/>
            <w:shd w:val="clear" w:color="auto" w:fill="auto"/>
          </w:tcPr>
          <w:p>
            <w:pPr>
              <w:pStyle w:val="7"/>
              <w:jc w:val="center"/>
            </w:pPr>
            <w:r>
              <w:rPr>
                <w:rFonts w:hint="eastAsia"/>
              </w:rPr>
              <w:t xml:space="preserve">名称 </w:t>
            </w:r>
          </w:p>
        </w:tc>
        <w:tc>
          <w:tcPr>
            <w:tcW w:w="4590" w:type="dxa"/>
            <w:shd w:val="clear" w:color="auto" w:fill="auto"/>
          </w:tcPr>
          <w:p>
            <w:pPr>
              <w:pStyle w:val="7"/>
              <w:jc w:val="center"/>
            </w:pPr>
            <w:r>
              <w:rPr>
                <w:rFonts w:hint="eastAsia"/>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1 </w:t>
            </w:r>
          </w:p>
        </w:tc>
        <w:tc>
          <w:tcPr>
            <w:tcW w:w="4590" w:type="dxa"/>
            <w:shd w:val="clear" w:color="auto" w:fill="auto"/>
          </w:tcPr>
          <w:p>
            <w:pPr>
              <w:pStyle w:val="7"/>
            </w:pPr>
            <w:r>
              <w:rPr>
                <w:rFonts w:hint="eastAsia"/>
              </w:rPr>
              <w:t xml:space="preserve">存出保证金 </w:t>
            </w:r>
          </w:p>
        </w:tc>
        <w:tc>
          <w:tcPr>
            <w:tcW w:w="4590" w:type="dxa"/>
            <w:shd w:val="clear" w:color="auto" w:fill="auto"/>
          </w:tcPr>
          <w:p>
            <w:pPr>
              <w:pStyle w:val="7"/>
              <w:jc w:val="right"/>
            </w:pPr>
            <w:r>
              <w:rPr>
                <w:rFonts w:hint="eastAsia"/>
              </w:rPr>
              <w:t xml:space="preserve">543,763.24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2 </w:t>
            </w:r>
          </w:p>
        </w:tc>
        <w:tc>
          <w:tcPr>
            <w:tcW w:w="4590" w:type="dxa"/>
            <w:shd w:val="clear" w:color="auto" w:fill="auto"/>
          </w:tcPr>
          <w:p>
            <w:pPr>
              <w:pStyle w:val="7"/>
            </w:pPr>
            <w:r>
              <w:rPr>
                <w:rFonts w:hint="eastAsia"/>
              </w:rPr>
              <w:t xml:space="preserve">应收证券清算款 </w:t>
            </w:r>
          </w:p>
        </w:tc>
        <w:tc>
          <w:tcPr>
            <w:tcW w:w="45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3 </w:t>
            </w:r>
          </w:p>
        </w:tc>
        <w:tc>
          <w:tcPr>
            <w:tcW w:w="4590" w:type="dxa"/>
            <w:shd w:val="clear" w:color="auto" w:fill="auto"/>
          </w:tcPr>
          <w:p>
            <w:pPr>
              <w:pStyle w:val="7"/>
            </w:pPr>
            <w:r>
              <w:rPr>
                <w:rFonts w:hint="eastAsia"/>
              </w:rPr>
              <w:t xml:space="preserve">应收股利 </w:t>
            </w:r>
          </w:p>
        </w:tc>
        <w:tc>
          <w:tcPr>
            <w:tcW w:w="45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4 </w:t>
            </w:r>
          </w:p>
        </w:tc>
        <w:tc>
          <w:tcPr>
            <w:tcW w:w="4590" w:type="dxa"/>
            <w:shd w:val="clear" w:color="auto" w:fill="auto"/>
          </w:tcPr>
          <w:p>
            <w:pPr>
              <w:pStyle w:val="7"/>
            </w:pPr>
            <w:r>
              <w:rPr>
                <w:rFonts w:hint="eastAsia"/>
              </w:rPr>
              <w:t xml:space="preserve">应收利息 </w:t>
            </w:r>
          </w:p>
        </w:tc>
        <w:tc>
          <w:tcPr>
            <w:tcW w:w="45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5 </w:t>
            </w:r>
          </w:p>
        </w:tc>
        <w:tc>
          <w:tcPr>
            <w:tcW w:w="4590" w:type="dxa"/>
            <w:shd w:val="clear" w:color="auto" w:fill="auto"/>
          </w:tcPr>
          <w:p>
            <w:pPr>
              <w:pStyle w:val="7"/>
            </w:pPr>
            <w:r>
              <w:rPr>
                <w:rFonts w:hint="eastAsia"/>
              </w:rPr>
              <w:t xml:space="preserve">应收申购款 </w:t>
            </w:r>
          </w:p>
        </w:tc>
        <w:tc>
          <w:tcPr>
            <w:tcW w:w="4590" w:type="dxa"/>
            <w:shd w:val="clear" w:color="auto" w:fill="auto"/>
          </w:tcPr>
          <w:p>
            <w:pPr>
              <w:pStyle w:val="7"/>
              <w:jc w:val="right"/>
            </w:pPr>
            <w:r>
              <w:rPr>
                <w:rFonts w:hint="eastAsia"/>
              </w:rPr>
              <w:t xml:space="preserve">39,178,326.24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6 </w:t>
            </w:r>
          </w:p>
        </w:tc>
        <w:tc>
          <w:tcPr>
            <w:tcW w:w="4590" w:type="dxa"/>
            <w:shd w:val="clear" w:color="auto" w:fill="auto"/>
          </w:tcPr>
          <w:p>
            <w:pPr>
              <w:pStyle w:val="7"/>
            </w:pPr>
            <w:r>
              <w:rPr>
                <w:rFonts w:hint="eastAsia"/>
              </w:rPr>
              <w:t xml:space="preserve">其他应收款 </w:t>
            </w:r>
          </w:p>
        </w:tc>
        <w:tc>
          <w:tcPr>
            <w:tcW w:w="45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7 </w:t>
            </w:r>
          </w:p>
        </w:tc>
        <w:tc>
          <w:tcPr>
            <w:tcW w:w="4590" w:type="dxa"/>
            <w:shd w:val="clear" w:color="auto" w:fill="auto"/>
          </w:tcPr>
          <w:p>
            <w:pPr>
              <w:pStyle w:val="7"/>
            </w:pPr>
            <w:r>
              <w:rPr>
                <w:rFonts w:hint="eastAsia"/>
              </w:rPr>
              <w:t xml:space="preserve">待摊费用 </w:t>
            </w:r>
          </w:p>
        </w:tc>
        <w:tc>
          <w:tcPr>
            <w:tcW w:w="45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8 </w:t>
            </w:r>
          </w:p>
        </w:tc>
        <w:tc>
          <w:tcPr>
            <w:tcW w:w="4590" w:type="dxa"/>
            <w:shd w:val="clear" w:color="auto" w:fill="auto"/>
          </w:tcPr>
          <w:p>
            <w:pPr>
              <w:pStyle w:val="7"/>
            </w:pPr>
            <w:r>
              <w:rPr>
                <w:rFonts w:hint="eastAsia"/>
              </w:rPr>
              <w:t xml:space="preserve">其他 </w:t>
            </w:r>
          </w:p>
        </w:tc>
        <w:tc>
          <w:tcPr>
            <w:tcW w:w="45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9 </w:t>
            </w:r>
          </w:p>
        </w:tc>
        <w:tc>
          <w:tcPr>
            <w:tcW w:w="4590" w:type="dxa"/>
            <w:shd w:val="clear" w:color="auto" w:fill="auto"/>
          </w:tcPr>
          <w:p>
            <w:pPr>
              <w:pStyle w:val="7"/>
            </w:pPr>
            <w:r>
              <w:rPr>
                <w:rFonts w:hint="eastAsia"/>
              </w:rPr>
              <w:t xml:space="preserve">合计 </w:t>
            </w:r>
          </w:p>
        </w:tc>
        <w:tc>
          <w:tcPr>
            <w:tcW w:w="4590" w:type="dxa"/>
            <w:shd w:val="clear" w:color="auto" w:fill="auto"/>
          </w:tcPr>
          <w:p>
            <w:pPr>
              <w:pStyle w:val="7"/>
              <w:jc w:val="right"/>
            </w:pPr>
            <w:r>
              <w:rPr>
                <w:rFonts w:hint="eastAsia"/>
              </w:rPr>
              <w:t xml:space="preserve">39,722,089.48 </w:t>
            </w:r>
          </w:p>
        </w:tc>
      </w:tr>
    </w:tbl>
    <w:p>
      <w:pPr>
        <w:pStyle w:val="7"/>
        <w:spacing w:before="0" w:beforeAutospacing="0" w:after="0" w:afterAutospacing="0" w:line="360" w:lineRule="auto"/>
        <w:ind w:firstLine="420"/>
        <w:rPr>
          <w:sz w:val="21"/>
          <w:szCs w:val="21"/>
        </w:rPr>
      </w:pPr>
      <w:r>
        <w:rPr>
          <w:rFonts w:hint="eastAsia"/>
          <w:b/>
          <w:bCs/>
          <w:sz w:val="21"/>
          <w:szCs w:val="21"/>
        </w:rPr>
        <w:t>11.4报告期末持有的处于转股期的可转换债券明细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本基金本报告期末未持有处于转股期的可转换债券。 </w:t>
      </w:r>
    </w:p>
    <w:p>
      <w:pPr>
        <w:pStyle w:val="7"/>
        <w:spacing w:before="0" w:beforeAutospacing="0" w:after="0" w:afterAutospacing="0" w:line="360" w:lineRule="auto"/>
        <w:ind w:firstLine="420"/>
        <w:rPr>
          <w:sz w:val="21"/>
          <w:szCs w:val="21"/>
        </w:rPr>
      </w:pPr>
      <w:r>
        <w:rPr>
          <w:rFonts w:hint="eastAsia"/>
          <w:b/>
          <w:bCs/>
          <w:sz w:val="21"/>
          <w:szCs w:val="21"/>
        </w:rPr>
        <w:t>11.5报告期末前十名股票中存在流通受限情况的说明</w:t>
      </w:r>
    </w:p>
    <w:p>
      <w:pPr>
        <w:pStyle w:val="7"/>
        <w:spacing w:before="0" w:beforeAutospacing="0" w:after="0" w:afterAutospacing="0" w:line="360" w:lineRule="auto"/>
        <w:ind w:firstLine="420"/>
        <w:rPr>
          <w:sz w:val="21"/>
          <w:szCs w:val="21"/>
        </w:rPr>
      </w:pPr>
      <w:r>
        <w:rPr>
          <w:rFonts w:hint="eastAsia"/>
          <w:sz w:val="21"/>
          <w:szCs w:val="21"/>
        </w:rPr>
        <w:t xml:space="preserve">本基金本报告期末前十名股票中不存在流通受限情况。 </w:t>
      </w:r>
    </w:p>
    <w:p>
      <w:pPr>
        <w:pStyle w:val="7"/>
        <w:spacing w:before="0" w:beforeAutospacing="0" w:after="0" w:afterAutospacing="0" w:line="360" w:lineRule="auto"/>
        <w:ind w:firstLine="420"/>
        <w:rPr>
          <w:sz w:val="21"/>
          <w:szCs w:val="21"/>
        </w:rPr>
      </w:pPr>
      <w:r>
        <w:rPr>
          <w:rFonts w:hint="eastAsia"/>
          <w:b/>
          <w:bCs/>
          <w:sz w:val="21"/>
          <w:szCs w:val="21"/>
        </w:rPr>
        <w:t>11.6投资组合报告附注的其他文字描述部分</w:t>
      </w:r>
    </w:p>
    <w:p>
      <w:pPr>
        <w:pStyle w:val="7"/>
        <w:spacing w:before="0" w:beforeAutospacing="0" w:after="0" w:afterAutospacing="0" w:line="360" w:lineRule="auto"/>
        <w:ind w:firstLine="420"/>
        <w:rPr>
          <w:sz w:val="21"/>
          <w:szCs w:val="21"/>
        </w:rPr>
      </w:pPr>
      <w:bookmarkStart w:id="136" w:name="chapter_level1_11_60_section_6_end"/>
      <w:bookmarkEnd w:id="136"/>
      <w:r>
        <w:rPr>
          <w:rFonts w:hint="eastAsia"/>
          <w:sz w:val="21"/>
          <w:szCs w:val="21"/>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7" w:name="_Toc113560420"/>
      <w:bookmarkStart w:id="138" w:name="chapter_level1_12_3500"/>
      <w:r>
        <w:rPr>
          <w:rFonts w:hint="eastAsia" w:ascii="宋体" w:hAnsi="宋体" w:eastAsia="宋体"/>
          <w:sz w:val="30"/>
        </w:rPr>
        <w:t>第九部分 基金的业绩</w:t>
      </w:r>
      <w:bookmarkEnd w:id="137"/>
      <w:bookmarkEnd w:id="138"/>
    </w:p>
    <w:p>
      <w:pPr>
        <w:pStyle w:val="7"/>
        <w:spacing w:before="0" w:beforeAutospacing="0" w:after="0" w:afterAutospacing="0" w:line="360" w:lineRule="auto"/>
        <w:ind w:firstLine="420"/>
        <w:rPr>
          <w:sz w:val="21"/>
          <w:szCs w:val="21"/>
        </w:rPr>
      </w:pPr>
      <w:bookmarkStart w:id="139" w:name="chapter_level1_12_3500_section_1"/>
      <w:bookmarkEnd w:id="139"/>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p>
      <w:pPr>
        <w:pStyle w:val="7"/>
        <w:spacing w:before="0" w:beforeAutospacing="0" w:after="0" w:afterAutospacing="0" w:line="360" w:lineRule="auto"/>
        <w:ind w:firstLine="420"/>
        <w:rPr>
          <w:sz w:val="21"/>
          <w:szCs w:val="21"/>
        </w:rPr>
      </w:pPr>
      <w:bookmarkStart w:id="140" w:name="field_0_indatatable_1_start"/>
      <w:bookmarkEnd w:id="140"/>
      <w:r>
        <w:rPr>
          <w:rFonts w:hint="eastAsia"/>
          <w:sz w:val="21"/>
          <w:szCs w:val="21"/>
        </w:rPr>
        <w:t xml:space="preserve">博时军工主题股票A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48"/>
        <w:gridCol w:w="996"/>
        <w:gridCol w:w="1206"/>
        <w:gridCol w:w="1153"/>
        <w:gridCol w:w="8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2017.07.04-2017.12.31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-5.15%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6.65%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2018.01.01-2018.12.31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-26.40%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-21.10%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2019.01.01-2019.12.31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32.93%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18.90%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14.03%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2020.01.01-2020.12.31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104.33%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2.21%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54.03%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50.30%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2021.01.01-2021.12.31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17.50%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2.16%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13.19%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2022.01.01-2022.06.30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-15.06%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2.18%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-15.11%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2017.07.04-2022.06.30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102.50%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31.70%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70.80%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0.26% </w:t>
            </w:r>
          </w:p>
        </w:tc>
      </w:tr>
    </w:tbl>
    <w:p>
      <w:pPr>
        <w:pStyle w:val="7"/>
        <w:spacing w:before="0" w:beforeAutospacing="0" w:after="0" w:afterAutospacing="0" w:line="360" w:lineRule="auto"/>
        <w:ind w:firstLine="420"/>
        <w:rPr>
          <w:sz w:val="21"/>
          <w:szCs w:val="21"/>
        </w:rPr>
      </w:pPr>
      <w:r>
        <w:rPr>
          <w:rFonts w:hint="eastAsia"/>
          <w:sz w:val="21"/>
          <w:szCs w:val="21"/>
        </w:rPr>
        <w:t xml:space="preserve">博时军工主题股票C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59"/>
        <w:gridCol w:w="1022"/>
        <w:gridCol w:w="1232"/>
        <w:gridCol w:w="1195"/>
        <w:gridCol w:w="846"/>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2021.02.24-2021.12.31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29.39%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21.1</w:t>
            </w:r>
            <w:r>
              <w:rPr>
                <w:rFonts w:hint="eastAsia" w:ascii="宋体" w:hAnsi="宋体" w:eastAsia="宋体"/>
                <w:lang w:val="en-US" w:eastAsia="zh-CN"/>
              </w:rPr>
              <w:t>4</w:t>
            </w:r>
            <w:r>
              <w:rPr>
                <w:rFonts w:hint="eastAsia" w:ascii="宋体" w:hAnsi="宋体" w:eastAsia="宋体"/>
              </w:rPr>
              <w:t xml:space="preserve">%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8.2</w:t>
            </w:r>
            <w:r>
              <w:rPr>
                <w:rFonts w:hint="eastAsia" w:ascii="宋体" w:hAnsi="宋体" w:eastAsia="宋体"/>
                <w:lang w:val="en-US" w:eastAsia="zh-CN"/>
              </w:rPr>
              <w:t>5</w:t>
            </w:r>
            <w:r>
              <w:rPr>
                <w:rFonts w:hint="eastAsia" w:ascii="宋体" w:hAnsi="宋体" w:eastAsia="宋体"/>
              </w:rPr>
              <w:t xml:space="preserve">%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2022.01.01-2022.06.30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2.18%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-15.11%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2021.02.24-2022.06.30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9.60%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2.12%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2.84%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6.76%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0.47% </w:t>
            </w:r>
          </w:p>
        </w:tc>
      </w:tr>
    </w:tbl>
    <w:p>
      <w:pPr>
        <w:pStyle w:val="7"/>
        <w:spacing w:before="0" w:beforeAutospacing="0" w:after="0" w:afterAutospacing="0" w:line="360" w:lineRule="auto"/>
        <w:ind w:firstLine="420"/>
        <w:rPr>
          <w:sz w:val="21"/>
          <w:szCs w:val="21"/>
        </w:rPr>
      </w:pPr>
      <w:bookmarkStart w:id="141" w:name="field_0_indatatable_1_end"/>
      <w:bookmarkEnd w:id="141"/>
      <w:bookmarkStart w:id="142" w:name="chapter_level1_12_3500_section_1_end"/>
      <w:bookmarkEnd w:id="142"/>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3" w:name="chapter_level1_13_62"/>
      <w:bookmarkStart w:id="144" w:name="_Toc113560421"/>
      <w:r>
        <w:rPr>
          <w:rFonts w:hint="eastAsia" w:ascii="宋体" w:hAnsi="宋体" w:eastAsia="宋体"/>
          <w:sz w:val="30"/>
        </w:rPr>
        <w:t>第十部分  基金的财产</w:t>
      </w:r>
      <w:bookmarkEnd w:id="143"/>
      <w:bookmarkEnd w:id="144"/>
    </w:p>
    <w:p>
      <w:pPr>
        <w:pStyle w:val="7"/>
        <w:spacing w:before="0" w:beforeAutospacing="0" w:after="0" w:afterAutospacing="0" w:line="360" w:lineRule="auto"/>
        <w:ind w:firstLine="420"/>
        <w:rPr>
          <w:sz w:val="21"/>
          <w:szCs w:val="21"/>
        </w:rPr>
      </w:pPr>
      <w:bookmarkStart w:id="145" w:name="chapter_level1_13_62_section_1"/>
      <w:bookmarkEnd w:id="145"/>
      <w:r>
        <w:rPr>
          <w:rStyle w:val="11"/>
          <w:rFonts w:hint="eastAsia"/>
          <w:sz w:val="21"/>
          <w:szCs w:val="21"/>
        </w:rPr>
        <w:t>一、基金资产总值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基金资产总值是指购买的各类证券及票据价值、银行存款本息和基金应收的申购基金款以及其他投资所形成的价值总和。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pPr>
        <w:pStyle w:val="7"/>
        <w:spacing w:before="0" w:beforeAutospacing="0" w:after="0" w:afterAutospacing="0" w:line="360" w:lineRule="auto"/>
        <w:ind w:firstLine="420"/>
        <w:rPr>
          <w:sz w:val="21"/>
          <w:szCs w:val="21"/>
        </w:rPr>
      </w:pPr>
      <w:r>
        <w:rPr>
          <w:rStyle w:val="11"/>
          <w:rFonts w:hint="eastAsia"/>
          <w:sz w:val="21"/>
          <w:szCs w:val="21"/>
        </w:rPr>
        <w:t>四、基金财产的保管和处分</w:t>
      </w:r>
    </w:p>
    <w:p>
      <w:pPr>
        <w:pStyle w:val="7"/>
        <w:spacing w:before="0" w:beforeAutospacing="0" w:after="0" w:afterAutospacing="0" w:line="360" w:lineRule="auto"/>
        <w:ind w:firstLine="420"/>
        <w:rPr>
          <w:sz w:val="21"/>
          <w:szCs w:val="21"/>
        </w:rPr>
      </w:pPr>
      <w:r>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pPr>
        <w:pStyle w:val="7"/>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46" w:name="chapter_level1_13_62_section_1_end"/>
      <w:bookmarkEnd w:id="146"/>
      <w:r>
        <w:rPr>
          <w:rFonts w:hint="eastAsia"/>
          <w:sz w:val="21"/>
          <w:szCs w:val="21"/>
        </w:rPr>
        <w:t xml:space="preserve">得相互抵销。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7" w:name="_Toc113560422"/>
      <w:bookmarkStart w:id="148" w:name="chapter_level1_14_63"/>
      <w:r>
        <w:rPr>
          <w:rFonts w:hint="eastAsia" w:ascii="宋体" w:hAnsi="宋体" w:eastAsia="宋体"/>
          <w:sz w:val="30"/>
        </w:rPr>
        <w:t>第十一部分  基金资产的估值</w:t>
      </w:r>
      <w:bookmarkEnd w:id="147"/>
      <w:bookmarkEnd w:id="148"/>
    </w:p>
    <w:p>
      <w:pPr>
        <w:pStyle w:val="7"/>
        <w:spacing w:before="0" w:beforeAutospacing="0" w:after="0" w:afterAutospacing="0" w:line="360" w:lineRule="auto"/>
        <w:ind w:firstLine="420"/>
        <w:rPr>
          <w:sz w:val="21"/>
          <w:szCs w:val="21"/>
        </w:rPr>
      </w:pPr>
      <w:bookmarkStart w:id="149" w:name="chapter_level1_14_63_section_1"/>
      <w:bookmarkEnd w:id="149"/>
      <w:r>
        <w:rPr>
          <w:rStyle w:val="11"/>
          <w:rFonts w:hint="eastAsia"/>
          <w:sz w:val="21"/>
          <w:szCs w:val="21"/>
        </w:rPr>
        <w:t>一、估值日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本基金的估值日为本基金相关的证券交易场所的交易日以及国家法律法规规定需要对外披露基金净值的非交易日。 </w:t>
      </w:r>
    </w:p>
    <w:p>
      <w:pPr>
        <w:pStyle w:val="7"/>
        <w:spacing w:before="0" w:beforeAutospacing="0" w:after="0" w:afterAutospacing="0" w:line="360" w:lineRule="auto"/>
        <w:ind w:firstLine="420"/>
        <w:rPr>
          <w:sz w:val="21"/>
          <w:szCs w:val="21"/>
        </w:rPr>
      </w:pPr>
      <w:r>
        <w:rPr>
          <w:rStyle w:val="11"/>
          <w:rFonts w:hint="eastAsia"/>
          <w:sz w:val="21"/>
          <w:szCs w:val="21"/>
        </w:rPr>
        <w:t>二、估值对象</w:t>
      </w:r>
    </w:p>
    <w:p>
      <w:pPr>
        <w:pStyle w:val="7"/>
        <w:spacing w:before="0" w:beforeAutospacing="0" w:after="0" w:afterAutospacing="0" w:line="360" w:lineRule="auto"/>
        <w:ind w:firstLine="420"/>
        <w:rPr>
          <w:sz w:val="21"/>
          <w:szCs w:val="21"/>
        </w:rPr>
      </w:pPr>
      <w:r>
        <w:rPr>
          <w:rFonts w:hint="eastAsia"/>
          <w:sz w:val="21"/>
          <w:szCs w:val="21"/>
        </w:rPr>
        <w:t xml:space="preserve">基金所拥有的股票、股指期货合约、权证、债券和银行存款本息、应收款项、其它投资等资产及负债。 </w:t>
      </w:r>
    </w:p>
    <w:p>
      <w:pPr>
        <w:pStyle w:val="7"/>
        <w:spacing w:before="0" w:beforeAutospacing="0" w:after="0" w:afterAutospacing="0" w:line="360" w:lineRule="auto"/>
        <w:ind w:firstLine="420"/>
        <w:rPr>
          <w:sz w:val="21"/>
          <w:szCs w:val="21"/>
        </w:rPr>
      </w:pPr>
      <w:r>
        <w:rPr>
          <w:rStyle w:val="11"/>
          <w:rFonts w:hint="eastAsia"/>
          <w:sz w:val="21"/>
          <w:szCs w:val="21"/>
        </w:rPr>
        <w:t>三、估值方法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pPr>
        <w:pStyle w:val="7"/>
        <w:spacing w:before="0" w:beforeAutospacing="0" w:after="0" w:afterAutospacing="0" w:line="360" w:lineRule="auto"/>
        <w:ind w:firstLine="420"/>
        <w:rPr>
          <w:sz w:val="21"/>
          <w:szCs w:val="21"/>
        </w:rPr>
      </w:pPr>
      <w:r>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 </w:t>
      </w:r>
    </w:p>
    <w:p>
      <w:pPr>
        <w:pStyle w:val="7"/>
        <w:spacing w:before="0" w:beforeAutospacing="0" w:after="0" w:afterAutospacing="0" w:line="360" w:lineRule="auto"/>
        <w:ind w:firstLine="420"/>
        <w:rPr>
          <w:sz w:val="21"/>
          <w:szCs w:val="21"/>
        </w:rPr>
      </w:pPr>
      <w:r>
        <w:rPr>
          <w:rFonts w:hint="eastAsia"/>
          <w:sz w:val="21"/>
          <w:szCs w:val="21"/>
        </w:rPr>
        <w:t xml:space="preserve">4、因持有股票而享有的配股权，采用估值技术确定公允价值，在估值技术难以可靠计量公允价值的情况下，按成本估值。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5、同一债券同时在两个或两个以上市场交易的，按债券所处的市场分别估值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7、中小企业私募债券，采用估值技术确定公允价值。在估值技术难以可靠计量公允价值的情况下，按成本估值。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9、相关法律法规以及监管部门有强制规定的，从其规定。如有新增事项，按国家最新规定估值。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50" w:name="chapter_level1_14_63_section_1_end"/>
      <w:bookmarkEnd w:id="150"/>
      <w:r>
        <w:rPr>
          <w:rFonts w:hint="eastAsia"/>
          <w:sz w:val="21"/>
          <w:szCs w:val="21"/>
        </w:rPr>
        <w:t xml:space="preserve">予以公布。 </w:t>
      </w:r>
    </w:p>
    <w:p>
      <w:pPr>
        <w:pStyle w:val="7"/>
        <w:spacing w:before="0" w:beforeAutospacing="0" w:after="0" w:afterAutospacing="0" w:line="360" w:lineRule="auto"/>
        <w:ind w:firstLine="420"/>
        <w:rPr>
          <w:sz w:val="21"/>
          <w:szCs w:val="21"/>
        </w:rPr>
      </w:pPr>
      <w:bookmarkStart w:id="151" w:name="chapter_level1_14_63_section_2"/>
      <w:bookmarkEnd w:id="151"/>
      <w:r>
        <w:rPr>
          <w:rStyle w:val="11"/>
          <w:rFonts w:hint="eastAsia"/>
          <w:sz w:val="21"/>
          <w:szCs w:val="21"/>
        </w:rPr>
        <w:t>四、估值程序</w:t>
      </w:r>
    </w:p>
    <w:p>
      <w:pPr>
        <w:pStyle w:val="7"/>
        <w:spacing w:before="0" w:beforeAutospacing="0" w:after="0" w:afterAutospacing="0" w:line="360" w:lineRule="auto"/>
        <w:ind w:firstLine="420"/>
        <w:rPr>
          <w:sz w:val="21"/>
          <w:szCs w:val="21"/>
        </w:rPr>
      </w:pPr>
      <w:r>
        <w:rPr>
          <w:rFonts w:hint="eastAsia"/>
          <w:sz w:val="21"/>
          <w:szCs w:val="21"/>
        </w:rPr>
        <w:t>1、各类基金份额净值是按照每个工作日闭市后，各类基金资产净值除以当日该类基金份额的余额数量计算，精确到</w:t>
      </w:r>
      <w:bookmarkStart w:id="152" w:name="field_63_netdecimalvalue_1"/>
      <w:r>
        <w:rPr>
          <w:sz w:val="21"/>
          <w:szCs w:val="21"/>
        </w:rPr>
        <w:t>0.001</w:t>
      </w:r>
      <w:bookmarkEnd w:id="152"/>
      <w:r>
        <w:rPr>
          <w:rFonts w:hint="eastAsia"/>
          <w:sz w:val="21"/>
          <w:szCs w:val="21"/>
        </w:rPr>
        <w:t>元，小数点后第</w:t>
      </w:r>
      <w:bookmarkStart w:id="153" w:name="field_0_netdecimaladd1_1"/>
      <w:r>
        <w:rPr>
          <w:sz w:val="21"/>
          <w:szCs w:val="21"/>
        </w:rPr>
        <w:t>4</w:t>
      </w:r>
      <w:bookmarkEnd w:id="153"/>
      <w:r>
        <w:rPr>
          <w:rFonts w:hint="eastAsia"/>
          <w:sz w:val="21"/>
          <w:szCs w:val="21"/>
        </w:rPr>
        <w:t xml:space="preserve">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基金管理人于每个工作日计算基金资产净值及各类基金份额净值，并按规定公告。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 </w:t>
      </w:r>
    </w:p>
    <w:p>
      <w:pPr>
        <w:pStyle w:val="7"/>
        <w:spacing w:before="0" w:beforeAutospacing="0" w:after="0" w:afterAutospacing="0" w:line="360" w:lineRule="auto"/>
        <w:ind w:firstLine="420"/>
        <w:rPr>
          <w:sz w:val="21"/>
          <w:szCs w:val="21"/>
        </w:rPr>
      </w:pPr>
      <w:r>
        <w:rPr>
          <w:rStyle w:val="11"/>
          <w:rFonts w:hint="eastAsia"/>
          <w:sz w:val="21"/>
          <w:szCs w:val="21"/>
        </w:rPr>
        <w:t>五、估值错误的处理</w:t>
      </w:r>
    </w:p>
    <w:p>
      <w:pPr>
        <w:pStyle w:val="7"/>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基金管理人和基金托管人将采取必要、适当、合理的措施确保基金资产估值的准确性、及时性。当任何一类基金份额净值小数点后</w:t>
      </w:r>
      <w:bookmarkStart w:id="154" w:name="field_63_netdecimal_1"/>
      <w:r>
        <w:rPr>
          <w:sz w:val="21"/>
          <w:szCs w:val="21"/>
        </w:rPr>
        <w:t>3</w:t>
      </w:r>
      <w:bookmarkEnd w:id="154"/>
      <w:r>
        <w:rPr>
          <w:rFonts w:hint="eastAsia"/>
          <w:sz w:val="21"/>
          <w:szCs w:val="21"/>
        </w:rPr>
        <w:t>位以内(含第</w:t>
      </w:r>
      <w:bookmarkStart w:id="155" w:name="field_63_netdecimal_2"/>
      <w:r>
        <w:rPr>
          <w:sz w:val="21"/>
          <w:szCs w:val="21"/>
        </w:rPr>
        <w:t>3</w:t>
      </w:r>
      <w:bookmarkEnd w:id="155"/>
      <w:r>
        <w:rPr>
          <w:rFonts w:hint="eastAsia"/>
          <w:sz w:val="21"/>
          <w:szCs w:val="21"/>
        </w:rPr>
        <w:t xml:space="preserve">位)发生估值错误时，视为该类基金份额净值错误。 </w:t>
      </w:r>
    </w:p>
    <w:p>
      <w:pPr>
        <w:pStyle w:val="7"/>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1、估值错误类型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pPr>
        <w:pStyle w:val="7"/>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7"/>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7"/>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7"/>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7"/>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7"/>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7"/>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7"/>
        <w:spacing w:before="0" w:beforeAutospacing="0" w:after="0" w:afterAutospacing="0" w:line="360" w:lineRule="auto"/>
        <w:ind w:firstLine="420"/>
        <w:rPr>
          <w:sz w:val="21"/>
          <w:szCs w:val="21"/>
        </w:rPr>
      </w:pPr>
      <w:r>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pPr>
        <w:pStyle w:val="7"/>
        <w:spacing w:before="0" w:beforeAutospacing="0" w:after="0" w:afterAutospacing="0" w:line="360" w:lineRule="auto"/>
        <w:ind w:firstLine="420"/>
        <w:rPr>
          <w:sz w:val="21"/>
          <w:szCs w:val="21"/>
        </w:rPr>
      </w:pPr>
      <w:r>
        <w:rPr>
          <w:rFonts w:hint="eastAsia"/>
          <w:sz w:val="21"/>
          <w:szCs w:val="21"/>
        </w:rPr>
        <w:t xml:space="preserve">（3）前述内容如法律法规或监管机关另有规定的，从其规定处理。 </w:t>
      </w:r>
    </w:p>
    <w:p>
      <w:pPr>
        <w:pStyle w:val="7"/>
        <w:spacing w:before="0" w:beforeAutospacing="0" w:after="0" w:afterAutospacing="0" w:line="360" w:lineRule="auto"/>
        <w:ind w:firstLine="420"/>
        <w:rPr>
          <w:sz w:val="21"/>
          <w:szCs w:val="21"/>
        </w:rPr>
      </w:pPr>
      <w:r>
        <w:rPr>
          <w:rFonts w:hint="eastAsia"/>
          <w:sz w:val="21"/>
          <w:szCs w:val="21"/>
        </w:rPr>
        <w:t xml:space="preserve">六、暂停估值的情形 </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1、基金投资所涉及的证券、期货交易市场遇法定节假日或因其他原因暂停营业时；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4、法律法规规定、中国证监会和基金合同认定的其它情形。 </w:t>
      </w:r>
    </w:p>
    <w:p>
      <w:pPr>
        <w:pStyle w:val="7"/>
        <w:spacing w:before="0" w:beforeAutospacing="0" w:after="0" w:afterAutospacing="0" w:line="360" w:lineRule="auto"/>
        <w:ind w:firstLine="420"/>
        <w:rPr>
          <w:sz w:val="21"/>
          <w:szCs w:val="21"/>
        </w:rPr>
      </w:pPr>
      <w:r>
        <w:rPr>
          <w:rStyle w:val="11"/>
          <w:rFonts w:hint="eastAsia"/>
          <w:sz w:val="21"/>
          <w:szCs w:val="21"/>
        </w:rPr>
        <w:t>七、基金净值的确认</w:t>
      </w:r>
    </w:p>
    <w:p>
      <w:pPr>
        <w:pStyle w:val="7"/>
        <w:spacing w:before="0" w:beforeAutospacing="0" w:after="0" w:afterAutospacing="0" w:line="360" w:lineRule="auto"/>
        <w:ind w:firstLine="420"/>
        <w:rPr>
          <w:sz w:val="21"/>
          <w:szCs w:val="21"/>
        </w:rPr>
      </w:pPr>
      <w:r>
        <w:rPr>
          <w:rFonts w:hint="eastAsia"/>
          <w:sz w:val="21"/>
          <w:szCs w:val="21"/>
        </w:rPr>
        <w:t xml:space="preserve">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按约定予以公布。 </w:t>
      </w:r>
    </w:p>
    <w:p>
      <w:pPr>
        <w:pStyle w:val="7"/>
        <w:spacing w:before="0" w:beforeAutospacing="0" w:after="0" w:afterAutospacing="0" w:line="360" w:lineRule="auto"/>
        <w:ind w:firstLine="420"/>
        <w:rPr>
          <w:sz w:val="21"/>
          <w:szCs w:val="21"/>
        </w:rPr>
      </w:pPr>
      <w:r>
        <w:rPr>
          <w:rStyle w:val="11"/>
          <w:rFonts w:hint="eastAsia"/>
          <w:sz w:val="21"/>
          <w:szCs w:val="21"/>
        </w:rPr>
        <w:t>八、特殊情况的处理方法</w:t>
      </w:r>
    </w:p>
    <w:p>
      <w:pPr>
        <w:pStyle w:val="7"/>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1、基金管理人或基金托管人按估值方法的第8项进行估值时，所造成的误差不作为基金资产估值错误处理。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w:t>
      </w:r>
      <w:bookmarkStart w:id="156" w:name="chapter_level1_14_63_section_2_end"/>
      <w:bookmarkEnd w:id="156"/>
      <w:r>
        <w:rPr>
          <w:rFonts w:hint="eastAsia"/>
          <w:sz w:val="21"/>
          <w:szCs w:val="21"/>
        </w:rPr>
        <w:t xml:space="preserve">但基金管理人和基金托管人应当积极采取必要的措施消除或减轻由此造成的影响。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7" w:name="_Toc113560423"/>
      <w:bookmarkStart w:id="158" w:name="chapter_level1_15_64"/>
      <w:r>
        <w:rPr>
          <w:rFonts w:hint="eastAsia" w:ascii="宋体" w:hAnsi="宋体" w:eastAsia="宋体"/>
          <w:sz w:val="30"/>
        </w:rPr>
        <w:t>第十二部分  基金的收益分配</w:t>
      </w:r>
      <w:bookmarkEnd w:id="157"/>
      <w:bookmarkEnd w:id="158"/>
    </w:p>
    <w:p>
      <w:pPr>
        <w:pStyle w:val="7"/>
        <w:spacing w:before="0" w:beforeAutospacing="0" w:after="0" w:afterAutospacing="0" w:line="360" w:lineRule="auto"/>
        <w:ind w:firstLine="420"/>
        <w:rPr>
          <w:sz w:val="21"/>
          <w:szCs w:val="21"/>
        </w:rPr>
      </w:pPr>
      <w:bookmarkStart w:id="159" w:name="chapter_level1_15_64_section_1"/>
      <w:bookmarkEnd w:id="159"/>
      <w:r>
        <w:rPr>
          <w:rStyle w:val="11"/>
          <w:rFonts w:hint="eastAsia"/>
          <w:sz w:val="21"/>
          <w:szCs w:val="21"/>
        </w:rPr>
        <w:t>一、基金利润的构成</w:t>
      </w:r>
    </w:p>
    <w:p>
      <w:pPr>
        <w:pStyle w:val="7"/>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7"/>
        <w:spacing w:before="0" w:beforeAutospacing="0" w:after="0" w:afterAutospacing="0" w:line="360" w:lineRule="auto"/>
        <w:ind w:firstLine="420"/>
        <w:rPr>
          <w:sz w:val="21"/>
          <w:szCs w:val="21"/>
        </w:rPr>
      </w:pPr>
      <w:r>
        <w:rPr>
          <w:rStyle w:val="11"/>
          <w:rFonts w:hint="eastAsia"/>
          <w:sz w:val="21"/>
          <w:szCs w:val="21"/>
        </w:rPr>
        <w:t>二、基金可供分配利润</w:t>
      </w:r>
    </w:p>
    <w:p>
      <w:pPr>
        <w:pStyle w:val="7"/>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1、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2、基金收益分配后各类基金份额净值不能低于面值，即基金收益分配基准日的各类基金份额净值减去每单位该类基金份额收益分配金额后不能低于面值；  </w:t>
      </w:r>
    </w:p>
    <w:p>
      <w:pPr>
        <w:pStyle w:val="7"/>
        <w:spacing w:before="0" w:beforeAutospacing="0" w:after="0" w:afterAutospacing="0" w:line="360" w:lineRule="auto"/>
        <w:ind w:firstLine="420"/>
        <w:rPr>
          <w:sz w:val="21"/>
          <w:szCs w:val="21"/>
        </w:rPr>
      </w:pPr>
      <w:r>
        <w:rPr>
          <w:rFonts w:hint="eastAsia"/>
          <w:sz w:val="21"/>
          <w:szCs w:val="21"/>
        </w:rPr>
        <w:t xml:space="preserve">3、本基金各类基金份额在费用收取上不同，其对应的可分配收益可能有所不同。本基金同一类别的每一基金份额享有同等分配权；  </w:t>
      </w:r>
    </w:p>
    <w:p>
      <w:pPr>
        <w:pStyle w:val="7"/>
        <w:spacing w:before="0" w:beforeAutospacing="0" w:after="0" w:afterAutospacing="0" w:line="360" w:lineRule="auto"/>
        <w:ind w:firstLine="420"/>
        <w:rPr>
          <w:sz w:val="21"/>
          <w:szCs w:val="21"/>
        </w:rPr>
      </w:pPr>
      <w:bookmarkStart w:id="160" w:name="chapter_level1_15_64_section_1_end"/>
      <w:bookmarkEnd w:id="160"/>
      <w:r>
        <w:rPr>
          <w:rFonts w:hint="eastAsia"/>
          <w:sz w:val="21"/>
          <w:szCs w:val="21"/>
        </w:rPr>
        <w:t xml:space="preserve">4、法律法规或监管机关另有规定的，从其规定。  </w:t>
      </w:r>
    </w:p>
    <w:p>
      <w:pPr>
        <w:pStyle w:val="7"/>
        <w:spacing w:before="0" w:beforeAutospacing="0" w:after="0" w:afterAutospacing="0" w:line="360" w:lineRule="auto"/>
        <w:ind w:firstLine="420"/>
        <w:rPr>
          <w:sz w:val="21"/>
          <w:szCs w:val="21"/>
        </w:rPr>
      </w:pPr>
      <w:bookmarkStart w:id="161" w:name="chapter_level1_15_64_section_2"/>
      <w:bookmarkEnd w:id="161"/>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基金收益分配方案中应载明截止收益分配基准日的可供分配利润、基金收益分配对象、分配时间、分配数额及比例、分配方式等内容。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五、收益分配方案的确定、公告与实施</w:t>
      </w:r>
    </w:p>
    <w:p>
      <w:pPr>
        <w:pStyle w:val="7"/>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本基金收益分配方案由基金管理人拟定，并由基金托管人复核，依照《信息披露办法》的有关规定在指定媒介公告。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基金红利发放日距离收益分配基准日（即可供分配利润计算截止日）的时间不得超过15个工作日。 </w:t>
      </w:r>
    </w:p>
    <w:p>
      <w:pPr>
        <w:pStyle w:val="7"/>
        <w:spacing w:before="0" w:beforeAutospacing="0" w:after="0" w:afterAutospacing="0" w:line="360" w:lineRule="auto"/>
        <w:ind w:firstLine="420"/>
        <w:rPr>
          <w:sz w:val="21"/>
          <w:szCs w:val="21"/>
        </w:rPr>
      </w:pPr>
      <w:r>
        <w:rPr>
          <w:rStyle w:val="11"/>
          <w:rFonts w:hint="eastAsia"/>
          <w:sz w:val="21"/>
          <w:szCs w:val="21"/>
        </w:rPr>
        <w:t>六、基金收益分配中发生的费用</w:t>
      </w:r>
    </w:p>
    <w:p>
      <w:pPr>
        <w:pStyle w:val="7"/>
        <w:spacing w:before="0" w:beforeAutospacing="0" w:after="0" w:afterAutospacing="0" w:line="360" w:lineRule="auto"/>
        <w:ind w:firstLine="420"/>
        <w:rPr>
          <w:sz w:val="21"/>
          <w:szCs w:val="21"/>
        </w:rPr>
      </w:pPr>
      <w:r>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相应类别的基金份额。红利再投资的计算方法，依照《业务规则》</w:t>
      </w:r>
      <w:bookmarkStart w:id="162" w:name="chapter_level1_15_64_section_2_end"/>
      <w:bookmarkEnd w:id="162"/>
      <w:r>
        <w:rPr>
          <w:rFonts w:hint="eastAsia"/>
          <w:sz w:val="21"/>
          <w:szCs w:val="21"/>
        </w:rPr>
        <w:t xml:space="preserve">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3" w:name="_Toc113560424"/>
      <w:bookmarkStart w:id="164" w:name="chapter_level1_16_65"/>
      <w:r>
        <w:rPr>
          <w:rFonts w:hint="eastAsia" w:ascii="宋体" w:hAnsi="宋体" w:eastAsia="宋体"/>
          <w:sz w:val="30"/>
        </w:rPr>
        <w:t>第十三部分  基金的费用与税收</w:t>
      </w:r>
      <w:bookmarkEnd w:id="163"/>
      <w:bookmarkEnd w:id="164"/>
    </w:p>
    <w:p>
      <w:pPr>
        <w:pStyle w:val="7"/>
        <w:spacing w:before="0" w:beforeAutospacing="0" w:after="0" w:afterAutospacing="0" w:line="360" w:lineRule="auto"/>
        <w:ind w:firstLine="420"/>
        <w:rPr>
          <w:sz w:val="21"/>
          <w:szCs w:val="21"/>
        </w:rPr>
      </w:pPr>
      <w:bookmarkStart w:id="165" w:name="chapter_level1_16_65_section_1"/>
      <w:bookmarkEnd w:id="165"/>
      <w:r>
        <w:rPr>
          <w:rStyle w:val="11"/>
          <w:rFonts w:hint="eastAsia"/>
          <w:sz w:val="21"/>
          <w:szCs w:val="21"/>
        </w:rPr>
        <w:t>一、基金费用的种类</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3、C类基金份额的销售服务费；  </w:t>
      </w:r>
    </w:p>
    <w:p>
      <w:pPr>
        <w:pStyle w:val="7"/>
        <w:spacing w:before="0" w:beforeAutospacing="0" w:after="0" w:afterAutospacing="0" w:line="360" w:lineRule="auto"/>
        <w:ind w:firstLine="420"/>
        <w:rPr>
          <w:sz w:val="21"/>
          <w:szCs w:val="21"/>
        </w:rPr>
      </w:pPr>
      <w:r>
        <w:rPr>
          <w:rFonts w:hint="eastAsia"/>
          <w:sz w:val="21"/>
          <w:szCs w:val="21"/>
        </w:rPr>
        <w:t xml:space="preserve">4、《基金合同》生效后与基金相关的信息披露费用，法律法规、中国证监会另有规定的除外；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5、《基金合同》生效后与基金相关的会计师费、律师费、诉讼费和仲裁费；   </w:t>
      </w:r>
    </w:p>
    <w:p>
      <w:pPr>
        <w:pStyle w:val="7"/>
        <w:spacing w:before="0" w:beforeAutospacing="0" w:after="0" w:afterAutospacing="0" w:line="360" w:lineRule="auto"/>
        <w:ind w:firstLine="420"/>
        <w:rPr>
          <w:sz w:val="21"/>
          <w:szCs w:val="21"/>
        </w:rPr>
      </w:pPr>
      <w:r>
        <w:rPr>
          <w:rFonts w:hint="eastAsia"/>
          <w:sz w:val="21"/>
          <w:szCs w:val="21"/>
        </w:rPr>
        <w:t xml:space="preserve">6、基金份额持有人大会费用；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7、基金的证券、期货交易费用；   </w:t>
      </w:r>
    </w:p>
    <w:p>
      <w:pPr>
        <w:pStyle w:val="7"/>
        <w:spacing w:before="0" w:beforeAutospacing="0" w:after="0" w:afterAutospacing="0" w:line="360" w:lineRule="auto"/>
        <w:ind w:firstLine="420"/>
        <w:rPr>
          <w:sz w:val="21"/>
          <w:szCs w:val="21"/>
        </w:rPr>
      </w:pPr>
      <w:r>
        <w:rPr>
          <w:rFonts w:hint="eastAsia"/>
          <w:sz w:val="21"/>
          <w:szCs w:val="21"/>
        </w:rPr>
        <w:t xml:space="preserve">8、基金的银行汇划费用；   </w:t>
      </w:r>
    </w:p>
    <w:p>
      <w:pPr>
        <w:pStyle w:val="7"/>
        <w:spacing w:before="0" w:beforeAutospacing="0" w:after="0" w:afterAutospacing="0" w:line="360" w:lineRule="auto"/>
        <w:ind w:firstLine="420"/>
        <w:rPr>
          <w:sz w:val="21"/>
          <w:szCs w:val="21"/>
        </w:rPr>
      </w:pPr>
      <w:r>
        <w:rPr>
          <w:rFonts w:hint="eastAsia"/>
          <w:sz w:val="21"/>
          <w:szCs w:val="21"/>
        </w:rPr>
        <w:t xml:space="preserve">9、证券、期货账户开户费用、账户维护费用；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1"/>
          <w:szCs w:val="21"/>
          <w:lang w:val="en-US" w:eastAsia="zh-CN" w:bidi="ar-SA"/>
        </w:rPr>
      </w:pPr>
      <w:r>
        <w:rPr>
          <w:rFonts w:ascii="宋体" w:hAnsi="宋体" w:eastAsia="宋体"/>
        </w:rPr>
        <w:t>  </w:t>
      </w:r>
      <w:r>
        <w:rPr>
          <w:rFonts w:hint="eastAsia" w:ascii="宋体" w:hAnsi="宋体" w:eastAsia="宋体" w:cs="宋体"/>
          <w:kern w:val="0"/>
          <w:sz w:val="21"/>
          <w:szCs w:val="21"/>
          <w:lang w:val="en-US" w:eastAsia="zh-CN" w:bidi="ar-SA"/>
        </w:rPr>
        <w:t xml:space="preserve">10、按照国家有关规定和《基金合同》约定，可以在基金财产中列支的其他费用。 </w:t>
      </w:r>
    </w:p>
    <w:p>
      <w:pPr>
        <w:pStyle w:val="7"/>
        <w:spacing w:before="0" w:beforeAutospacing="0" w:after="0" w:afterAutospacing="0" w:line="360" w:lineRule="auto"/>
        <w:ind w:firstLine="420"/>
        <w:rPr>
          <w:sz w:val="21"/>
          <w:szCs w:val="21"/>
        </w:rPr>
      </w:pPr>
      <w:r>
        <w:rPr>
          <w:rStyle w:val="11"/>
          <w:rFonts w:hint="eastAsia"/>
          <w:sz w:val="21"/>
          <w:szCs w:val="21"/>
        </w:rPr>
        <w:t>二、基金费用计提方法、计提标准和支付方式</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66" w:name="field_0_managementrate_1"/>
      <w:r>
        <w:rPr>
          <w:sz w:val="21"/>
          <w:szCs w:val="21"/>
        </w:rPr>
        <w:t>1.</w:t>
      </w:r>
      <w:r>
        <w:rPr>
          <w:rFonts w:hint="eastAsia"/>
          <w:sz w:val="21"/>
          <w:szCs w:val="21"/>
          <w:lang w:val="en-US" w:eastAsia="zh-CN"/>
        </w:rPr>
        <w:t>2</w:t>
      </w:r>
      <w:r>
        <w:rPr>
          <w:sz w:val="21"/>
          <w:szCs w:val="21"/>
        </w:rPr>
        <w:t>0</w:t>
      </w:r>
      <w:bookmarkEnd w:id="166"/>
      <w:r>
        <w:rPr>
          <w:rFonts w:hint="eastAsia"/>
          <w:sz w:val="21"/>
          <w:szCs w:val="21"/>
        </w:rPr>
        <w:t xml:space="preserve">%年费率计提。管理费的计算方法如下：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67" w:name="field_0_managementrate_2"/>
      <w:r>
        <w:rPr>
          <w:sz w:val="21"/>
          <w:szCs w:val="21"/>
        </w:rPr>
        <w:t>1.</w:t>
      </w:r>
      <w:r>
        <w:rPr>
          <w:rFonts w:hint="eastAsia"/>
          <w:sz w:val="21"/>
          <w:szCs w:val="21"/>
          <w:lang w:val="en-US" w:eastAsia="zh-CN"/>
        </w:rPr>
        <w:t>2</w:t>
      </w:r>
      <w:r>
        <w:rPr>
          <w:sz w:val="21"/>
          <w:szCs w:val="21"/>
        </w:rPr>
        <w:t>0</w:t>
      </w:r>
      <w:bookmarkEnd w:id="167"/>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68" w:name="field_0_trusteerate_1"/>
      <w:r>
        <w:rPr>
          <w:sz w:val="21"/>
          <w:szCs w:val="21"/>
        </w:rPr>
        <w:t>0.2</w:t>
      </w:r>
      <w:r>
        <w:rPr>
          <w:rFonts w:hint="eastAsia"/>
          <w:sz w:val="21"/>
          <w:szCs w:val="21"/>
          <w:lang w:val="en-US" w:eastAsia="zh-CN"/>
        </w:rPr>
        <w:t>0</w:t>
      </w:r>
      <w:bookmarkEnd w:id="168"/>
      <w:r>
        <w:rPr>
          <w:rFonts w:hint="eastAsia"/>
          <w:sz w:val="21"/>
          <w:szCs w:val="21"/>
        </w:rPr>
        <w:t xml:space="preserve">%的年费率计提。托管费的计算方法如下：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69" w:name="field_0_trusteerate_2"/>
      <w:r>
        <w:rPr>
          <w:sz w:val="21"/>
          <w:szCs w:val="21"/>
        </w:rPr>
        <w:t>0.2</w:t>
      </w:r>
      <w:r>
        <w:rPr>
          <w:rFonts w:hint="eastAsia"/>
          <w:sz w:val="21"/>
          <w:szCs w:val="21"/>
          <w:lang w:val="en-US" w:eastAsia="zh-CN"/>
        </w:rPr>
        <w:t>0</w:t>
      </w:r>
      <w:bookmarkEnd w:id="169"/>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3、C类基金份额的销售服务费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本基金A类基金份额不收取销售服务费，C类基金份额的销售服务费年费率为0.60%。 </w:t>
      </w:r>
    </w:p>
    <w:p>
      <w:pPr>
        <w:pStyle w:val="7"/>
        <w:spacing w:before="0" w:beforeAutospacing="0" w:after="0" w:afterAutospacing="0" w:line="360" w:lineRule="auto"/>
        <w:ind w:firstLine="420"/>
        <w:rPr>
          <w:sz w:val="21"/>
          <w:szCs w:val="21"/>
        </w:rPr>
      </w:pPr>
      <w:r>
        <w:rPr>
          <w:rFonts w:hint="eastAsia"/>
          <w:sz w:val="21"/>
          <w:szCs w:val="21"/>
        </w:rPr>
        <w:t xml:space="preserve">本基金的销售服务费按前一日C类基金份额基金资产净值的0.60% 的年费率计提。计算方法如下： </w:t>
      </w:r>
    </w:p>
    <w:p>
      <w:pPr>
        <w:pStyle w:val="7"/>
        <w:spacing w:before="0" w:beforeAutospacing="0" w:after="0" w:afterAutospacing="0" w:line="360" w:lineRule="auto"/>
        <w:ind w:firstLine="420"/>
        <w:rPr>
          <w:sz w:val="21"/>
          <w:szCs w:val="21"/>
        </w:rPr>
      </w:pPr>
      <w:r>
        <w:rPr>
          <w:rFonts w:hint="eastAsia"/>
          <w:sz w:val="21"/>
          <w:szCs w:val="21"/>
        </w:rPr>
        <w:t xml:space="preserve">H＝E×0.60%÷当年天数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H为每日应计提的C类基金份额的销售服务费 </w:t>
      </w:r>
    </w:p>
    <w:p>
      <w:pPr>
        <w:pStyle w:val="7"/>
        <w:spacing w:before="0" w:beforeAutospacing="0" w:after="0" w:afterAutospacing="0" w:line="360" w:lineRule="auto"/>
        <w:ind w:firstLine="420"/>
        <w:rPr>
          <w:sz w:val="21"/>
          <w:szCs w:val="21"/>
        </w:rPr>
      </w:pPr>
      <w:r>
        <w:rPr>
          <w:rFonts w:hint="eastAsia"/>
          <w:sz w:val="21"/>
          <w:szCs w:val="21"/>
        </w:rPr>
        <w:t xml:space="preserve">E为前一日的C类基金份额基金资产净值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销售服务费每日计提，逐日累计至每月月末，按月支付。由基金托管人根据与基金管理人核对一致的财务数据，自动在月初三个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上述“一、基金费用的种类中第4－10项费用”，根据有关法规及相应协议规定，按费用实际支出金额列入当期费用，由基金托管人从基金财产中支付。   </w:t>
      </w:r>
    </w:p>
    <w:p>
      <w:pPr>
        <w:pStyle w:val="7"/>
        <w:spacing w:before="0" w:beforeAutospacing="0" w:after="0" w:afterAutospacing="0" w:line="360" w:lineRule="auto"/>
        <w:ind w:firstLine="420"/>
        <w:rPr>
          <w:sz w:val="21"/>
          <w:szCs w:val="21"/>
        </w:rPr>
      </w:pPr>
      <w:r>
        <w:rPr>
          <w:rStyle w:val="11"/>
          <w:rFonts w:hint="eastAsia"/>
          <w:sz w:val="21"/>
          <w:szCs w:val="21"/>
        </w:rPr>
        <w:t>三、不列入基金费用的项目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下列费用不列入基金费用： </w:t>
      </w:r>
    </w:p>
    <w:p>
      <w:pPr>
        <w:pStyle w:val="7"/>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pPr>
        <w:pStyle w:val="7"/>
        <w:spacing w:before="0" w:beforeAutospacing="0" w:after="0" w:afterAutospacing="0" w:line="360" w:lineRule="auto"/>
        <w:ind w:firstLine="420"/>
        <w:rPr>
          <w:sz w:val="21"/>
          <w:szCs w:val="21"/>
        </w:rPr>
      </w:pPr>
      <w:r>
        <w:rPr>
          <w:rFonts w:hint="eastAsia"/>
          <w:sz w:val="21"/>
          <w:szCs w:val="21"/>
        </w:rPr>
        <w:t xml:space="preserve">3、《基金合同》生效前的相关费用； </w:t>
      </w:r>
    </w:p>
    <w:p>
      <w:pPr>
        <w:pStyle w:val="7"/>
        <w:spacing w:before="0" w:beforeAutospacing="0" w:after="0" w:afterAutospacing="0" w:line="360" w:lineRule="auto"/>
        <w:ind w:firstLine="420"/>
        <w:rPr>
          <w:sz w:val="21"/>
          <w:szCs w:val="21"/>
        </w:rPr>
      </w:pPr>
      <w:r>
        <w:rPr>
          <w:rFonts w:hint="eastAsia"/>
          <w:sz w:val="21"/>
          <w:szCs w:val="21"/>
        </w:rPr>
        <w:t xml:space="preserve">4、其他根据相关法律法规及中国证监会的有关规定不得列入基金费用的项目。 </w:t>
      </w:r>
    </w:p>
    <w:p>
      <w:pPr>
        <w:pStyle w:val="7"/>
        <w:spacing w:before="0" w:beforeAutospacing="0" w:after="0" w:afterAutospacing="0" w:line="360" w:lineRule="auto"/>
        <w:ind w:firstLine="420"/>
        <w:rPr>
          <w:sz w:val="21"/>
          <w:szCs w:val="21"/>
        </w:rPr>
      </w:pPr>
      <w:r>
        <w:rPr>
          <w:rStyle w:val="11"/>
          <w:rFonts w:hint="eastAsia"/>
          <w:sz w:val="21"/>
          <w:szCs w:val="21"/>
        </w:rPr>
        <w:t>四、基金税收</w:t>
      </w:r>
    </w:p>
    <w:p>
      <w:pPr>
        <w:pStyle w:val="7"/>
        <w:spacing w:before="0" w:beforeAutospacing="0" w:after="0" w:afterAutospacing="0" w:line="360" w:lineRule="auto"/>
        <w:ind w:firstLine="420"/>
        <w:rPr>
          <w:sz w:val="21"/>
          <w:szCs w:val="21"/>
        </w:rPr>
      </w:pPr>
      <w:bookmarkStart w:id="170" w:name="chapter_level1_16_65_section_1_end"/>
      <w:bookmarkEnd w:id="170"/>
      <w:r>
        <w:rPr>
          <w:rFonts w:hint="eastAsia"/>
          <w:sz w:val="21"/>
          <w:szCs w:val="21"/>
        </w:rPr>
        <w:t xml:space="preserve">本基金运作过程中涉及的各纳税主体，其纳税义务按国家税收法律、法规执行。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1" w:name="_Toc113560425"/>
      <w:bookmarkStart w:id="172" w:name="chapter_level1_17_66"/>
      <w:r>
        <w:rPr>
          <w:rFonts w:hint="eastAsia" w:ascii="宋体" w:hAnsi="宋体" w:eastAsia="宋体"/>
          <w:sz w:val="30"/>
        </w:rPr>
        <w:t>第十四部分  基金的会计与审计</w:t>
      </w:r>
      <w:bookmarkEnd w:id="171"/>
      <w:bookmarkEnd w:id="172"/>
    </w:p>
    <w:p>
      <w:pPr>
        <w:pStyle w:val="7"/>
        <w:spacing w:before="0" w:beforeAutospacing="0" w:after="0" w:afterAutospacing="0" w:line="360" w:lineRule="auto"/>
        <w:ind w:firstLine="420"/>
        <w:rPr>
          <w:sz w:val="21"/>
          <w:szCs w:val="21"/>
        </w:rPr>
      </w:pPr>
      <w:bookmarkStart w:id="173" w:name="chapter_level1_17_66_section_1"/>
      <w:bookmarkEnd w:id="173"/>
      <w:r>
        <w:rPr>
          <w:rStyle w:val="11"/>
          <w:rFonts w:hint="eastAsia"/>
          <w:sz w:val="21"/>
          <w:szCs w:val="21"/>
        </w:rPr>
        <w:t>一、基金会计政策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pPr>
        <w:pStyle w:val="7"/>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2、基金的会计年度为公历年度的1月1日至12月31日；基金首次募集的会计年度按如下原则：如果《基金合同》生效少于2个月，可以并入下一个会计年度披露； </w:t>
      </w:r>
    </w:p>
    <w:p>
      <w:pPr>
        <w:pStyle w:val="7"/>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7"/>
        <w:spacing w:before="0" w:beforeAutospacing="0" w:after="0" w:afterAutospacing="0" w:line="360" w:lineRule="auto"/>
        <w:ind w:firstLine="420"/>
        <w:rPr>
          <w:sz w:val="21"/>
          <w:szCs w:val="21"/>
        </w:rPr>
      </w:pPr>
      <w:r>
        <w:rPr>
          <w:rStyle w:val="11"/>
          <w:rFonts w:hint="eastAsia"/>
          <w:sz w:val="21"/>
          <w:szCs w:val="21"/>
        </w:rPr>
        <w:t>二、基金的年度审计</w:t>
      </w:r>
    </w:p>
    <w:p>
      <w:pPr>
        <w:pStyle w:val="7"/>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pPr>
        <w:pStyle w:val="7"/>
        <w:spacing w:before="0" w:beforeAutospacing="0" w:after="0" w:afterAutospacing="0" w:line="360" w:lineRule="auto"/>
        <w:ind w:firstLine="420"/>
        <w:rPr>
          <w:sz w:val="21"/>
          <w:szCs w:val="21"/>
        </w:rPr>
      </w:pPr>
      <w:r>
        <w:rPr>
          <w:rFonts w:hint="eastAsia"/>
          <w:sz w:val="21"/>
          <w:szCs w:val="21"/>
        </w:rPr>
        <w:t>3、基金管理人认为有充足理由更换会计师事务所，须通报基金托管人。更换会计师事</w:t>
      </w:r>
      <w:bookmarkStart w:id="174" w:name="chapter_level1_17_66_section_1_end"/>
      <w:bookmarkEnd w:id="174"/>
      <w:r>
        <w:rPr>
          <w:rFonts w:hint="eastAsia"/>
          <w:sz w:val="21"/>
          <w:szCs w:val="21"/>
        </w:rPr>
        <w:t xml:space="preserve">务所需按照《信息披露办法》的有关规定在指定媒介公告。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5" w:name="chapter_level1_18_67"/>
      <w:bookmarkStart w:id="176" w:name="_Toc113560426"/>
      <w:r>
        <w:rPr>
          <w:rFonts w:hint="eastAsia" w:ascii="宋体" w:hAnsi="宋体" w:eastAsia="宋体"/>
          <w:sz w:val="30"/>
        </w:rPr>
        <w:t>第十五部分  基金的信息披露</w:t>
      </w:r>
      <w:bookmarkEnd w:id="175"/>
      <w:bookmarkEnd w:id="176"/>
    </w:p>
    <w:p>
      <w:pPr>
        <w:pStyle w:val="7"/>
        <w:spacing w:before="0" w:beforeAutospacing="0" w:after="0" w:afterAutospacing="0" w:line="360" w:lineRule="auto"/>
        <w:ind w:firstLine="420"/>
        <w:rPr>
          <w:sz w:val="21"/>
          <w:szCs w:val="21"/>
        </w:rPr>
      </w:pPr>
      <w:bookmarkStart w:id="177" w:name="chapter_level1_18_67_section_1"/>
      <w:bookmarkEnd w:id="177"/>
      <w:r>
        <w:rPr>
          <w:rStyle w:val="11"/>
          <w:rFonts w:hint="eastAsia"/>
          <w:sz w:val="21"/>
          <w:szCs w:val="21"/>
        </w:rPr>
        <w:t>一、本基金的信息披露应符合《基金法》、《运作办法》、《信息披露办法》、《基金合同》及其他有关规定。</w:t>
      </w:r>
    </w:p>
    <w:p>
      <w:pPr>
        <w:pStyle w:val="7"/>
        <w:spacing w:before="0" w:beforeAutospacing="0" w:after="0" w:afterAutospacing="0" w:line="360" w:lineRule="auto"/>
        <w:ind w:firstLine="420"/>
        <w:rPr>
          <w:sz w:val="21"/>
          <w:szCs w:val="21"/>
        </w:rPr>
      </w:pPr>
      <w:r>
        <w:rPr>
          <w:rStyle w:val="11"/>
          <w:rFonts w:hint="eastAsia"/>
          <w:sz w:val="21"/>
          <w:szCs w:val="21"/>
        </w:rPr>
        <w:t>二、信息披露义务人</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pPr>
        <w:pStyle w:val="7"/>
        <w:spacing w:before="0" w:beforeAutospacing="0" w:after="0" w:afterAutospacing="0" w:line="360" w:lineRule="auto"/>
        <w:ind w:firstLine="420"/>
        <w:rPr>
          <w:sz w:val="21"/>
          <w:szCs w:val="21"/>
        </w:rPr>
      </w:pPr>
      <w:r>
        <w:rPr>
          <w:rStyle w:val="11"/>
          <w:rFonts w:hint="eastAsia"/>
          <w:sz w:val="21"/>
          <w:szCs w:val="21"/>
        </w:rPr>
        <w:t>三、本基金信息披露义务人承诺公开披露的基金信息，不得有下列行为：</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Style w:val="11"/>
          <w:rFonts w:hint="eastAsia"/>
          <w:sz w:val="21"/>
          <w:szCs w:val="21"/>
        </w:rPr>
        <w:t>四、本基金公开披露的信息应采用中文文本。如同时采用外文文本的，基金信息披露义务人应保证不同文本的内容一致。不同文本之间发生歧义的，以中文文本为准。</w:t>
      </w:r>
    </w:p>
    <w:p>
      <w:pPr>
        <w:pStyle w:val="7"/>
        <w:spacing w:before="0" w:beforeAutospacing="0" w:after="0" w:afterAutospacing="0" w:line="360" w:lineRule="auto"/>
        <w:ind w:firstLine="420"/>
        <w:rPr>
          <w:sz w:val="21"/>
          <w:szCs w:val="21"/>
        </w:rPr>
      </w:pPr>
      <w:bookmarkStart w:id="178" w:name="chapter_level1_18_67_section_1_end"/>
      <w:bookmarkEnd w:id="178"/>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79" w:name="chapter_level1_18_67_section_2"/>
      <w:bookmarkEnd w:id="179"/>
      <w:r>
        <w:rPr>
          <w:rStyle w:val="11"/>
          <w:rFonts w:hint="eastAsia"/>
          <w:sz w:val="21"/>
          <w:szCs w:val="21"/>
        </w:rPr>
        <w:t>五、公开披露的基金信息 </w:t>
      </w:r>
    </w:p>
    <w:p>
      <w:pPr>
        <w:pStyle w:val="7"/>
        <w:spacing w:before="0" w:beforeAutospacing="0" w:after="0" w:afterAutospacing="0" w:line="360" w:lineRule="auto"/>
        <w:ind w:firstLine="420"/>
        <w:rPr>
          <w:sz w:val="21"/>
          <w:szCs w:val="21"/>
        </w:rPr>
      </w:pPr>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（一）基金招募说明书、《基金合同》、基金托管协议、基金产品资料概要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pPr>
        <w:pStyle w:val="7"/>
        <w:spacing w:before="0" w:beforeAutospacing="0" w:after="0" w:afterAutospacing="0" w:line="360" w:lineRule="auto"/>
        <w:ind w:firstLine="420"/>
        <w:rPr>
          <w:sz w:val="21"/>
          <w:szCs w:val="21"/>
        </w:rPr>
      </w:pPr>
      <w:r>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pPr>
        <w:pStyle w:val="7"/>
        <w:spacing w:before="0" w:beforeAutospacing="0" w:after="0" w:afterAutospacing="0" w:line="360" w:lineRule="auto"/>
        <w:ind w:firstLine="420"/>
        <w:rPr>
          <w:sz w:val="21"/>
          <w:szCs w:val="21"/>
        </w:rPr>
      </w:pPr>
      <w:r>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网站上。 </w:t>
      </w:r>
    </w:p>
    <w:p>
      <w:pPr>
        <w:pStyle w:val="7"/>
        <w:spacing w:before="0" w:beforeAutospacing="0" w:after="0" w:afterAutospacing="0" w:line="360" w:lineRule="auto"/>
        <w:ind w:firstLine="420"/>
        <w:rPr>
          <w:sz w:val="21"/>
          <w:szCs w:val="21"/>
        </w:rPr>
      </w:pPr>
      <w:r>
        <w:rPr>
          <w:rFonts w:hint="eastAsia"/>
          <w:sz w:val="21"/>
          <w:szCs w:val="21"/>
        </w:rPr>
        <w:t xml:space="preserve">（二）基金份额发售公告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基金管理人应当就基金份额发售的具体事宜编制基金份额发售公告，并在披露招募说明书的当日登载于指定媒介上。 </w:t>
      </w:r>
    </w:p>
    <w:p>
      <w:pPr>
        <w:pStyle w:val="7"/>
        <w:spacing w:before="0" w:beforeAutospacing="0" w:after="0" w:afterAutospacing="0" w:line="360" w:lineRule="auto"/>
        <w:ind w:firstLine="420"/>
        <w:rPr>
          <w:sz w:val="21"/>
          <w:szCs w:val="21"/>
        </w:rPr>
      </w:pPr>
      <w:r>
        <w:rPr>
          <w:rFonts w:hint="eastAsia"/>
          <w:sz w:val="21"/>
          <w:szCs w:val="21"/>
        </w:rPr>
        <w:t xml:space="preserve">（三）《基金合同》生效公告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基金管理人应当在收到中国证监会确认文件的次日在指定媒介上登载《基金合同》生效公告。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（四）基金净值信息 </w:t>
      </w:r>
    </w:p>
    <w:p>
      <w:pPr>
        <w:pStyle w:val="7"/>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《基金合同》生效后，在开始办理基金份额申购或者赎回前，基金管理人应当至少每周在指定网站披露一次各类基金份额净值和各类基金份额累计净值。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在开始办理基金份额申购或者赎回后，基金管理人应当在不晚于每个开放日的次日，通过其指定网站、基金销售机构网站或营业网点披露开放日的各类基金份额净值和各类基金份额累计净值。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基金管理人应在不晚于半年度和年度最后一日的次日，在指定网站披露半年度和年度最后一日的各类基金份额净值和各类基金份额累计净值。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（五）基金份额申购、赎回价格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（六）基金定期报告，包括基金年度报告、基金中期报告和基金季度报告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年结束之日起三个月内，编制完成基金年度报告，并将年度报告登载在指定网站上，将年度报告提示性公告登载在指定报刊上。基金年度报告中的财务会计报告应当经过具有证券、期货相关业务资格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基金管理人应当在上半年结束之日起两个月内，编制完成基金中期报告，并将中期报告登载在指定网站上，并将中期报告提示性公告登载在指定报刊上。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基金管理人应当在每个季度结束之日起15个工作日内，编制完成基金季度报告，将季度报告登载在指定网站上，并将季度报告提示性公告登载在指定报刊上。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本基金持续运作过程中，应当在基金年度报告和中期报告中披露基金组合资产情况及其流动性风险分析等。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（七）临时报告 </w:t>
      </w:r>
    </w:p>
    <w:p>
      <w:pPr>
        <w:pStyle w:val="7"/>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本基金发生重大事件，有关信息披露义务人应当在2日内编制临时报告书，并登载在指定报刊和指定网站上。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8、基金募集期延长； </w:t>
      </w:r>
    </w:p>
    <w:p>
      <w:pPr>
        <w:pStyle w:val="7"/>
        <w:spacing w:before="0" w:beforeAutospacing="0" w:after="0" w:afterAutospacing="0" w:line="360" w:lineRule="auto"/>
        <w:ind w:firstLine="420"/>
        <w:rPr>
          <w:sz w:val="21"/>
          <w:szCs w:val="21"/>
        </w:rPr>
      </w:pPr>
      <w:r>
        <w:rPr>
          <w:rFonts w:hint="eastAsia"/>
          <w:sz w:val="21"/>
          <w:szCs w:val="21"/>
        </w:rPr>
        <w:t xml:space="preserve">9、基金管理人高级管理人员、基金经理和基金托管人专门基金托管部门负责人发生变动；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11、涉及基金财产、基金管理业务、基金托管业务的诉讼或仲裁；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情形除外； </w:t>
      </w:r>
    </w:p>
    <w:p>
      <w:pPr>
        <w:pStyle w:val="7"/>
        <w:spacing w:before="0" w:beforeAutospacing="0" w:after="0" w:afterAutospacing="0" w:line="360" w:lineRule="auto"/>
        <w:ind w:firstLine="420"/>
        <w:rPr>
          <w:sz w:val="21"/>
          <w:szCs w:val="21"/>
        </w:rPr>
      </w:pPr>
      <w:r>
        <w:rPr>
          <w:rFonts w:hint="eastAsia"/>
          <w:sz w:val="21"/>
          <w:szCs w:val="21"/>
        </w:rPr>
        <w:t xml:space="preserve">14、基金收益分配事项；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15、管理费、托管费、销售服务费、申购费、赎回费等费用计提标准、计提方式和费率发生变更；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16、任何一类基金份额净值计价错误达该类基金份额净值百分之零点五； </w:t>
      </w:r>
    </w:p>
    <w:p>
      <w:pPr>
        <w:pStyle w:val="7"/>
        <w:spacing w:before="0" w:beforeAutospacing="0" w:after="0" w:afterAutospacing="0" w:line="360" w:lineRule="auto"/>
        <w:ind w:firstLine="420"/>
        <w:rPr>
          <w:sz w:val="21"/>
          <w:szCs w:val="21"/>
        </w:rPr>
      </w:pPr>
      <w:r>
        <w:rPr>
          <w:rFonts w:hint="eastAsia"/>
          <w:sz w:val="21"/>
          <w:szCs w:val="21"/>
        </w:rPr>
        <w:t xml:space="preserve">17、本基金开始办理申购、赎回；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18、本基金发生巨额赎回并延期办理；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19、本基金连续发生巨额赎回并暂停接受赎回申请或延缓支付赎回款项；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20、本基金暂停接受申购、赎回申请或重新接受申购、赎回申请；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21、发生涉及本基金申购、赎回事项调整或潜在影响投资者赎回等重大事项时； </w:t>
      </w:r>
    </w:p>
    <w:p>
      <w:pPr>
        <w:pStyle w:val="7"/>
        <w:spacing w:before="0" w:beforeAutospacing="0" w:after="0" w:afterAutospacing="0" w:line="360" w:lineRule="auto"/>
        <w:ind w:firstLine="420"/>
        <w:rPr>
          <w:sz w:val="21"/>
          <w:szCs w:val="21"/>
        </w:rPr>
      </w:pPr>
      <w:r>
        <w:rPr>
          <w:rFonts w:hint="eastAsia"/>
          <w:sz w:val="21"/>
          <w:szCs w:val="21"/>
        </w:rPr>
        <w:t xml:space="preserve">22、基金信息披露义务人认为可能对基金份额持有人权益或者基金份额的价格产生重大影响的其他事项或中国证监会规定的其他事项。 </w:t>
      </w:r>
    </w:p>
    <w:p>
      <w:pPr>
        <w:pStyle w:val="7"/>
        <w:spacing w:before="0" w:beforeAutospacing="0" w:after="0" w:afterAutospacing="0" w:line="360" w:lineRule="auto"/>
        <w:ind w:firstLine="420"/>
        <w:rPr>
          <w:sz w:val="21"/>
          <w:szCs w:val="21"/>
        </w:rPr>
      </w:pPr>
      <w:r>
        <w:rPr>
          <w:rFonts w:hint="eastAsia"/>
          <w:sz w:val="21"/>
          <w:szCs w:val="21"/>
        </w:rPr>
        <w:t xml:space="preserve">（八）澄清公告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介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（九）基金份额持有人大会决议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7"/>
        <w:spacing w:before="0" w:beforeAutospacing="0" w:after="0" w:afterAutospacing="0" w:line="360" w:lineRule="auto"/>
        <w:ind w:firstLine="420"/>
        <w:rPr>
          <w:sz w:val="21"/>
          <w:szCs w:val="21"/>
        </w:rPr>
      </w:pPr>
      <w:r>
        <w:rPr>
          <w:rFonts w:hint="eastAsia"/>
          <w:sz w:val="21"/>
          <w:szCs w:val="21"/>
        </w:rPr>
        <w:t xml:space="preserve">（十）清算报告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（十一）投资股指期货的信息披露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pPr>
        <w:pStyle w:val="7"/>
        <w:spacing w:before="0" w:beforeAutospacing="0" w:after="0" w:afterAutospacing="0" w:line="360" w:lineRule="auto"/>
        <w:ind w:firstLine="420"/>
        <w:rPr>
          <w:sz w:val="21"/>
          <w:szCs w:val="21"/>
        </w:rPr>
      </w:pPr>
      <w:r>
        <w:rPr>
          <w:rFonts w:hint="eastAsia"/>
          <w:sz w:val="21"/>
          <w:szCs w:val="21"/>
        </w:rPr>
        <w:t xml:space="preserve">（十二）中小企业私募债券的投资情况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 </w:t>
      </w:r>
    </w:p>
    <w:p>
      <w:pPr>
        <w:pStyle w:val="7"/>
        <w:spacing w:before="0" w:beforeAutospacing="0" w:after="0" w:afterAutospacing="0" w:line="360" w:lineRule="auto"/>
        <w:ind w:firstLine="420"/>
        <w:rPr>
          <w:sz w:val="21"/>
          <w:szCs w:val="21"/>
        </w:rPr>
      </w:pPr>
      <w:r>
        <w:rPr>
          <w:rFonts w:hint="eastAsia"/>
          <w:sz w:val="21"/>
          <w:szCs w:val="21"/>
        </w:rPr>
        <w:t xml:space="preserve">（十三）投资资产支持证券的信息披露 </w:t>
      </w:r>
    </w:p>
    <w:p>
      <w:pPr>
        <w:pStyle w:val="7"/>
        <w:spacing w:before="0" w:beforeAutospacing="0" w:after="0" w:afterAutospacing="0" w:line="360" w:lineRule="auto"/>
        <w:ind w:firstLine="420"/>
        <w:rPr>
          <w:sz w:val="21"/>
          <w:szCs w:val="21"/>
        </w:rPr>
      </w:pPr>
      <w:r>
        <w:rPr>
          <w:rFonts w:hint="eastAsia"/>
          <w:sz w:val="21"/>
          <w:szCs w:val="21"/>
        </w:rPr>
        <w:t xml:space="preserve">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pPr>
        <w:pStyle w:val="7"/>
        <w:spacing w:before="0" w:beforeAutospacing="0" w:after="0" w:afterAutospacing="0" w:line="360" w:lineRule="auto"/>
        <w:ind w:firstLine="420"/>
        <w:rPr>
          <w:sz w:val="21"/>
          <w:szCs w:val="21"/>
        </w:rPr>
      </w:pPr>
      <w:r>
        <w:rPr>
          <w:rFonts w:hint="eastAsia"/>
          <w:sz w:val="21"/>
          <w:szCs w:val="21"/>
        </w:rPr>
        <w:t xml:space="preserve">（十四）参与融资交易的信息披露 </w:t>
      </w:r>
    </w:p>
    <w:p>
      <w:pPr>
        <w:pStyle w:val="7"/>
        <w:spacing w:before="0" w:beforeAutospacing="0" w:after="0" w:afterAutospacing="0" w:line="360" w:lineRule="auto"/>
        <w:ind w:firstLine="420"/>
        <w:rPr>
          <w:sz w:val="21"/>
          <w:szCs w:val="21"/>
        </w:rPr>
      </w:pPr>
      <w:r>
        <w:rPr>
          <w:rFonts w:hint="eastAsia"/>
          <w:sz w:val="21"/>
          <w:szCs w:val="21"/>
        </w:rPr>
        <w:t xml:space="preserve">本基金参与融资交易，基金管理人应当在基金季度报告、中期报告、年度报告等定期报告和招募说明书（更新）等文件中披露基金参与融资交易的情况，包括投资策略、业务开展情况、损益情况、风险及其管理情况等。 </w:t>
      </w:r>
    </w:p>
    <w:p>
      <w:pPr>
        <w:pStyle w:val="7"/>
        <w:spacing w:before="0" w:beforeAutospacing="0" w:after="0" w:afterAutospacing="0" w:line="360" w:lineRule="auto"/>
        <w:ind w:firstLine="420"/>
        <w:rPr>
          <w:sz w:val="21"/>
          <w:szCs w:val="21"/>
        </w:rPr>
      </w:pPr>
      <w:bookmarkStart w:id="180" w:name="chapter_level1_18_67_section_2_end"/>
      <w:bookmarkEnd w:id="180"/>
      <w:r>
        <w:rPr>
          <w:rFonts w:hint="eastAsia"/>
          <w:sz w:val="21"/>
          <w:szCs w:val="21"/>
        </w:rPr>
        <w:t xml:space="preserve">（十五）中国证监会规定的其他信息。 </w:t>
      </w:r>
    </w:p>
    <w:p>
      <w:pPr>
        <w:pStyle w:val="7"/>
        <w:spacing w:before="0" w:beforeAutospacing="0" w:after="0" w:afterAutospacing="0" w:line="360" w:lineRule="auto"/>
        <w:ind w:firstLine="420"/>
        <w:rPr>
          <w:sz w:val="21"/>
          <w:szCs w:val="21"/>
        </w:rPr>
      </w:pPr>
      <w:bookmarkStart w:id="181" w:name="chapter_level1_18_67_section_3"/>
      <w:bookmarkEnd w:id="181"/>
      <w:r>
        <w:rPr>
          <w:rStyle w:val="11"/>
          <w:rFonts w:hint="eastAsia"/>
          <w:sz w:val="21"/>
          <w:szCs w:val="21"/>
        </w:rPr>
        <w:t>六、信息披露事务管理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基金信息披露义务人公开披露基金信息，应当符合中国证监会相关基金信息披露内容与格式准则等法规的规定。 </w:t>
      </w:r>
    </w:p>
    <w:p>
      <w:pPr>
        <w:pStyle w:val="7"/>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pPr>
        <w:pStyle w:val="7"/>
        <w:spacing w:before="0" w:beforeAutospacing="0" w:after="0" w:afterAutospacing="0" w:line="360" w:lineRule="auto"/>
        <w:ind w:firstLine="420"/>
        <w:rPr>
          <w:sz w:val="21"/>
          <w:szCs w:val="21"/>
        </w:rPr>
      </w:pPr>
      <w:r>
        <w:rPr>
          <w:rStyle w:val="11"/>
          <w:rFonts w:hint="eastAsia"/>
          <w:sz w:val="21"/>
          <w:szCs w:val="21"/>
        </w:rPr>
        <w:t>七、信息披露文件的存放与查阅 </w:t>
      </w:r>
    </w:p>
    <w:p>
      <w:pPr>
        <w:pStyle w:val="7"/>
        <w:spacing w:before="0" w:beforeAutospacing="0" w:after="0" w:afterAutospacing="0" w:line="360" w:lineRule="auto"/>
        <w:ind w:firstLine="420"/>
        <w:rPr>
          <w:sz w:val="21"/>
          <w:szCs w:val="21"/>
        </w:rPr>
      </w:pPr>
      <w:r>
        <w:rPr>
          <w:rFonts w:hint="eastAsia"/>
          <w:sz w:val="21"/>
          <w:szCs w:val="21"/>
        </w:rPr>
        <w:t>依法必须披露的信息发布后，基金管理人、基金托管人应当按照相关法律法规规定将信</w:t>
      </w:r>
      <w:bookmarkStart w:id="182" w:name="chapter_level1_18_67_section_3_end"/>
      <w:bookmarkEnd w:id="182"/>
      <w:r>
        <w:rPr>
          <w:rFonts w:hint="eastAsia"/>
          <w:sz w:val="21"/>
          <w:szCs w:val="21"/>
        </w:rPr>
        <w:t xml:space="preserve">息置备于公司住所，以供公众查阅、复制。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3" w:name="chapter_level1_19_68"/>
      <w:bookmarkStart w:id="184" w:name="_Toc113560427"/>
      <w:r>
        <w:rPr>
          <w:rFonts w:hint="eastAsia" w:ascii="宋体" w:hAnsi="宋体" w:eastAsia="宋体"/>
          <w:sz w:val="30"/>
        </w:rPr>
        <w:t>第十六部分  风险揭示</w:t>
      </w:r>
      <w:bookmarkEnd w:id="183"/>
      <w:bookmarkEnd w:id="184"/>
    </w:p>
    <w:p>
      <w:pPr>
        <w:pStyle w:val="7"/>
        <w:spacing w:before="0" w:beforeAutospacing="0" w:after="0" w:afterAutospacing="0" w:line="360" w:lineRule="auto"/>
        <w:ind w:firstLine="420"/>
        <w:rPr>
          <w:sz w:val="21"/>
          <w:szCs w:val="21"/>
        </w:rPr>
      </w:pPr>
      <w:bookmarkStart w:id="185" w:name="chapter_level1_19_68_section_1"/>
      <w:bookmarkEnd w:id="185"/>
      <w:r>
        <w:rPr>
          <w:rStyle w:val="11"/>
          <w:rFonts w:hint="eastAsia"/>
          <w:sz w:val="21"/>
          <w:szCs w:val="21"/>
        </w:rPr>
        <w:t>一、投资于本基金的主要风险</w:t>
      </w:r>
    </w:p>
    <w:p>
      <w:pPr>
        <w:pStyle w:val="7"/>
        <w:spacing w:before="0" w:beforeAutospacing="0" w:after="0" w:afterAutospacing="0" w:line="360" w:lineRule="auto"/>
        <w:ind w:firstLine="420"/>
        <w:rPr>
          <w:sz w:val="21"/>
          <w:szCs w:val="21"/>
        </w:rPr>
      </w:pPr>
      <w:r>
        <w:rPr>
          <w:rFonts w:hint="eastAsia"/>
          <w:sz w:val="21"/>
          <w:szCs w:val="21"/>
        </w:rPr>
        <w:t xml:space="preserve">（一）本基金的特有风险   </w:t>
      </w:r>
    </w:p>
    <w:p>
      <w:pPr>
        <w:pStyle w:val="7"/>
        <w:spacing w:before="0" w:beforeAutospacing="0" w:after="0" w:afterAutospacing="0" w:line="360" w:lineRule="auto"/>
        <w:ind w:firstLine="420"/>
        <w:rPr>
          <w:sz w:val="21"/>
          <w:szCs w:val="21"/>
        </w:rPr>
      </w:pPr>
      <w:r>
        <w:rPr>
          <w:rFonts w:hint="eastAsia"/>
          <w:sz w:val="21"/>
          <w:szCs w:val="21"/>
        </w:rPr>
        <w:t xml:space="preserve">本基金为主题型基金，将80%以上的非现金基金资产投资于军工主题相关的上市公司发行的证券，该类证券的特定风险即成为本基金及投资者主要面对的特定投资风险，其投资收益会受到宏观经济、政府产业政策、市场需求变化、行业波动和公司自身经营状况等因素的影响，可能存在所选投资标的的成长性与市场一致预期不符而造成个股价格表现低于预期的风险。因此，本基金所投资的军工主题相关证券可能在一定时期内表现与其他未投资的证券不同，造成本基金的收益低于其他基金，或波动率高于其他基金或市场平均水平。此外，由于本基金还可以投资其它品种，这些品种的价格也可能因市场中的各类变化而出现一定幅度的波动，产生特定的风险，并影响到整体基金的投资收益。      </w:t>
      </w:r>
    </w:p>
    <w:p>
      <w:pPr>
        <w:pStyle w:val="7"/>
        <w:spacing w:before="0" w:beforeAutospacing="0" w:after="0" w:afterAutospacing="0" w:line="360" w:lineRule="auto"/>
        <w:ind w:firstLine="420"/>
        <w:rPr>
          <w:sz w:val="21"/>
          <w:szCs w:val="21"/>
        </w:rPr>
      </w:pPr>
      <w:r>
        <w:rPr>
          <w:rFonts w:hint="eastAsia"/>
          <w:sz w:val="21"/>
          <w:szCs w:val="21"/>
        </w:rPr>
        <w:t xml:space="preserve">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   </w:t>
      </w:r>
    </w:p>
    <w:p>
      <w:pPr>
        <w:pStyle w:val="7"/>
        <w:spacing w:before="0" w:beforeAutospacing="0" w:after="0" w:afterAutospacing="0" w:line="360" w:lineRule="auto"/>
        <w:ind w:firstLine="420"/>
        <w:rPr>
          <w:sz w:val="21"/>
          <w:szCs w:val="21"/>
        </w:rPr>
      </w:pPr>
      <w:r>
        <w:rPr>
          <w:rFonts w:hint="eastAsia"/>
          <w:sz w:val="21"/>
          <w:szCs w:val="21"/>
        </w:rPr>
        <w:t xml:space="preserve">另外本基金可以通过投资于股指期货进行套期保值或有效管理，股指期货投资可能给本基金带来额外风险，包括杠杆风险、期货价格与基金投资品种价格的相关度降低带来的风险、基差风险、交易对手风险等，由此可能增加本基金净值的波动性。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（二）本基金的普通风险  </w:t>
      </w:r>
    </w:p>
    <w:p>
      <w:pPr>
        <w:pStyle w:val="7"/>
        <w:spacing w:before="0" w:beforeAutospacing="0" w:after="0" w:afterAutospacing="0" w:line="360" w:lineRule="auto"/>
        <w:ind w:firstLine="420"/>
        <w:rPr>
          <w:sz w:val="21"/>
          <w:szCs w:val="21"/>
        </w:rPr>
      </w:pPr>
      <w:r>
        <w:rPr>
          <w:rFonts w:hint="eastAsia"/>
          <w:sz w:val="21"/>
          <w:szCs w:val="21"/>
        </w:rPr>
        <w:t xml:space="preserve">1、市场风险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（2）经济周期风险。随着经济运行的周期性变化，证券市场的收益水平也呈周期性变化。本基金主要投资于债券，收益水平也会随之变化，从而产生风险。  </w:t>
      </w:r>
    </w:p>
    <w:p>
      <w:pPr>
        <w:pStyle w:val="7"/>
        <w:spacing w:before="0" w:beforeAutospacing="0" w:after="0" w:afterAutospacing="0" w:line="360" w:lineRule="auto"/>
        <w:ind w:firstLine="420"/>
        <w:rPr>
          <w:sz w:val="21"/>
          <w:szCs w:val="21"/>
        </w:rPr>
      </w:pPr>
      <w:r>
        <w:rPr>
          <w:rFonts w:hint="eastAsia"/>
          <w:sz w:val="21"/>
          <w:szCs w:val="21"/>
        </w:rPr>
        <w:t xml:space="preserve">（3）收益波动风险。本基金投资于证券市场,基金收益会因为证券市场波动等因素产生波动。   </w:t>
      </w:r>
    </w:p>
    <w:p>
      <w:pPr>
        <w:pStyle w:val="7"/>
        <w:spacing w:before="0" w:beforeAutospacing="0" w:after="0" w:afterAutospacing="0" w:line="360" w:lineRule="auto"/>
        <w:ind w:firstLine="420"/>
        <w:rPr>
          <w:sz w:val="21"/>
          <w:szCs w:val="21"/>
        </w:rPr>
      </w:pPr>
      <w:r>
        <w:rPr>
          <w:rFonts w:hint="eastAsia"/>
          <w:sz w:val="21"/>
          <w:szCs w:val="21"/>
        </w:rPr>
        <w:t xml:space="preserve">（4）利率风险。金融市场利率的波动会导致证券市场价格和收益率的变动。   </w:t>
      </w:r>
    </w:p>
    <w:p>
      <w:pPr>
        <w:pStyle w:val="7"/>
        <w:spacing w:before="0" w:beforeAutospacing="0" w:after="0" w:afterAutospacing="0" w:line="360" w:lineRule="auto"/>
        <w:ind w:firstLine="420"/>
        <w:rPr>
          <w:sz w:val="21"/>
          <w:szCs w:val="21"/>
        </w:rPr>
      </w:pPr>
      <w:r>
        <w:rPr>
          <w:rFonts w:hint="eastAsia"/>
          <w:sz w:val="21"/>
          <w:szCs w:val="21"/>
        </w:rPr>
        <w:t xml:space="preserve">（5）通货膨胀风险。如果发生通货膨胀，基金投资于证券所获得的收益可能会被通货膨胀抵消，从而影响基金资产的保值增值。   </w:t>
      </w:r>
    </w:p>
    <w:p>
      <w:pPr>
        <w:pStyle w:val="7"/>
        <w:spacing w:before="0" w:beforeAutospacing="0" w:after="0" w:afterAutospacing="0" w:line="360" w:lineRule="auto"/>
        <w:ind w:firstLine="420"/>
        <w:rPr>
          <w:sz w:val="21"/>
          <w:szCs w:val="21"/>
        </w:rPr>
      </w:pPr>
      <w:r>
        <w:rPr>
          <w:rFonts w:hint="eastAsia"/>
          <w:sz w:val="21"/>
          <w:szCs w:val="21"/>
        </w:rPr>
        <w:t xml:space="preserve">（6）再投资风险。再投资风险反映了利率下降对固定收益证券利息收入再投资收益的影响，这与利率上升所带来的价格风险（即利率风险）互为消长。   </w:t>
      </w:r>
    </w:p>
    <w:p>
      <w:pPr>
        <w:pStyle w:val="7"/>
        <w:spacing w:before="0" w:beforeAutospacing="0" w:after="0" w:afterAutospacing="0" w:line="360" w:lineRule="auto"/>
        <w:ind w:firstLine="420"/>
        <w:rPr>
          <w:sz w:val="21"/>
          <w:szCs w:val="21"/>
        </w:rPr>
      </w:pPr>
      <w:r>
        <w:rPr>
          <w:rFonts w:hint="eastAsia"/>
          <w:sz w:val="21"/>
          <w:szCs w:val="21"/>
        </w:rPr>
        <w:t xml:space="preserve">2、信用风险   </w:t>
      </w:r>
    </w:p>
    <w:p>
      <w:pPr>
        <w:pStyle w:val="7"/>
        <w:spacing w:before="0" w:beforeAutospacing="0" w:after="0" w:afterAutospacing="0" w:line="360" w:lineRule="auto"/>
        <w:ind w:firstLine="420"/>
        <w:rPr>
          <w:sz w:val="21"/>
          <w:szCs w:val="21"/>
        </w:rPr>
      </w:pPr>
      <w:r>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pPr>
        <w:pStyle w:val="7"/>
        <w:spacing w:before="0" w:beforeAutospacing="0" w:after="0" w:afterAutospacing="0" w:line="360" w:lineRule="auto"/>
        <w:ind w:firstLine="420"/>
        <w:rPr>
          <w:sz w:val="21"/>
          <w:szCs w:val="21"/>
        </w:rPr>
      </w:pPr>
      <w:r>
        <w:rPr>
          <w:rFonts w:hint="eastAsia"/>
          <w:sz w:val="21"/>
          <w:szCs w:val="21"/>
        </w:rPr>
        <w:t xml:space="preserve">3、流动性风险   </w:t>
      </w:r>
    </w:p>
    <w:p>
      <w:pPr>
        <w:pStyle w:val="7"/>
        <w:spacing w:before="0" w:beforeAutospacing="0" w:after="0" w:afterAutospacing="0" w:line="360" w:lineRule="auto"/>
        <w:ind w:firstLine="420"/>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pPr>
        <w:pStyle w:val="7"/>
        <w:spacing w:before="0" w:beforeAutospacing="0" w:after="0" w:afterAutospacing="0" w:line="360" w:lineRule="auto"/>
        <w:ind w:firstLine="420"/>
        <w:rPr>
          <w:sz w:val="21"/>
          <w:szCs w:val="21"/>
        </w:rPr>
      </w:pPr>
      <w:r>
        <w:rPr>
          <w:rFonts w:hint="eastAsia"/>
          <w:sz w:val="21"/>
          <w:szCs w:val="21"/>
        </w:rPr>
        <w:t xml:space="preserve">（1）基金申购、赎回的安排   </w:t>
      </w:r>
    </w:p>
    <w:p>
      <w:pPr>
        <w:pStyle w:val="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4、管理风险   </w:t>
      </w:r>
    </w:p>
    <w:p>
      <w:pPr>
        <w:pStyle w:val="7"/>
        <w:spacing w:before="0" w:beforeAutospacing="0" w:after="0" w:afterAutospacing="0" w:line="360" w:lineRule="auto"/>
        <w:ind w:firstLine="420"/>
        <w:rPr>
          <w:sz w:val="21"/>
          <w:szCs w:val="21"/>
        </w:rPr>
      </w:pPr>
      <w:r>
        <w:rPr>
          <w:rFonts w:hint="eastAsia"/>
          <w:sz w:val="21"/>
          <w:szCs w:val="21"/>
        </w:rPr>
        <w:t xml:space="preserve">基金运作过程中由于基金投资策略、人为因素、管理系统设置不当造成操作失误或公司内部失控而可能产生的损失。管理风险包括：  </w:t>
      </w:r>
    </w:p>
    <w:p>
      <w:pPr>
        <w:pStyle w:val="7"/>
        <w:spacing w:before="0" w:beforeAutospacing="0" w:after="0" w:afterAutospacing="0" w:line="360" w:lineRule="auto"/>
        <w:ind w:firstLine="420"/>
        <w:rPr>
          <w:sz w:val="21"/>
          <w:szCs w:val="21"/>
        </w:rPr>
      </w:pPr>
      <w:r>
        <w:rPr>
          <w:rFonts w:hint="eastAsia"/>
          <w:sz w:val="21"/>
          <w:szCs w:val="21"/>
        </w:rPr>
        <w:t xml:space="preserve">（1）决策风险：指基金投资的投资策略制定、投资决策执行和投资绩效监督检查过程中，由于决策失误而给基金资产造成的可能的损失；  </w:t>
      </w:r>
    </w:p>
    <w:p>
      <w:pPr>
        <w:pStyle w:val="7"/>
        <w:spacing w:before="0" w:beforeAutospacing="0" w:after="0" w:afterAutospacing="0" w:line="360" w:lineRule="auto"/>
        <w:ind w:firstLine="420"/>
        <w:rPr>
          <w:sz w:val="21"/>
          <w:szCs w:val="21"/>
        </w:rPr>
      </w:pPr>
      <w:r>
        <w:rPr>
          <w:rFonts w:hint="eastAsia"/>
          <w:sz w:val="21"/>
          <w:szCs w:val="21"/>
        </w:rPr>
        <w:t xml:space="preserve">（2）操作风险：指基金投资决策执行中，由于投资指令不明晰、交易操作失误等人为因素而可能导致的损失；  </w:t>
      </w:r>
    </w:p>
    <w:p>
      <w:pPr>
        <w:pStyle w:val="7"/>
        <w:spacing w:before="0" w:beforeAutospacing="0" w:after="0" w:afterAutospacing="0" w:line="360" w:lineRule="auto"/>
        <w:ind w:firstLine="420"/>
        <w:rPr>
          <w:sz w:val="21"/>
          <w:szCs w:val="21"/>
        </w:rPr>
      </w:pPr>
      <w:r>
        <w:rPr>
          <w:rFonts w:hint="eastAsia"/>
          <w:sz w:val="21"/>
          <w:szCs w:val="21"/>
        </w:rPr>
        <w:t xml:space="preserve">（3）技术风险：是指公司管理信息系统设置不当等因素而可能造成的损失。  </w:t>
      </w:r>
    </w:p>
    <w:p>
      <w:pPr>
        <w:pStyle w:val="7"/>
        <w:spacing w:before="0" w:beforeAutospacing="0" w:after="0" w:afterAutospacing="0" w:line="360" w:lineRule="auto"/>
        <w:ind w:firstLine="420"/>
        <w:rPr>
          <w:sz w:val="21"/>
          <w:szCs w:val="21"/>
        </w:rPr>
      </w:pPr>
      <w:r>
        <w:rPr>
          <w:rFonts w:hint="eastAsia"/>
          <w:sz w:val="21"/>
          <w:szCs w:val="21"/>
        </w:rPr>
        <w:t xml:space="preserve">（4）估值风险：指基金管理或运作过程中，因估值错误而导致的风险。  </w:t>
      </w:r>
    </w:p>
    <w:p>
      <w:pPr>
        <w:pStyle w:val="7"/>
        <w:spacing w:before="0" w:beforeAutospacing="0" w:after="0" w:afterAutospacing="0" w:line="360" w:lineRule="auto"/>
        <w:ind w:firstLine="420"/>
        <w:rPr>
          <w:sz w:val="21"/>
          <w:szCs w:val="21"/>
        </w:rPr>
      </w:pPr>
      <w:r>
        <w:rPr>
          <w:rFonts w:hint="eastAsia"/>
          <w:sz w:val="21"/>
          <w:szCs w:val="21"/>
        </w:rPr>
        <w:t xml:space="preserve">5、合规风险   </w:t>
      </w:r>
    </w:p>
    <w:p>
      <w:pPr>
        <w:pStyle w:val="7"/>
        <w:spacing w:before="0" w:beforeAutospacing="0" w:after="0" w:afterAutospacing="0" w:line="360" w:lineRule="auto"/>
        <w:ind w:firstLine="420"/>
        <w:rPr>
          <w:sz w:val="21"/>
          <w:szCs w:val="21"/>
        </w:rPr>
      </w:pPr>
      <w:r>
        <w:rPr>
          <w:rFonts w:hint="eastAsia"/>
          <w:sz w:val="21"/>
          <w:szCs w:val="21"/>
        </w:rPr>
        <w:t xml:space="preserve">合规风险指基金管理或运作过程中，违反国家法律、法规的规定，或者违反《基金合同》有关规定的风险。   </w:t>
      </w:r>
    </w:p>
    <w:p>
      <w:pPr>
        <w:pStyle w:val="7"/>
        <w:spacing w:before="0" w:beforeAutospacing="0" w:after="0" w:afterAutospacing="0" w:line="360" w:lineRule="auto"/>
        <w:ind w:firstLine="420"/>
        <w:rPr>
          <w:sz w:val="21"/>
          <w:szCs w:val="21"/>
        </w:rPr>
      </w:pPr>
      <w:r>
        <w:rPr>
          <w:rFonts w:hint="eastAsia"/>
          <w:sz w:val="21"/>
          <w:szCs w:val="21"/>
        </w:rPr>
        <w:t xml:space="preserve">6、其他风险  </w:t>
      </w:r>
    </w:p>
    <w:p>
      <w:pPr>
        <w:pStyle w:val="7"/>
        <w:spacing w:before="0" w:beforeAutospacing="0" w:after="0" w:afterAutospacing="0" w:line="360" w:lineRule="auto"/>
        <w:ind w:firstLine="420"/>
        <w:rPr>
          <w:sz w:val="21"/>
          <w:szCs w:val="21"/>
        </w:rPr>
      </w:pPr>
      <w:r>
        <w:rPr>
          <w:rFonts w:hint="eastAsia"/>
          <w:sz w:val="21"/>
          <w:szCs w:val="21"/>
        </w:rPr>
        <w:t xml:space="preserve">（1）随着符合本基金投资理念的新投资工具的出现和发展，如果投资于这些工具，基金可能会面临一些特殊的风险；  </w:t>
      </w:r>
    </w:p>
    <w:p>
      <w:pPr>
        <w:pStyle w:val="7"/>
        <w:spacing w:before="0" w:beforeAutospacing="0" w:after="0" w:afterAutospacing="0" w:line="360" w:lineRule="auto"/>
        <w:ind w:firstLine="420"/>
        <w:rPr>
          <w:sz w:val="21"/>
          <w:szCs w:val="21"/>
        </w:rPr>
      </w:pPr>
      <w:r>
        <w:rPr>
          <w:rFonts w:hint="eastAsia"/>
          <w:sz w:val="21"/>
          <w:szCs w:val="21"/>
        </w:rPr>
        <w:t xml:space="preserve">（2）因技术因素而产生的风险，如计算机系统不可靠产生的风险；  </w:t>
      </w:r>
    </w:p>
    <w:p>
      <w:pPr>
        <w:pStyle w:val="7"/>
        <w:spacing w:before="0" w:beforeAutospacing="0" w:after="0" w:afterAutospacing="0" w:line="360" w:lineRule="auto"/>
        <w:ind w:firstLine="420"/>
        <w:rPr>
          <w:sz w:val="21"/>
          <w:szCs w:val="21"/>
        </w:rPr>
      </w:pPr>
      <w:r>
        <w:rPr>
          <w:rFonts w:hint="eastAsia"/>
          <w:sz w:val="21"/>
          <w:szCs w:val="21"/>
        </w:rPr>
        <w:t xml:space="preserve">（3）因基金业务快速发展而在制度建设、人员配备、内控制度建立等方面不完善而产生的风险；  </w:t>
      </w:r>
    </w:p>
    <w:p>
      <w:pPr>
        <w:pStyle w:val="7"/>
        <w:spacing w:before="0" w:beforeAutospacing="0" w:after="0" w:afterAutospacing="0" w:line="360" w:lineRule="auto"/>
        <w:ind w:firstLine="420"/>
        <w:rPr>
          <w:sz w:val="21"/>
          <w:szCs w:val="21"/>
        </w:rPr>
      </w:pPr>
      <w:r>
        <w:rPr>
          <w:rFonts w:hint="eastAsia"/>
          <w:sz w:val="21"/>
          <w:szCs w:val="21"/>
        </w:rPr>
        <w:t xml:space="preserve">（4）因人为因素而产生的风险、如内幕交易、欺诈行为等产生的风险；  </w:t>
      </w:r>
    </w:p>
    <w:p>
      <w:pPr>
        <w:pStyle w:val="7"/>
        <w:spacing w:before="0" w:beforeAutospacing="0" w:after="0" w:afterAutospacing="0" w:line="360" w:lineRule="auto"/>
        <w:ind w:firstLine="420"/>
        <w:rPr>
          <w:sz w:val="21"/>
          <w:szCs w:val="21"/>
        </w:rPr>
      </w:pPr>
      <w:r>
        <w:rPr>
          <w:rFonts w:hint="eastAsia"/>
          <w:sz w:val="21"/>
          <w:szCs w:val="21"/>
        </w:rPr>
        <w:t xml:space="preserve">（5）对主要业务人员如基金经理的依赖而可能产生的风险；  </w:t>
      </w:r>
    </w:p>
    <w:p>
      <w:pPr>
        <w:pStyle w:val="7"/>
        <w:spacing w:before="0" w:beforeAutospacing="0" w:after="0" w:afterAutospacing="0" w:line="360" w:lineRule="auto"/>
        <w:ind w:firstLine="420"/>
        <w:rPr>
          <w:sz w:val="21"/>
          <w:szCs w:val="21"/>
        </w:rPr>
      </w:pPr>
      <w:r>
        <w:rPr>
          <w:rFonts w:hint="eastAsia"/>
          <w:sz w:val="21"/>
          <w:szCs w:val="21"/>
        </w:rPr>
        <w:t xml:space="preserve">（6）战争、自然灾害等不可抗力可能导致基金资产的损失，影响基金收益水平，从而带来风险；  </w:t>
      </w:r>
    </w:p>
    <w:p>
      <w:pPr>
        <w:pStyle w:val="7"/>
        <w:spacing w:before="0" w:beforeAutospacing="0" w:after="0" w:afterAutospacing="0" w:line="360" w:lineRule="auto"/>
        <w:ind w:firstLine="420" w:firstLineChars="200"/>
        <w:rPr>
          <w:sz w:val="21"/>
          <w:szCs w:val="21"/>
        </w:rPr>
      </w:pPr>
      <w:r>
        <w:rPr>
          <w:rFonts w:hint="eastAsia"/>
          <w:sz w:val="21"/>
          <w:szCs w:val="21"/>
        </w:rPr>
        <w:t xml:space="preserve">（7）其他意外导致的风险。  </w:t>
      </w:r>
    </w:p>
    <w:p>
      <w:pPr>
        <w:pStyle w:val="7"/>
        <w:spacing w:before="0" w:beforeAutospacing="0" w:after="0" w:afterAutospacing="0" w:line="360" w:lineRule="auto"/>
        <w:ind w:firstLine="420"/>
        <w:rPr>
          <w:sz w:val="21"/>
          <w:szCs w:val="21"/>
        </w:rPr>
      </w:pPr>
      <w:r>
        <w:rPr>
          <w:rStyle w:val="11"/>
          <w:rFonts w:hint="eastAsia"/>
          <w:sz w:val="21"/>
          <w:szCs w:val="21"/>
        </w:rPr>
        <w:t>二、声明</w:t>
      </w:r>
    </w:p>
    <w:p>
      <w:pPr>
        <w:pStyle w:val="7"/>
        <w:spacing w:before="0" w:beforeAutospacing="0" w:after="0" w:afterAutospacing="0" w:line="360" w:lineRule="auto"/>
        <w:ind w:firstLine="420"/>
        <w:rPr>
          <w:sz w:val="21"/>
          <w:szCs w:val="21"/>
        </w:rPr>
      </w:pPr>
      <w:r>
        <w:rPr>
          <w:rFonts w:hint="eastAsia"/>
          <w:sz w:val="21"/>
          <w:szCs w:val="21"/>
        </w:rPr>
        <w:t xml:space="preserve">1、投资者投资于本基金，须自行承担投资风险；   </w:t>
      </w:r>
    </w:p>
    <w:p>
      <w:pPr>
        <w:pStyle w:val="7"/>
        <w:spacing w:before="0" w:beforeAutospacing="0" w:after="0" w:afterAutospacing="0" w:line="360" w:lineRule="auto"/>
        <w:ind w:firstLine="420"/>
        <w:rPr>
          <w:sz w:val="21"/>
          <w:szCs w:val="21"/>
        </w:rPr>
      </w:pPr>
      <w:r>
        <w:rPr>
          <w:rFonts w:hint="eastAsia"/>
          <w:sz w:val="21"/>
          <w:szCs w:val="21"/>
        </w:rPr>
        <w:t>2、除基金管理人直接办理本基金的销售外，本基金还通过中国建设银行等基金代销机</w:t>
      </w:r>
      <w:bookmarkStart w:id="186" w:name="chapter_level1_19_68_section_1_end"/>
      <w:bookmarkEnd w:id="186"/>
      <w:r>
        <w:rPr>
          <w:rFonts w:hint="eastAsia"/>
          <w:sz w:val="21"/>
          <w:szCs w:val="21"/>
        </w:rPr>
        <w:t xml:space="preserve">构代理销售，基金管理人与基金代销机构都不能保证其收益或本金安全。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7" w:name="_Toc113560428"/>
      <w:bookmarkStart w:id="188" w:name="chapter_level1_20_69"/>
      <w:r>
        <w:rPr>
          <w:rFonts w:hint="eastAsia" w:ascii="宋体" w:hAnsi="宋体" w:eastAsia="宋体"/>
          <w:sz w:val="30"/>
        </w:rPr>
        <w:t>第十七部分  基金合同的变更、终止与基金财产的清算</w:t>
      </w:r>
      <w:bookmarkEnd w:id="187"/>
      <w:bookmarkEnd w:id="188"/>
    </w:p>
    <w:p>
      <w:pPr>
        <w:pStyle w:val="7"/>
        <w:spacing w:before="0" w:beforeAutospacing="0" w:after="0" w:afterAutospacing="0" w:line="360" w:lineRule="auto"/>
        <w:ind w:firstLine="420"/>
        <w:rPr>
          <w:sz w:val="21"/>
          <w:szCs w:val="21"/>
        </w:rPr>
      </w:pPr>
      <w:bookmarkStart w:id="189" w:name="chapter_level1_20_69_section_1"/>
      <w:bookmarkEnd w:id="189"/>
      <w:r>
        <w:rPr>
          <w:rStyle w:val="11"/>
          <w:rFonts w:hint="eastAsia"/>
          <w:sz w:val="21"/>
          <w:szCs w:val="21"/>
        </w:rPr>
        <w:t>一、《基金合同》的变更</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2、关于《基金合同》变更的基金份额持有人大会决议自生效后方可执行，并自决议生效后按规定在指定媒介公告。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二、《基金合同》的终止事由</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Style w:val="11"/>
          <w:rFonts w:hint="eastAsia"/>
          <w:sz w:val="21"/>
          <w:szCs w:val="21"/>
        </w:rPr>
        <w:t>四、清算费用</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Style w:val="11"/>
          <w:rFonts w:hint="eastAsia"/>
          <w:sz w:val="21"/>
          <w:szCs w:val="21"/>
        </w:rPr>
        <w:t>五、基金财产清算剩余资产的分配</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Style w:val="11"/>
          <w:rFonts w:hint="eastAsia"/>
          <w:sz w:val="21"/>
          <w:szCs w:val="21"/>
        </w:rPr>
        <w:t>六、基金财产清算的公告</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Style w:val="11"/>
          <w:rFonts w:hint="eastAsia"/>
          <w:sz w:val="21"/>
          <w:szCs w:val="21"/>
        </w:rPr>
        <w:t>七、基金财产清算账册及文件的保存</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Style w:val="11"/>
          <w:rFonts w:hint="eastAsia"/>
          <w:sz w:val="21"/>
          <w:szCs w:val="21"/>
        </w:rPr>
        <w:t>八、基金合并</w:t>
      </w:r>
    </w:p>
    <w:p>
      <w:pPr>
        <w:pStyle w:val="7"/>
        <w:spacing w:before="0" w:beforeAutospacing="0" w:after="0" w:afterAutospacing="0" w:line="360" w:lineRule="auto"/>
        <w:ind w:firstLine="420"/>
        <w:rPr>
          <w:sz w:val="21"/>
          <w:szCs w:val="21"/>
        </w:rPr>
      </w:pPr>
      <w:bookmarkStart w:id="190" w:name="chapter_level1_20_69_section_1_end"/>
      <w:bookmarkEnd w:id="190"/>
      <w:r>
        <w:rPr>
          <w:rFonts w:hint="eastAsia"/>
          <w:sz w:val="21"/>
          <w:szCs w:val="21"/>
        </w:rPr>
        <w:t xml:space="preserve">本基金与其他基金的合并应当按照法律法规规定的程序进行。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1" w:name="chapter_level1_21_71"/>
      <w:bookmarkStart w:id="192" w:name="_Toc113560429"/>
      <w:r>
        <w:rPr>
          <w:rFonts w:hint="eastAsia" w:ascii="宋体" w:hAnsi="宋体" w:eastAsia="宋体"/>
          <w:sz w:val="30"/>
        </w:rPr>
        <w:t>第十八部分  基金合同的内容摘要</w:t>
      </w:r>
      <w:bookmarkEnd w:id="191"/>
      <w:bookmarkEnd w:id="192"/>
    </w:p>
    <w:p>
      <w:pPr>
        <w:pStyle w:val="7"/>
        <w:spacing w:before="0" w:beforeAutospacing="0" w:after="0" w:afterAutospacing="0" w:line="360" w:lineRule="auto"/>
        <w:ind w:firstLine="420"/>
        <w:rPr>
          <w:sz w:val="21"/>
          <w:szCs w:val="21"/>
        </w:rPr>
      </w:pPr>
      <w:bookmarkStart w:id="193" w:name="chapter_level1_21_71_section_1"/>
      <w:bookmarkEnd w:id="193"/>
      <w:r>
        <w:rPr>
          <w:rStyle w:val="11"/>
          <w:rFonts w:hint="eastAsia"/>
          <w:sz w:val="21"/>
          <w:szCs w:val="21"/>
        </w:rPr>
        <w:t>一、基金份额持有人、基金管理人和基金托管人的权利、义务</w:t>
      </w:r>
    </w:p>
    <w:p>
      <w:pPr>
        <w:pStyle w:val="7"/>
        <w:spacing w:before="0" w:beforeAutospacing="0" w:after="0" w:afterAutospacing="0" w:line="360" w:lineRule="auto"/>
        <w:ind w:firstLine="420"/>
        <w:rPr>
          <w:sz w:val="21"/>
          <w:szCs w:val="21"/>
        </w:rPr>
      </w:pPr>
      <w:r>
        <w:rPr>
          <w:rFonts w:hint="eastAsia"/>
          <w:sz w:val="21"/>
          <w:szCs w:val="21"/>
        </w:rPr>
        <w:t xml:space="preserve">（一）基金管理人的权利与义务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  </w:t>
      </w:r>
    </w:p>
    <w:p>
      <w:pPr>
        <w:pStyle w:val="7"/>
        <w:spacing w:before="0" w:beforeAutospacing="0" w:after="0" w:afterAutospacing="0" w:line="360" w:lineRule="auto"/>
        <w:ind w:firstLine="420"/>
        <w:rPr>
          <w:sz w:val="21"/>
          <w:szCs w:val="21"/>
        </w:rPr>
      </w:pPr>
      <w:r>
        <w:rPr>
          <w:rFonts w:hint="eastAsia"/>
          <w:sz w:val="21"/>
          <w:szCs w:val="21"/>
        </w:rPr>
        <w:t xml:space="preserve">（2）自《基金合同》生效之日起，根据法律法规和《基金合同》独立运用并管理基金财产；  </w:t>
      </w:r>
    </w:p>
    <w:p>
      <w:pPr>
        <w:pStyle w:val="7"/>
        <w:spacing w:before="0" w:beforeAutospacing="0" w:after="0" w:afterAutospacing="0" w:line="360" w:lineRule="auto"/>
        <w:ind w:firstLine="420"/>
        <w:rPr>
          <w:sz w:val="21"/>
          <w:szCs w:val="21"/>
        </w:rPr>
      </w:pPr>
      <w:r>
        <w:rPr>
          <w:rFonts w:hint="eastAsia"/>
          <w:sz w:val="21"/>
          <w:szCs w:val="21"/>
        </w:rPr>
        <w:t xml:space="preserve">（3）依照《基金合同》收取基金管理费以及法律法规规定或中国证监会批准的其他费用；  </w:t>
      </w:r>
    </w:p>
    <w:p>
      <w:pPr>
        <w:pStyle w:val="7"/>
        <w:spacing w:before="0" w:beforeAutospacing="0" w:after="0" w:afterAutospacing="0" w:line="360" w:lineRule="auto"/>
        <w:ind w:firstLine="420"/>
        <w:rPr>
          <w:sz w:val="21"/>
          <w:szCs w:val="21"/>
        </w:rPr>
      </w:pPr>
      <w:r>
        <w:rPr>
          <w:rFonts w:hint="eastAsia"/>
          <w:sz w:val="21"/>
          <w:szCs w:val="21"/>
        </w:rPr>
        <w:t xml:space="preserve">（4）销售基金份额；  </w:t>
      </w:r>
    </w:p>
    <w:p>
      <w:pPr>
        <w:pStyle w:val="7"/>
        <w:spacing w:before="0" w:beforeAutospacing="0" w:after="0" w:afterAutospacing="0" w:line="360" w:lineRule="auto"/>
        <w:ind w:firstLine="420"/>
        <w:rPr>
          <w:sz w:val="21"/>
          <w:szCs w:val="21"/>
        </w:rPr>
      </w:pPr>
      <w:r>
        <w:rPr>
          <w:rFonts w:hint="eastAsia"/>
          <w:sz w:val="21"/>
          <w:szCs w:val="21"/>
        </w:rPr>
        <w:t xml:space="preserve">（5）按照规定召集基金份额持有人大会；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（7）在基金托管人更换时，提名新的基金托管人；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（8）选择、更换基金销售机构，对基金销售机构的相关行为进行监督和处理；  </w:t>
      </w:r>
    </w:p>
    <w:p>
      <w:pPr>
        <w:pStyle w:val="7"/>
        <w:spacing w:before="0" w:beforeAutospacing="0" w:after="0" w:afterAutospacing="0" w:line="360" w:lineRule="auto"/>
        <w:ind w:firstLine="420"/>
        <w:rPr>
          <w:sz w:val="21"/>
          <w:szCs w:val="21"/>
        </w:rPr>
      </w:pPr>
      <w:r>
        <w:rPr>
          <w:rFonts w:hint="eastAsia"/>
          <w:sz w:val="21"/>
          <w:szCs w:val="21"/>
        </w:rPr>
        <w:t xml:space="preserve">（9）担任或委托其他符合条件的机构担任基金登记机构办理基金登记业务并获得《基金合同》规定的费用；  </w:t>
      </w:r>
    </w:p>
    <w:p>
      <w:pPr>
        <w:pStyle w:val="7"/>
        <w:spacing w:before="0" w:beforeAutospacing="0" w:after="0" w:afterAutospacing="0" w:line="360" w:lineRule="auto"/>
        <w:ind w:firstLine="420"/>
        <w:rPr>
          <w:sz w:val="21"/>
          <w:szCs w:val="21"/>
        </w:rPr>
      </w:pPr>
      <w:r>
        <w:rPr>
          <w:rFonts w:hint="eastAsia"/>
          <w:sz w:val="21"/>
          <w:szCs w:val="21"/>
        </w:rPr>
        <w:t xml:space="preserve">（10）依据《基金合同》及有关法律规定决定基金收益的分配方案；        </w:t>
      </w:r>
    </w:p>
    <w:p>
      <w:pPr>
        <w:pStyle w:val="7"/>
        <w:spacing w:before="0" w:beforeAutospacing="0" w:after="0" w:afterAutospacing="0" w:line="360" w:lineRule="auto"/>
        <w:ind w:firstLine="420"/>
        <w:rPr>
          <w:sz w:val="21"/>
          <w:szCs w:val="21"/>
        </w:rPr>
      </w:pPr>
      <w:r>
        <w:rPr>
          <w:rFonts w:hint="eastAsia"/>
          <w:sz w:val="21"/>
          <w:szCs w:val="21"/>
        </w:rPr>
        <w:t xml:space="preserve">（11）在《基金合同》约定的范围内，拒绝或暂停受理申购与赎回申请；  </w:t>
      </w:r>
    </w:p>
    <w:p>
      <w:pPr>
        <w:pStyle w:val="7"/>
        <w:spacing w:before="0" w:beforeAutospacing="0" w:after="0" w:afterAutospacing="0" w:line="360" w:lineRule="auto"/>
        <w:ind w:firstLine="420"/>
        <w:rPr>
          <w:sz w:val="21"/>
          <w:szCs w:val="21"/>
        </w:rPr>
      </w:pPr>
      <w:r>
        <w:rPr>
          <w:rFonts w:hint="eastAsia"/>
          <w:sz w:val="21"/>
          <w:szCs w:val="21"/>
        </w:rPr>
        <w:t xml:space="preserve">（12）依照法律法规为基金的利益对被投资公司行使股东权利，为基金的利益行使因基金财产投资于证券所产生的权利；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（13）在法律法规允许的前提下，为基金的利益依法为基金进行融资、融券；  </w:t>
      </w:r>
    </w:p>
    <w:p>
      <w:pPr>
        <w:pStyle w:val="7"/>
        <w:spacing w:before="0" w:beforeAutospacing="0" w:after="0" w:afterAutospacing="0" w:line="360" w:lineRule="auto"/>
        <w:ind w:firstLine="420"/>
        <w:rPr>
          <w:sz w:val="21"/>
          <w:szCs w:val="21"/>
        </w:rPr>
      </w:pPr>
      <w:r>
        <w:rPr>
          <w:rFonts w:hint="eastAsia"/>
          <w:sz w:val="21"/>
          <w:szCs w:val="21"/>
        </w:rPr>
        <w:t xml:space="preserve">（14）以基金管理人的名义，代表基金份额持有人的利益行使诉讼权利或者实施其他法律行为；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（15）选择、更换律师事务所、会计师事务所、证券、期货经纪商或其他为基金提供服务的外部机构；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（16）在符合有关法律、法规的前提下，制订和调整有关基金认购、申购、赎回、转换和非交易过户等业务规则；  </w:t>
      </w:r>
    </w:p>
    <w:p>
      <w:pPr>
        <w:pStyle w:val="7"/>
        <w:spacing w:before="0" w:beforeAutospacing="0" w:after="0" w:afterAutospacing="0" w:line="360" w:lineRule="auto"/>
        <w:ind w:firstLine="420"/>
        <w:rPr>
          <w:sz w:val="21"/>
          <w:szCs w:val="21"/>
        </w:rPr>
      </w:pPr>
      <w:r>
        <w:rPr>
          <w:rFonts w:hint="eastAsia"/>
          <w:sz w:val="21"/>
          <w:szCs w:val="21"/>
        </w:rPr>
        <w:t xml:space="preserve">（17）法律法规及中国证监会规定的和《基金合同》约定的其他权利。2、根据《基金法》、《运作办法》及其他有关规定，基金管理人的义务包括但不限于：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（二）基金托管人的权利与义务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（1）自《基金合同》生效之日起，依法律法规和《基金合同》的规定安全保管基金财产；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（2）依《基金合同》约定获得基金托管费以及法律法规规定或监管部门批准的其他费用；  </w:t>
      </w:r>
    </w:p>
    <w:p>
      <w:pPr>
        <w:pStyle w:val="7"/>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（4）根据相关市场规则，为基金开设资金账户、证券账户等投资所需账户，为基金办理证券、期货交易资金清算；  </w:t>
      </w:r>
    </w:p>
    <w:p>
      <w:pPr>
        <w:pStyle w:val="7"/>
        <w:spacing w:before="0" w:beforeAutospacing="0" w:after="0" w:afterAutospacing="0" w:line="360" w:lineRule="auto"/>
        <w:ind w:firstLine="420"/>
        <w:rPr>
          <w:sz w:val="21"/>
          <w:szCs w:val="21"/>
        </w:rPr>
      </w:pPr>
      <w:r>
        <w:rPr>
          <w:rFonts w:hint="eastAsia"/>
          <w:sz w:val="21"/>
          <w:szCs w:val="21"/>
        </w:rPr>
        <w:t xml:space="preserve">（5）提议召开或召集基金份额持有人大会；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（6）在基金管理人更换时，提名新的基金管理人；  </w:t>
      </w:r>
    </w:p>
    <w:p>
      <w:pPr>
        <w:pStyle w:val="7"/>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（6）按规定开设基金财产的资金账户、证券账户等投资所需账户，按照《基金合同》的约定，根据基金管理人的投资指令，及时办理清算、交割事宜；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（8）复核、审查基金管理人计算的基金资产净值、各类基金份额净值、基金份额申购、赎回价格；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（三）基金份额持有人的权利和义务  </w:t>
      </w:r>
    </w:p>
    <w:p>
      <w:pPr>
        <w:pStyle w:val="7"/>
        <w:spacing w:before="0" w:beforeAutospacing="0" w:after="0" w:afterAutospacing="0" w:line="360" w:lineRule="auto"/>
        <w:ind w:firstLine="420"/>
        <w:rPr>
          <w:sz w:val="21"/>
          <w:szCs w:val="21"/>
        </w:rPr>
      </w:pPr>
      <w:r>
        <w:rPr>
          <w:rFonts w:hint="eastAsia"/>
          <w:sz w:val="21"/>
          <w:szCs w:val="21"/>
        </w:rPr>
        <w:t xml:space="preserve">同一类别每份基金份额具有同等的合法权益。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（3）依法申请赎回或转让其持有的基金份额；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（4）按照规定要求召开基金份额持有人大会或者召集基金份额持有人大会；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（8）对基金管理人、基金托管人、基金服务机构损害其合法权益的行为依法提起诉讼或仲裁；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（1）认真阅读并遵守《基金合同》、招募说明书等信息披露文件；  </w:t>
      </w:r>
    </w:p>
    <w:p>
      <w:pPr>
        <w:pStyle w:val="7"/>
        <w:spacing w:before="0" w:beforeAutospacing="0" w:after="0" w:afterAutospacing="0" w:line="360" w:lineRule="auto"/>
        <w:ind w:firstLine="420"/>
        <w:rPr>
          <w:sz w:val="21"/>
          <w:szCs w:val="21"/>
        </w:rPr>
      </w:pPr>
      <w:r>
        <w:rPr>
          <w:rFonts w:hint="eastAsia"/>
          <w:sz w:val="21"/>
          <w:szCs w:val="21"/>
        </w:rPr>
        <w:t xml:space="preserve">（2）了解所投资基金产品，了解自身风险承受能力，自主判断基金的投资价值，自主做出投资决策，自行承担投资风险；  </w:t>
      </w:r>
    </w:p>
    <w:p>
      <w:pPr>
        <w:pStyle w:val="7"/>
        <w:spacing w:before="0" w:beforeAutospacing="0" w:after="0" w:afterAutospacing="0" w:line="360" w:lineRule="auto"/>
        <w:ind w:firstLine="420"/>
        <w:rPr>
          <w:sz w:val="21"/>
          <w:szCs w:val="21"/>
        </w:rPr>
      </w:pPr>
      <w:r>
        <w:rPr>
          <w:rFonts w:hint="eastAsia"/>
          <w:sz w:val="21"/>
          <w:szCs w:val="21"/>
        </w:rPr>
        <w:t xml:space="preserve">（3）关注基金信息披露，及时行使权利和履行义务；  </w:t>
      </w:r>
    </w:p>
    <w:p>
      <w:pPr>
        <w:pStyle w:val="7"/>
        <w:spacing w:before="0" w:beforeAutospacing="0" w:after="0" w:afterAutospacing="0" w:line="360" w:lineRule="auto"/>
        <w:ind w:firstLine="420"/>
        <w:rPr>
          <w:sz w:val="21"/>
          <w:szCs w:val="21"/>
        </w:rPr>
      </w:pPr>
      <w:r>
        <w:rPr>
          <w:rFonts w:hint="eastAsia"/>
          <w:sz w:val="21"/>
          <w:szCs w:val="21"/>
        </w:rPr>
        <w:t xml:space="preserve">（4）缴纳基金认购、申购款项及法律法规和《基金合同》所规定的费用；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（5）在其持有的基金份额范围内，承担基金亏损或者《基金合同》终止的有限责任；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（6）不从事任何有损基金及其他《基金合同》当事人合法权益的活动；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（7）执行生效的基金份额持有人大会的决议；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（8）返还在基金交易过程中因任何原因获得的不当得利；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二、基金份额持有人大会召集、议事及表决的程序和规则</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基金份额持有人大会由基金份额持有人组成，基金份额持有人的合法授权代表有权代表基金份额持有人出席会议并表决。基金份额持有人持有的同一类别每一基金份额拥有平等的投票权。  </w:t>
      </w:r>
    </w:p>
    <w:p>
      <w:pPr>
        <w:pStyle w:val="7"/>
        <w:spacing w:before="0" w:beforeAutospacing="0" w:after="0" w:afterAutospacing="0" w:line="360" w:lineRule="auto"/>
        <w:ind w:firstLine="420"/>
        <w:rPr>
          <w:sz w:val="21"/>
          <w:szCs w:val="21"/>
        </w:rPr>
      </w:pPr>
      <w:r>
        <w:rPr>
          <w:rFonts w:hint="eastAsia"/>
          <w:sz w:val="21"/>
          <w:szCs w:val="21"/>
        </w:rPr>
        <w:t xml:space="preserve">本基金份额持有人大会不设日常机构。  </w:t>
      </w:r>
    </w:p>
    <w:p>
      <w:pPr>
        <w:pStyle w:val="7"/>
        <w:spacing w:before="0" w:beforeAutospacing="0" w:after="0" w:afterAutospacing="0" w:line="360" w:lineRule="auto"/>
        <w:ind w:firstLine="420"/>
        <w:rPr>
          <w:sz w:val="21"/>
          <w:szCs w:val="21"/>
        </w:rPr>
      </w:pPr>
      <w:r>
        <w:rPr>
          <w:rFonts w:hint="eastAsia"/>
          <w:sz w:val="21"/>
          <w:szCs w:val="21"/>
        </w:rPr>
        <w:t xml:space="preserve">（一）召开事由  </w:t>
      </w:r>
    </w:p>
    <w:p>
      <w:pPr>
        <w:pStyle w:val="7"/>
        <w:spacing w:before="0" w:beforeAutospacing="0" w:after="0" w:afterAutospacing="0" w:line="360" w:lineRule="auto"/>
        <w:ind w:firstLine="420"/>
        <w:rPr>
          <w:sz w:val="21"/>
          <w:szCs w:val="21"/>
        </w:rPr>
      </w:pPr>
      <w:r>
        <w:rPr>
          <w:rFonts w:hint="eastAsia"/>
          <w:sz w:val="21"/>
          <w:szCs w:val="21"/>
        </w:rPr>
        <w:t xml:space="preserve">1、当出现或需要决定下列事由之一的，应当召开基金份额持有人大会：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（2）更换基金管理人；  </w:t>
      </w:r>
    </w:p>
    <w:p>
      <w:pPr>
        <w:pStyle w:val="7"/>
        <w:spacing w:before="0" w:beforeAutospacing="0" w:after="0" w:afterAutospacing="0" w:line="360" w:lineRule="auto"/>
        <w:ind w:firstLine="420"/>
        <w:rPr>
          <w:sz w:val="21"/>
          <w:szCs w:val="21"/>
        </w:rPr>
      </w:pPr>
      <w:r>
        <w:rPr>
          <w:rFonts w:hint="eastAsia"/>
          <w:sz w:val="21"/>
          <w:szCs w:val="21"/>
        </w:rPr>
        <w:t xml:space="preserve">（3）更换基金托管人；  </w:t>
      </w:r>
    </w:p>
    <w:p>
      <w:pPr>
        <w:pStyle w:val="7"/>
        <w:spacing w:before="0" w:beforeAutospacing="0" w:after="0" w:afterAutospacing="0" w:line="360" w:lineRule="auto"/>
        <w:ind w:firstLine="420"/>
        <w:rPr>
          <w:sz w:val="21"/>
          <w:szCs w:val="21"/>
        </w:rPr>
      </w:pPr>
      <w:r>
        <w:rPr>
          <w:rFonts w:hint="eastAsia"/>
          <w:sz w:val="21"/>
          <w:szCs w:val="21"/>
        </w:rPr>
        <w:t xml:space="preserve">（4）转换基金运作方式；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（5）提高基金管理人、基金托管人的报酬标准或提高销售服务费率，但根据法律法规的要求提高该等报酬标准的除外；  </w:t>
      </w:r>
    </w:p>
    <w:p>
      <w:pPr>
        <w:pStyle w:val="7"/>
        <w:spacing w:before="0" w:beforeAutospacing="0" w:after="0" w:afterAutospacing="0" w:line="360" w:lineRule="auto"/>
        <w:ind w:firstLine="420"/>
        <w:rPr>
          <w:sz w:val="21"/>
          <w:szCs w:val="21"/>
        </w:rPr>
      </w:pPr>
      <w:r>
        <w:rPr>
          <w:rFonts w:hint="eastAsia"/>
          <w:sz w:val="21"/>
          <w:szCs w:val="21"/>
        </w:rPr>
        <w:t xml:space="preserve">（6）变更基金类别；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（8）变更基金投资目标、范围或策略；  </w:t>
      </w:r>
    </w:p>
    <w:p>
      <w:pPr>
        <w:pStyle w:val="7"/>
        <w:spacing w:before="0" w:beforeAutospacing="0" w:after="0" w:afterAutospacing="0" w:line="360" w:lineRule="auto"/>
        <w:ind w:firstLine="420"/>
        <w:rPr>
          <w:sz w:val="21"/>
          <w:szCs w:val="21"/>
        </w:rPr>
      </w:pPr>
      <w:r>
        <w:rPr>
          <w:rFonts w:hint="eastAsia"/>
          <w:sz w:val="21"/>
          <w:szCs w:val="21"/>
        </w:rPr>
        <w:t xml:space="preserve">（9）变更基金份额持有人大会程序；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（10）基金管理人或基金托管人要求召开基金份额持有人大会；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（12）对基金合同当事人权利和义务产生重大影响的其他事项；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（13）法律法规、《基金合同》或中国证监会规定的其他应当召开基金份额持有人大会的事项。  </w:t>
      </w:r>
    </w:p>
    <w:p>
      <w:pPr>
        <w:pStyle w:val="7"/>
        <w:spacing w:before="0" w:beforeAutospacing="0" w:after="0" w:afterAutospacing="0" w:line="360" w:lineRule="auto"/>
        <w:ind w:firstLine="420"/>
        <w:rPr>
          <w:sz w:val="21"/>
          <w:szCs w:val="21"/>
        </w:rPr>
      </w:pPr>
      <w:r>
        <w:rPr>
          <w:rFonts w:hint="eastAsia"/>
          <w:sz w:val="21"/>
          <w:szCs w:val="21"/>
        </w:rPr>
        <w:t xml:space="preserve">2、以下情况可由基金管理人和基金托管人协商后修改，不需召开基金份额持有人大会：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（1）调低基金管理费、基金托管费、销售服务费和其他应由基金承担的费用；  </w:t>
      </w:r>
    </w:p>
    <w:p>
      <w:pPr>
        <w:pStyle w:val="7"/>
        <w:spacing w:before="0" w:beforeAutospacing="0" w:after="0" w:afterAutospacing="0" w:line="360" w:lineRule="auto"/>
        <w:ind w:firstLine="420"/>
        <w:rPr>
          <w:sz w:val="21"/>
          <w:szCs w:val="21"/>
        </w:rPr>
      </w:pPr>
      <w:r>
        <w:rPr>
          <w:rFonts w:hint="eastAsia"/>
          <w:sz w:val="21"/>
          <w:szCs w:val="21"/>
        </w:rPr>
        <w:t xml:space="preserve">（2）法律法规要求增加的基金费用的收取；  </w:t>
      </w:r>
    </w:p>
    <w:p>
      <w:pPr>
        <w:pStyle w:val="7"/>
        <w:spacing w:before="0" w:beforeAutospacing="0" w:after="0" w:afterAutospacing="0" w:line="360" w:lineRule="auto"/>
        <w:ind w:firstLine="420"/>
        <w:rPr>
          <w:sz w:val="21"/>
          <w:szCs w:val="21"/>
        </w:rPr>
      </w:pPr>
      <w:r>
        <w:rPr>
          <w:rFonts w:hint="eastAsia"/>
          <w:sz w:val="21"/>
          <w:szCs w:val="21"/>
        </w:rPr>
        <w:t xml:space="preserve">（3）在法律法规和《基金合同》规定的范围内且对现有基金份额持有人利益无实质性不利影响的前提下调整本基金的申购费率、调低赎回费率或变更收费方式；  </w:t>
      </w:r>
    </w:p>
    <w:p>
      <w:pPr>
        <w:pStyle w:val="7"/>
        <w:spacing w:before="0" w:beforeAutospacing="0" w:after="0" w:afterAutospacing="0" w:line="360" w:lineRule="auto"/>
        <w:ind w:firstLine="420"/>
        <w:rPr>
          <w:sz w:val="21"/>
          <w:szCs w:val="21"/>
        </w:rPr>
      </w:pPr>
      <w:r>
        <w:rPr>
          <w:rFonts w:hint="eastAsia"/>
          <w:sz w:val="21"/>
          <w:szCs w:val="21"/>
        </w:rPr>
        <w:t xml:space="preserve">（4）因相应的法律法规发生变动而应当对《基金合同》进行修改；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（5）对《基金合同》的修改对基金份额持有人利益无实质性不利影响或修改不涉及《基金合同》当事人权利义务关系发生重大变化；  </w:t>
      </w:r>
    </w:p>
    <w:p>
      <w:pPr>
        <w:pStyle w:val="7"/>
        <w:spacing w:before="0" w:beforeAutospacing="0" w:after="0" w:afterAutospacing="0" w:line="360" w:lineRule="auto"/>
        <w:ind w:firstLine="420"/>
        <w:rPr>
          <w:sz w:val="21"/>
          <w:szCs w:val="21"/>
        </w:rPr>
      </w:pPr>
      <w:r>
        <w:rPr>
          <w:rFonts w:hint="eastAsia"/>
          <w:sz w:val="21"/>
          <w:szCs w:val="21"/>
        </w:rPr>
        <w:t xml:space="preserve">（6）按照法律法规和《基金合同》规定不需召开基金份额持有人大会的以外的其他情形。  </w:t>
      </w:r>
    </w:p>
    <w:p>
      <w:pPr>
        <w:pStyle w:val="7"/>
        <w:spacing w:before="0" w:beforeAutospacing="0" w:after="0" w:afterAutospacing="0" w:line="360" w:lineRule="auto"/>
        <w:ind w:firstLine="420"/>
        <w:rPr>
          <w:sz w:val="21"/>
          <w:szCs w:val="21"/>
        </w:rPr>
      </w:pPr>
      <w:r>
        <w:rPr>
          <w:rFonts w:hint="eastAsia"/>
          <w:sz w:val="21"/>
          <w:szCs w:val="21"/>
        </w:rPr>
        <w:t xml:space="preserve">（二）会议召集人及召集方式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pPr>
        <w:pStyle w:val="7"/>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 xml:space="preserve">6、基金份额持有人会议的召集人负责选择确定开会时间、地点、方式和权益登记日。  </w:t>
      </w:r>
    </w:p>
    <w:p>
      <w:pPr>
        <w:pStyle w:val="7"/>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1、召开基金份额持有人大会，召集人应于会议召开前30日，在指定媒介公告。基金份额持有人大会通知应至少载明以下内容：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（1）会议召开的时间、地点和会议形式；  </w:t>
      </w:r>
    </w:p>
    <w:p>
      <w:pPr>
        <w:pStyle w:val="7"/>
        <w:spacing w:before="0" w:beforeAutospacing="0" w:after="0" w:afterAutospacing="0" w:line="360" w:lineRule="auto"/>
        <w:ind w:firstLine="420"/>
        <w:rPr>
          <w:sz w:val="21"/>
          <w:szCs w:val="21"/>
        </w:rPr>
      </w:pPr>
      <w:r>
        <w:rPr>
          <w:rFonts w:hint="eastAsia"/>
          <w:sz w:val="21"/>
          <w:szCs w:val="21"/>
        </w:rPr>
        <w:t xml:space="preserve">（2）会议拟审议的事项、议事程序和表决方式；  </w:t>
      </w:r>
    </w:p>
    <w:p>
      <w:pPr>
        <w:pStyle w:val="7"/>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pPr>
        <w:pStyle w:val="7"/>
        <w:spacing w:before="0" w:beforeAutospacing="0" w:after="0" w:afterAutospacing="0" w:line="360" w:lineRule="auto"/>
        <w:ind w:firstLine="420"/>
        <w:rPr>
          <w:sz w:val="21"/>
          <w:szCs w:val="21"/>
        </w:rPr>
      </w:pPr>
      <w:r>
        <w:rPr>
          <w:rFonts w:hint="eastAsia"/>
          <w:sz w:val="21"/>
          <w:szCs w:val="21"/>
        </w:rPr>
        <w:t xml:space="preserve">（4）授权委托证明的内容要求（包括但不限于代理人身份，代理权限和代理有效期限等）、送达时间和地点；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pPr>
        <w:pStyle w:val="7"/>
        <w:spacing w:before="0" w:beforeAutospacing="0" w:after="0" w:afterAutospacing="0" w:line="360" w:lineRule="auto"/>
        <w:ind w:firstLine="420"/>
        <w:rPr>
          <w:sz w:val="21"/>
          <w:szCs w:val="21"/>
        </w:rPr>
      </w:pPr>
      <w:r>
        <w:rPr>
          <w:rFonts w:hint="eastAsia"/>
          <w:sz w:val="21"/>
          <w:szCs w:val="21"/>
        </w:rPr>
        <w:t xml:space="preserve">（6）出席会议者必须准备的文件和必须履行的手续；  </w:t>
      </w:r>
    </w:p>
    <w:p>
      <w:pPr>
        <w:pStyle w:val="7"/>
        <w:spacing w:before="0" w:beforeAutospacing="0" w:after="0" w:afterAutospacing="0" w:line="360" w:lineRule="auto"/>
        <w:ind w:firstLine="420"/>
        <w:rPr>
          <w:sz w:val="21"/>
          <w:szCs w:val="21"/>
        </w:rPr>
      </w:pPr>
      <w:r>
        <w:rPr>
          <w:rFonts w:hint="eastAsia"/>
          <w:sz w:val="21"/>
          <w:szCs w:val="21"/>
        </w:rPr>
        <w:t xml:space="preserve">（7）召集人需要通知的其他事项。  </w:t>
      </w:r>
    </w:p>
    <w:p>
      <w:pPr>
        <w:pStyle w:val="7"/>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pPr>
        <w:pStyle w:val="7"/>
        <w:spacing w:before="0" w:beforeAutospacing="0" w:after="0" w:afterAutospacing="0" w:line="360" w:lineRule="auto"/>
        <w:ind w:firstLine="420"/>
        <w:rPr>
          <w:sz w:val="21"/>
          <w:szCs w:val="21"/>
        </w:rPr>
      </w:pPr>
      <w:r>
        <w:rPr>
          <w:rFonts w:hint="eastAsia"/>
          <w:sz w:val="21"/>
          <w:szCs w:val="21"/>
        </w:rPr>
        <w:t xml:space="preserve">（四）基金份额持有人出席会议的方式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基金份额持有人大会可通过现场开会方式、通讯开会方式或法律法规、监管机构允许的其他方式召开，会议的召开方式由会议召集人确定。  </w:t>
      </w:r>
    </w:p>
    <w:p>
      <w:pPr>
        <w:pStyle w:val="7"/>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pPr>
        <w:pStyle w:val="7"/>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pPr>
        <w:pStyle w:val="7"/>
        <w:spacing w:before="0" w:beforeAutospacing="0" w:after="0" w:afterAutospacing="0" w:line="360" w:lineRule="auto"/>
        <w:ind w:firstLine="420"/>
        <w:rPr>
          <w:sz w:val="21"/>
          <w:szCs w:val="21"/>
        </w:rPr>
      </w:pPr>
      <w:r>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pPr>
        <w:pStyle w:val="7"/>
        <w:spacing w:before="0" w:beforeAutospacing="0" w:after="0" w:afterAutospacing="0" w:line="360" w:lineRule="auto"/>
        <w:ind w:firstLine="420"/>
        <w:rPr>
          <w:sz w:val="21"/>
          <w:szCs w:val="21"/>
        </w:rPr>
      </w:pPr>
      <w:r>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pPr>
        <w:pStyle w:val="7"/>
        <w:spacing w:before="0" w:beforeAutospacing="0" w:after="0" w:afterAutospacing="0" w:line="360" w:lineRule="auto"/>
        <w:ind w:firstLine="420"/>
        <w:rPr>
          <w:sz w:val="21"/>
          <w:szCs w:val="21"/>
        </w:rPr>
      </w:pPr>
      <w:r>
        <w:rPr>
          <w:rFonts w:hint="eastAsia"/>
          <w:sz w:val="21"/>
          <w:szCs w:val="21"/>
        </w:rPr>
        <w:t xml:space="preserve">（1）会议召集人按《基金合同》约定公布会议通知后，在2个工作日内连续公布相关提示性公告；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  </w:t>
      </w:r>
    </w:p>
    <w:p>
      <w:pPr>
        <w:pStyle w:val="7"/>
        <w:spacing w:before="0" w:beforeAutospacing="0" w:after="0" w:afterAutospacing="0" w:line="360" w:lineRule="auto"/>
        <w:ind w:firstLine="420"/>
        <w:rPr>
          <w:sz w:val="21"/>
          <w:szCs w:val="21"/>
        </w:rPr>
      </w:pPr>
      <w:r>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pPr>
        <w:pStyle w:val="7"/>
        <w:spacing w:before="0" w:beforeAutospacing="0" w:after="0" w:afterAutospacing="0" w:line="360" w:lineRule="auto"/>
        <w:ind w:firstLine="420"/>
        <w:rPr>
          <w:sz w:val="21"/>
          <w:szCs w:val="21"/>
        </w:rPr>
      </w:pPr>
      <w:r>
        <w:rPr>
          <w:rFonts w:hint="eastAsia"/>
          <w:sz w:val="21"/>
          <w:szCs w:val="21"/>
        </w:rPr>
        <w:t xml:space="preserve">3、在法律法规和监管机关允许的情况下，本基金的基金份额持有人亦可采用其他非书面方式授权其代理人出席基金份额持有人大会，具体方式由会议召集人确定并在会议通知中列明。  </w:t>
      </w:r>
    </w:p>
    <w:p>
      <w:pPr>
        <w:pStyle w:val="7"/>
        <w:spacing w:before="0" w:beforeAutospacing="0" w:after="0" w:afterAutospacing="0" w:line="360" w:lineRule="auto"/>
        <w:ind w:firstLine="420"/>
        <w:rPr>
          <w:sz w:val="21"/>
          <w:szCs w:val="21"/>
        </w:rPr>
      </w:pPr>
      <w:r>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pPr>
        <w:pStyle w:val="7"/>
        <w:spacing w:before="0" w:beforeAutospacing="0" w:after="0" w:afterAutospacing="0" w:line="360" w:lineRule="auto"/>
        <w:ind w:firstLine="420"/>
        <w:rPr>
          <w:sz w:val="21"/>
          <w:szCs w:val="21"/>
        </w:rPr>
      </w:pPr>
      <w:r>
        <w:rPr>
          <w:rFonts w:hint="eastAsia"/>
          <w:sz w:val="21"/>
          <w:szCs w:val="21"/>
        </w:rPr>
        <w:t xml:space="preserve">（五）议事内容与程序  </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基金份额持有人大会的召集人发出召集会议的通知后，对原有提案的修改应当在基金份额持有人大会召开前及时公告。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pPr>
        <w:pStyle w:val="7"/>
        <w:spacing w:before="0" w:beforeAutospacing="0" w:after="0" w:afterAutospacing="0" w:line="360" w:lineRule="auto"/>
        <w:ind w:firstLine="420"/>
        <w:rPr>
          <w:sz w:val="21"/>
          <w:szCs w:val="21"/>
        </w:rPr>
      </w:pPr>
      <w:r>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pPr>
        <w:pStyle w:val="7"/>
        <w:spacing w:before="0" w:beforeAutospacing="0" w:after="0" w:afterAutospacing="0" w:line="360" w:lineRule="auto"/>
        <w:ind w:firstLine="420"/>
        <w:rPr>
          <w:sz w:val="21"/>
          <w:szCs w:val="21"/>
        </w:rPr>
      </w:pPr>
      <w:r>
        <w:rPr>
          <w:rFonts w:hint="eastAsia"/>
          <w:sz w:val="21"/>
          <w:szCs w:val="21"/>
        </w:rPr>
        <w:t xml:space="preserve">（六）表决  </w:t>
      </w:r>
    </w:p>
    <w:p>
      <w:pPr>
        <w:pStyle w:val="7"/>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Fonts w:hint="eastAsia"/>
          <w:sz w:val="21"/>
          <w:szCs w:val="21"/>
        </w:rPr>
        <w:t xml:space="preserve">（七）计票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pPr>
        <w:pStyle w:val="7"/>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pPr>
        <w:pStyle w:val="7"/>
        <w:spacing w:before="0" w:beforeAutospacing="0" w:after="0" w:afterAutospacing="0" w:line="360" w:lineRule="auto"/>
        <w:ind w:firstLine="420"/>
        <w:rPr>
          <w:sz w:val="21"/>
          <w:szCs w:val="21"/>
        </w:rPr>
      </w:pPr>
      <w:r>
        <w:rPr>
          <w:rFonts w:hint="eastAsia"/>
          <w:sz w:val="21"/>
          <w:szCs w:val="21"/>
        </w:rPr>
        <w:t xml:space="preserve">（八）生效与公告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基金份额持有人大会的决议，召集人应当自通过之日起5日内报中国证监会备案。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基金份额持有人大会的决议自表决通过之日起生效。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pPr>
        <w:pStyle w:val="7"/>
        <w:spacing w:before="0" w:beforeAutospacing="0" w:after="0" w:afterAutospacing="0" w:line="360" w:lineRule="auto"/>
        <w:ind w:firstLine="420"/>
        <w:rPr>
          <w:sz w:val="21"/>
          <w:szCs w:val="21"/>
        </w:rPr>
      </w:pPr>
      <w:r>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pPr>
        <w:pStyle w:val="7"/>
        <w:spacing w:before="0" w:beforeAutospacing="0" w:after="0" w:afterAutospacing="0" w:line="360" w:lineRule="auto"/>
        <w:ind w:firstLine="420"/>
        <w:rPr>
          <w:sz w:val="21"/>
          <w:szCs w:val="21"/>
        </w:rPr>
      </w:pPr>
      <w:r>
        <w:rPr>
          <w:rStyle w:val="11"/>
          <w:rFonts w:hint="eastAsia"/>
          <w:sz w:val="21"/>
          <w:szCs w:val="21"/>
        </w:rPr>
        <w:t>三、基金合同的变更、终止与基金财产的清算</w:t>
      </w:r>
    </w:p>
    <w:p>
      <w:pPr>
        <w:pStyle w:val="7"/>
        <w:spacing w:before="0" w:beforeAutospacing="0" w:after="0" w:afterAutospacing="0" w:line="360" w:lineRule="auto"/>
        <w:ind w:firstLine="420"/>
        <w:rPr>
          <w:sz w:val="21"/>
          <w:szCs w:val="21"/>
        </w:rPr>
      </w:pPr>
      <w:r>
        <w:rPr>
          <w:rFonts w:hint="eastAsia"/>
          <w:sz w:val="21"/>
          <w:szCs w:val="21"/>
        </w:rPr>
        <w:t xml:space="preserve">（一）《基金合同》的变更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2、关于《基金合同》变更的基金份额持有人大会决议自生效后方可执行，并自决议生效后按规定在指定媒介公告。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（二）《基金合同》的终止事由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lang w:val="en-US" w:eastAsia="zh-CN"/>
        </w:rPr>
        <w:t>4</w:t>
      </w:r>
      <w:r>
        <w:rPr>
          <w:rFonts w:hint="eastAsia"/>
          <w:sz w:val="21"/>
          <w:szCs w:val="21"/>
        </w:rPr>
        <w:t xml:space="preserve">、相关法律法规和中国证监会规定的其他情况。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Fonts w:hint="eastAsia"/>
          <w:sz w:val="21"/>
          <w:szCs w:val="21"/>
        </w:rPr>
        <w:t xml:space="preserve">（四）清算费用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（五）基金财产清算剩余资产的分配  </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（六）基金财产清算的公告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Fonts w:hint="eastAsia"/>
          <w:sz w:val="21"/>
          <w:szCs w:val="21"/>
        </w:rPr>
        <w:t xml:space="preserve">（七）基金财产清算账册及文件的保存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Fonts w:hint="eastAsia"/>
          <w:sz w:val="21"/>
          <w:szCs w:val="21"/>
        </w:rPr>
        <w:t xml:space="preserve">（八）基金合并  </w:t>
      </w:r>
    </w:p>
    <w:p>
      <w:pPr>
        <w:pStyle w:val="7"/>
        <w:spacing w:before="0" w:beforeAutospacing="0" w:after="0" w:afterAutospacing="0" w:line="360" w:lineRule="auto"/>
        <w:ind w:firstLine="420"/>
        <w:rPr>
          <w:sz w:val="21"/>
          <w:szCs w:val="21"/>
        </w:rPr>
      </w:pPr>
      <w:r>
        <w:rPr>
          <w:rFonts w:hint="eastAsia"/>
          <w:sz w:val="21"/>
          <w:szCs w:val="21"/>
        </w:rPr>
        <w:t xml:space="preserve">本基金与其他基金的合并应当按照法律法规规定的程序进行。  </w:t>
      </w:r>
    </w:p>
    <w:p>
      <w:pPr>
        <w:pStyle w:val="7"/>
        <w:spacing w:before="0" w:beforeAutospacing="0" w:after="0" w:afterAutospacing="0" w:line="360" w:lineRule="auto"/>
        <w:ind w:firstLine="420"/>
        <w:rPr>
          <w:sz w:val="21"/>
          <w:szCs w:val="21"/>
        </w:rPr>
      </w:pPr>
      <w:r>
        <w:rPr>
          <w:rStyle w:val="11"/>
          <w:rFonts w:hint="eastAsia"/>
          <w:sz w:val="21"/>
          <w:szCs w:val="21"/>
        </w:rPr>
        <w:t>四、争议解决方式</w:t>
      </w:r>
    </w:p>
    <w:p>
      <w:pPr>
        <w:pStyle w:val="7"/>
        <w:spacing w:before="0" w:beforeAutospacing="0" w:after="0" w:afterAutospacing="0" w:line="360" w:lineRule="auto"/>
        <w:ind w:firstLine="420"/>
        <w:rPr>
          <w:sz w:val="21"/>
          <w:szCs w:val="21"/>
        </w:rPr>
      </w:pPr>
      <w:r>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争议处理期间，基金合同当事人应恪守各自的职责，继续忠实、勤勉、尽责地履行基金合同规定的义务，维护基金份额持有人的合法权益。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《基金合同》受中国法律管辖。  </w:t>
      </w:r>
    </w:p>
    <w:p>
      <w:pPr>
        <w:pStyle w:val="7"/>
        <w:spacing w:before="0" w:beforeAutospacing="0" w:after="0" w:afterAutospacing="0" w:line="360" w:lineRule="auto"/>
        <w:ind w:firstLine="420"/>
        <w:rPr>
          <w:sz w:val="21"/>
          <w:szCs w:val="21"/>
        </w:rPr>
      </w:pPr>
      <w:r>
        <w:rPr>
          <w:rStyle w:val="11"/>
          <w:rFonts w:hint="eastAsia"/>
          <w:sz w:val="21"/>
          <w:szCs w:val="21"/>
        </w:rPr>
        <w:t>五、基金合同存放地和投资人取得基金合同的方式</w:t>
      </w:r>
    </w:p>
    <w:p>
      <w:pPr>
        <w:pStyle w:val="7"/>
        <w:spacing w:before="0" w:beforeAutospacing="0" w:after="0" w:afterAutospacing="0" w:line="360" w:lineRule="auto"/>
        <w:ind w:firstLine="420"/>
        <w:rPr>
          <w:sz w:val="21"/>
          <w:szCs w:val="21"/>
        </w:rPr>
      </w:pPr>
      <w:r>
        <w:rPr>
          <w:rFonts w:hint="eastAsia"/>
          <w:sz w:val="21"/>
          <w:szCs w:val="21"/>
        </w:rPr>
        <w:t xml:space="preserve">《基金合同》可印制成册，供投资者在基金管理人、基金托管人、销售机构的办公场所和营业场所查阅。  </w:t>
      </w:r>
    </w:p>
    <w:p>
      <w:pPr>
        <w:rPr>
          <w:rFonts w:ascii="宋体" w:hAnsi="宋体" w:eastAsia="宋体"/>
          <w:sz w:val="24"/>
          <w:szCs w:val="24"/>
        </w:rPr>
      </w:pPr>
      <w:bookmarkStart w:id="194" w:name="chapter_level1_21_71_section_1_end"/>
      <w:bookmarkEnd w:id="194"/>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5" w:name="_Toc113560430"/>
      <w:bookmarkStart w:id="196" w:name="chapter_level1_22_72"/>
      <w:r>
        <w:rPr>
          <w:rFonts w:hint="eastAsia" w:ascii="宋体" w:hAnsi="宋体" w:eastAsia="宋体"/>
          <w:sz w:val="30"/>
        </w:rPr>
        <w:t>第十九部分  基金托管协议的内容摘要</w:t>
      </w:r>
      <w:bookmarkEnd w:id="195"/>
      <w:bookmarkEnd w:id="196"/>
    </w:p>
    <w:p>
      <w:pPr>
        <w:pStyle w:val="7"/>
        <w:spacing w:before="0" w:beforeAutospacing="0" w:after="0" w:afterAutospacing="0" w:line="360" w:lineRule="auto"/>
        <w:ind w:firstLine="420"/>
        <w:rPr>
          <w:sz w:val="21"/>
          <w:szCs w:val="21"/>
        </w:rPr>
      </w:pPr>
      <w:bookmarkStart w:id="197" w:name="chapter_level1_22_72_section_1"/>
      <w:bookmarkEnd w:id="197"/>
      <w:r>
        <w:rPr>
          <w:rStyle w:val="11"/>
          <w:rFonts w:hint="eastAsia"/>
          <w:sz w:val="21"/>
          <w:szCs w:val="21"/>
        </w:rPr>
        <w:t>一、托管协议当事人</w:t>
      </w:r>
    </w:p>
    <w:p>
      <w:pPr>
        <w:pStyle w:val="7"/>
        <w:spacing w:before="0" w:beforeAutospacing="0" w:after="0" w:afterAutospacing="0" w:line="360" w:lineRule="auto"/>
        <w:ind w:firstLine="420"/>
        <w:rPr>
          <w:sz w:val="21"/>
          <w:szCs w:val="21"/>
        </w:rPr>
      </w:pPr>
      <w:r>
        <w:rPr>
          <w:rFonts w:hint="eastAsia"/>
          <w:sz w:val="21"/>
          <w:szCs w:val="21"/>
        </w:rPr>
        <w:t xml:space="preserve">（一）基金管理人  </w:t>
      </w:r>
    </w:p>
    <w:p>
      <w:pPr>
        <w:pStyle w:val="7"/>
        <w:spacing w:before="0" w:beforeAutospacing="0" w:after="0" w:afterAutospacing="0" w:line="360" w:lineRule="auto"/>
        <w:ind w:firstLine="420"/>
        <w:rPr>
          <w:sz w:val="21"/>
          <w:szCs w:val="21"/>
        </w:rPr>
      </w:pPr>
      <w:r>
        <w:rPr>
          <w:rFonts w:hint="eastAsia"/>
          <w:sz w:val="21"/>
          <w:szCs w:val="21"/>
        </w:rPr>
        <w:t>名称：</w:t>
      </w:r>
      <w:bookmarkStart w:id="198" w:name="field_49_managerorgfullname_7"/>
      <w:bookmarkEnd w:id="198"/>
      <w:r>
        <w:rPr>
          <w:rFonts w:hint="eastAsia"/>
          <w:sz w:val="21"/>
          <w:szCs w:val="21"/>
        </w:rPr>
        <w:t xml:space="preserve">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注册地址：深圳市福田区莲花街道福新社区益田路5999号基金大厦21层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 广东省深圳市福田区益田路5999号基金大厦21层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邮政编码：518040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成立日期：1998年7月13日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 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经营范围：基金募集；基金销售；资产管理；中国证监会许可的其他业务  </w:t>
      </w:r>
    </w:p>
    <w:p>
      <w:pPr>
        <w:pStyle w:val="7"/>
        <w:spacing w:before="0" w:beforeAutospacing="0" w:after="0" w:afterAutospacing="0" w:line="360" w:lineRule="auto"/>
        <w:ind w:firstLine="420"/>
        <w:rPr>
          <w:sz w:val="21"/>
          <w:szCs w:val="21"/>
        </w:rPr>
      </w:pPr>
      <w:r>
        <w:rPr>
          <w:rFonts w:hint="eastAsia"/>
          <w:sz w:val="21"/>
          <w:szCs w:val="21"/>
        </w:rPr>
        <w:t xml:space="preserve">（二）基金托管人  </w:t>
      </w:r>
    </w:p>
    <w:p>
      <w:pPr>
        <w:pStyle w:val="7"/>
        <w:spacing w:before="0" w:beforeAutospacing="0" w:after="0" w:afterAutospacing="0" w:line="360" w:lineRule="auto"/>
        <w:ind w:firstLine="420"/>
        <w:rPr>
          <w:sz w:val="21"/>
          <w:szCs w:val="21"/>
        </w:rPr>
      </w:pPr>
      <w:r>
        <w:rPr>
          <w:rFonts w:hint="eastAsia"/>
          <w:sz w:val="21"/>
          <w:szCs w:val="21"/>
        </w:rPr>
        <w:t>名称：</w:t>
      </w:r>
      <w:bookmarkStart w:id="199" w:name="field_49_trustorgfullname_2"/>
      <w:bookmarkEnd w:id="199"/>
      <w:r>
        <w:rPr>
          <w:rFonts w:hint="eastAsia"/>
          <w:sz w:val="21"/>
          <w:szCs w:val="21"/>
        </w:rPr>
        <w:t xml:space="preserve">中国建设银行股份有限公司（简称：中国建设银行）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住所：北京市西城区金融大街25号  </w:t>
      </w:r>
    </w:p>
    <w:p>
      <w:pPr>
        <w:pStyle w:val="7"/>
        <w:spacing w:before="0" w:beforeAutospacing="0" w:after="0" w:afterAutospacing="0" w:line="360" w:lineRule="auto"/>
        <w:ind w:firstLine="420"/>
        <w:rPr>
          <w:sz w:val="21"/>
          <w:szCs w:val="21"/>
        </w:rPr>
      </w:pPr>
      <w:r>
        <w:rPr>
          <w:rFonts w:hint="eastAsia"/>
          <w:sz w:val="21"/>
          <w:szCs w:val="21"/>
        </w:rPr>
        <w:t xml:space="preserve">办公地址：北京市西城区闹市口大街1号院1号楼  </w:t>
      </w:r>
    </w:p>
    <w:p>
      <w:pPr>
        <w:pStyle w:val="7"/>
        <w:spacing w:before="0" w:beforeAutospacing="0" w:after="0" w:afterAutospacing="0" w:line="360" w:lineRule="auto"/>
        <w:ind w:firstLine="420"/>
        <w:rPr>
          <w:sz w:val="21"/>
          <w:szCs w:val="21"/>
        </w:rPr>
      </w:pPr>
      <w:r>
        <w:rPr>
          <w:rFonts w:hint="eastAsia"/>
          <w:sz w:val="21"/>
          <w:szCs w:val="21"/>
        </w:rPr>
        <w:t xml:space="preserve">邮政编码：100033 </w:t>
      </w:r>
    </w:p>
    <w:p>
      <w:pPr>
        <w:pStyle w:val="7"/>
        <w:spacing w:before="0" w:beforeAutospacing="0" w:after="0" w:afterAutospacing="0" w:line="360" w:lineRule="auto"/>
        <w:ind w:firstLine="420"/>
        <w:rPr>
          <w:sz w:val="21"/>
          <w:szCs w:val="21"/>
        </w:rPr>
      </w:pPr>
      <w:r>
        <w:rPr>
          <w:rFonts w:hint="eastAsia"/>
          <w:sz w:val="21"/>
          <w:szCs w:val="21"/>
        </w:rPr>
        <w:t xml:space="preserve">法定代表人：田国立  </w:t>
      </w:r>
    </w:p>
    <w:p>
      <w:pPr>
        <w:pStyle w:val="7"/>
        <w:spacing w:before="0" w:beforeAutospacing="0" w:after="0" w:afterAutospacing="0" w:line="360" w:lineRule="auto"/>
        <w:ind w:firstLine="420"/>
        <w:rPr>
          <w:sz w:val="21"/>
          <w:szCs w:val="21"/>
        </w:rPr>
      </w:pPr>
      <w:r>
        <w:rPr>
          <w:rFonts w:hint="eastAsia"/>
          <w:sz w:val="21"/>
          <w:szCs w:val="21"/>
        </w:rPr>
        <w:t xml:space="preserve">成立日期：2004年09月17日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基金托管业务批准文号：中国证监会证监基字[1998]12号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注册资本：人民币贰仟伍佰亿壹仟零玖拾柒万柒仟肆佰捌拾陆元整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  </w:t>
      </w:r>
    </w:p>
    <w:p>
      <w:pPr>
        <w:pStyle w:val="7"/>
        <w:spacing w:before="0" w:beforeAutospacing="0" w:after="0" w:afterAutospacing="0" w:line="360" w:lineRule="auto"/>
        <w:ind w:firstLine="420"/>
        <w:rPr>
          <w:sz w:val="21"/>
          <w:szCs w:val="21"/>
        </w:rPr>
      </w:pPr>
      <w:r>
        <w:rPr>
          <w:rStyle w:val="11"/>
          <w:rFonts w:hint="eastAsia"/>
          <w:sz w:val="21"/>
          <w:szCs w:val="21"/>
        </w:rPr>
        <w:t>二、基金托管人对基金管理人的业务监督和核查</w:t>
      </w:r>
    </w:p>
    <w:p>
      <w:pPr>
        <w:pStyle w:val="7"/>
        <w:spacing w:before="0" w:beforeAutospacing="0" w:after="0" w:afterAutospacing="0" w:line="360" w:lineRule="auto"/>
        <w:ind w:firstLine="420"/>
        <w:rPr>
          <w:sz w:val="21"/>
          <w:szCs w:val="21"/>
        </w:rPr>
      </w:pPr>
      <w:r>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  </w:t>
      </w:r>
    </w:p>
    <w:p>
      <w:pPr>
        <w:pStyle w:val="7"/>
        <w:spacing w:before="0" w:beforeAutospacing="0" w:after="0" w:afterAutospacing="0" w:line="360" w:lineRule="auto"/>
        <w:ind w:firstLine="420"/>
        <w:rPr>
          <w:sz w:val="21"/>
          <w:szCs w:val="21"/>
        </w:rPr>
      </w:pPr>
      <w:r>
        <w:rPr>
          <w:rFonts w:hint="eastAsia"/>
          <w:sz w:val="21"/>
          <w:szCs w:val="21"/>
        </w:rPr>
        <w:t xml:space="preserve">本基金的投资对象是具有良好流动性的金融工具，包括国内依法发行上市的股票(包括中小板、创业板及其他经中国证监会核准上市的股票、存托凭证)、权证、股指期货等权益类金融工具，以及债券、资产支持证券等固定收益类金融工具及法律法规或中国证监会允许基金投资的其他金融工具(但须符合中国证监会的相关规定)。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本基金可参与融资业务。基金参与融资业务后，在任何交易日日终，基金持有的融资买入股票与其他有价证券市值之和，不得超过基金资产净值的95%。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股票资产（含存托凭证）占基金资产的80%-95%，其中投资于本基金所界定的军工主题证券的比例不低于非现金产的80%；中小企业私募债占基金资产净值的比例不高于20%；每个交易日日终在扣除股指期货保证金以后，本基金保留的现金或者到期日在一年以内的政府债券不低于基金资产净值的5%，其中，现金不包括结算备付金、存出保证金、应收申购款等；权证投资占基金资产净值的0-3%。股指期货的投资比例依照法律法规或监管机构的规定执行。  </w:t>
      </w:r>
    </w:p>
    <w:p>
      <w:pPr>
        <w:pStyle w:val="7"/>
        <w:spacing w:before="0" w:beforeAutospacing="0" w:after="0" w:afterAutospacing="0" w:line="360" w:lineRule="auto"/>
        <w:ind w:firstLine="420"/>
        <w:rPr>
          <w:sz w:val="21"/>
          <w:szCs w:val="21"/>
        </w:rPr>
      </w:pPr>
      <w:r>
        <w:rPr>
          <w:rFonts w:hint="eastAsia"/>
          <w:sz w:val="21"/>
          <w:szCs w:val="21"/>
        </w:rPr>
        <w:t xml:space="preserve">如果法律法规或中国证监会变更投资品种的投资比例限制，基金管理人在履行适当程序后，可以调整上述投资品种的投资比例。  </w:t>
      </w:r>
    </w:p>
    <w:p>
      <w:pPr>
        <w:pStyle w:val="7"/>
        <w:spacing w:before="0" w:beforeAutospacing="0" w:after="0" w:afterAutospacing="0" w:line="360" w:lineRule="auto"/>
        <w:ind w:firstLine="420"/>
        <w:rPr>
          <w:sz w:val="21"/>
          <w:szCs w:val="21"/>
        </w:rPr>
      </w:pPr>
      <w:r>
        <w:rPr>
          <w:rFonts w:hint="eastAsia"/>
          <w:sz w:val="21"/>
          <w:szCs w:val="21"/>
        </w:rPr>
        <w:t xml:space="preserve">（二）基金托管人根据有关法律法规的规定及《基金合同》的约定，对基金投资、融资比例进行监督。基金托管人按下述比例和调整期限进行监督：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（1）本基金股票（含存托凭证）投资比例为基金资产的80%-95%，投资于军工主题相关的上市公司发行的证券占非现金基金资产的比例不低于80%；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（4）本基金管理人管理的且由本基金托管人托管的全部基金持有一家公司发行的证券（含存托凭证），不超过该证券的10％；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（6）本基金管理人管理的且由本基金托管人托管的全部基金持有的同一权证，不得超过该权证的10％；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（11）本基金管理人管理的且由本基金托管人托管的全部基金投资于同一原始权益人的各类资产支持证券，不得超过其各类资产支持证券合计规模的10％；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（13）基金财产参与股票发行申购，本基金所申报的金额不超过本基金的总资产，本基金所申报的股票数量不超过拟发行股票公司本次发行股票的总量；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（14）本基金进入全国银行间同业市场进行债券回购的资金余额不得超过基金资产净值的40%；本基金在全国银行间同业市场中的债券回购最长期限为1 年，债券回购到期后不得展期；  </w:t>
      </w:r>
    </w:p>
    <w:p>
      <w:pPr>
        <w:pStyle w:val="7"/>
        <w:spacing w:before="0" w:beforeAutospacing="0" w:after="0" w:afterAutospacing="0" w:line="360" w:lineRule="auto"/>
        <w:ind w:firstLine="420"/>
        <w:rPr>
          <w:sz w:val="21"/>
          <w:szCs w:val="21"/>
        </w:rPr>
      </w:pPr>
      <w:r>
        <w:rPr>
          <w:rFonts w:hint="eastAsia"/>
          <w:sz w:val="21"/>
          <w:szCs w:val="21"/>
        </w:rPr>
        <w:t xml:space="preserve">（15）本基金资产总值不得超过基金资产净值的140%；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（16）本基金持有的所有流通受限证券，其公允价值不得超过本基金资产净值的10%；本基金持有的同一流通受限证券，其公允价值不得超过本基金资产净值的10%；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（17）本基金参与股指期货投资的，应遵循下列限制：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3）本基金在任何交易日日终，持有的卖出期货合约价值不得超过基金持有的股票总市值的20%；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4）本基金所持有的股票市值和买入、卖出股指期货合约价值，合计（轧差计算）应当符合《基金合同》关于股票投资比例的有关规定；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5）本基金在任何交易日内交易（不包括平仓）的股指期货合约的成交金额不得超过上一交易日基金资产净值的20%；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本基金在开始进行股指期货投资之前，应与基金托管人、期货公司三方一同就股指期货开户、清算、估值、交收等事宜另行签署《期货投资托管操作三方备忘录》。  </w:t>
      </w:r>
    </w:p>
    <w:p>
      <w:pPr>
        <w:pStyle w:val="7"/>
        <w:spacing w:before="0" w:beforeAutospacing="0" w:after="0" w:afterAutospacing="0" w:line="360" w:lineRule="auto"/>
        <w:ind w:firstLine="420"/>
        <w:rPr>
          <w:sz w:val="21"/>
          <w:szCs w:val="21"/>
        </w:rPr>
      </w:pPr>
      <w:r>
        <w:rPr>
          <w:rFonts w:hint="eastAsia"/>
          <w:sz w:val="21"/>
          <w:szCs w:val="21"/>
        </w:rPr>
        <w:t xml:space="preserve">（18）本基金持有单只中小企业私募债券，其市值不得超过本基金资产净值的10%；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（19）在任何交易日日终，基金持有的融资买入股票与其他有价证券市值之和，不得超过基金资产净值的95%；  </w:t>
      </w:r>
    </w:p>
    <w:p>
      <w:pPr>
        <w:pStyle w:val="7"/>
        <w:spacing w:before="0" w:beforeAutospacing="0" w:after="0" w:afterAutospacing="0" w:line="360" w:lineRule="auto"/>
        <w:ind w:firstLine="420"/>
        <w:rPr>
          <w:sz w:val="21"/>
          <w:szCs w:val="21"/>
        </w:rPr>
      </w:pPr>
      <w:r>
        <w:rPr>
          <w:rFonts w:hint="eastAsia"/>
          <w:sz w:val="21"/>
          <w:szCs w:val="21"/>
        </w:rPr>
        <w:t xml:space="preserve">（20）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（21）本基金主动投资于流动性受限资产的市值合计不得超过本基金资产净值的15%；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（22）本基金与私募类证券资管产品及中国证监会认定的其他主体为交易对手开展逆回购交易的，可接受质押品的资质要求应当与基金合同约定的投资范围保持一致；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（23）法律法规及中国证监会规定的和《基金合同》约定的其他投资限制。  </w:t>
      </w:r>
    </w:p>
    <w:p>
      <w:pPr>
        <w:pStyle w:val="7"/>
        <w:spacing w:before="0" w:beforeAutospacing="0" w:after="0" w:afterAutospacing="0" w:line="360" w:lineRule="auto"/>
        <w:ind w:firstLine="420"/>
        <w:rPr>
          <w:sz w:val="21"/>
          <w:szCs w:val="21"/>
        </w:rPr>
      </w:pPr>
      <w:r>
        <w:rPr>
          <w:rFonts w:hint="eastAsia"/>
          <w:sz w:val="21"/>
          <w:szCs w:val="21"/>
        </w:rPr>
        <w:t xml:space="preserve">除上述第（2）、（12）、（21）、（22）条外，因证券、期货市场波动、上市公司合并、基金规模变动等基金管理人之外的因素致使基金投资比例不符合上述规定投资比例的，基金管理人应当在10个交易日内进行调整，但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法律法规或监管部门取消或变更上述限制，如适用于本基金，基金管理人在履行适当程序后，则本基金投资不再受相关限制，或以变更后的规定为准。  </w:t>
      </w:r>
    </w:p>
    <w:p>
      <w:pPr>
        <w:pStyle w:val="7"/>
        <w:spacing w:before="0" w:beforeAutospacing="0" w:after="0" w:afterAutospacing="0" w:line="360" w:lineRule="auto"/>
        <w:ind w:firstLine="420"/>
        <w:rPr>
          <w:sz w:val="21"/>
          <w:szCs w:val="21"/>
        </w:rPr>
      </w:pPr>
      <w:r>
        <w:rPr>
          <w:rFonts w:hint="eastAsia"/>
          <w:sz w:val="21"/>
          <w:szCs w:val="21"/>
        </w:rPr>
        <w:t xml:space="preserve">（三）基金托管人根据有关法律法规的规定及《基金合同》的约定，对本托管协议第十五条第 (九)款基金投资禁止行为通过事后监督方式进行监督。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  </w:t>
      </w:r>
    </w:p>
    <w:p>
      <w:pPr>
        <w:pStyle w:val="7"/>
        <w:spacing w:before="0" w:beforeAutospacing="0" w:after="0" w:afterAutospacing="0" w:line="360" w:lineRule="auto"/>
        <w:ind w:firstLine="420"/>
        <w:rPr>
          <w:sz w:val="21"/>
          <w:szCs w:val="21"/>
        </w:rPr>
      </w:pPr>
      <w:r>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pPr>
        <w:pStyle w:val="7"/>
        <w:spacing w:before="0" w:beforeAutospacing="0" w:after="0" w:afterAutospacing="0" w:line="360" w:lineRule="auto"/>
        <w:ind w:firstLine="420"/>
        <w:rPr>
          <w:sz w:val="21"/>
          <w:szCs w:val="21"/>
        </w:rPr>
      </w:pPr>
      <w:r>
        <w:rPr>
          <w:rFonts w:hint="eastAsia"/>
          <w:sz w:val="21"/>
          <w:szCs w:val="21"/>
        </w:rPr>
        <w:t xml:space="preserve">（五）基金托管人根据有关法律法规的规定及《基金合同》的约定，对基金管理人投资流通受限证券进行监督。  </w:t>
      </w:r>
    </w:p>
    <w:p>
      <w:pPr>
        <w:pStyle w:val="7"/>
        <w:spacing w:before="0" w:beforeAutospacing="0" w:after="0" w:afterAutospacing="0" w:line="360" w:lineRule="auto"/>
        <w:ind w:firstLine="420"/>
        <w:rPr>
          <w:sz w:val="21"/>
          <w:szCs w:val="21"/>
        </w:rPr>
      </w:pPr>
      <w:r>
        <w:rPr>
          <w:rFonts w:hint="eastAsia"/>
          <w:sz w:val="21"/>
          <w:szCs w:val="21"/>
        </w:rPr>
        <w:t xml:space="preserve">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pPr>
        <w:pStyle w:val="7"/>
        <w:spacing w:before="0" w:beforeAutospacing="0" w:after="0" w:afterAutospacing="0" w:line="360" w:lineRule="auto"/>
        <w:ind w:firstLine="420"/>
        <w:rPr>
          <w:sz w:val="21"/>
          <w:szCs w:val="21"/>
        </w:rPr>
      </w:pPr>
      <w:r>
        <w:rPr>
          <w:rFonts w:hint="eastAsia"/>
          <w:sz w:val="21"/>
          <w:szCs w:val="21"/>
        </w:rPr>
        <w:t xml:space="preserve">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  </w:t>
      </w:r>
    </w:p>
    <w:p>
      <w:pPr>
        <w:pStyle w:val="7"/>
        <w:spacing w:before="0" w:beforeAutospacing="0" w:after="0" w:afterAutospacing="0" w:line="360" w:lineRule="auto"/>
        <w:ind w:firstLine="420"/>
        <w:rPr>
          <w:sz w:val="21"/>
          <w:szCs w:val="21"/>
        </w:rPr>
      </w:pPr>
      <w:r>
        <w:rPr>
          <w:rFonts w:hint="eastAsia"/>
          <w:sz w:val="21"/>
          <w:szCs w:val="21"/>
        </w:rPr>
        <w:t xml:space="preserve">本基金投资的流通受限证券限于可由中国证券登记结算有限责任公司或中央国债登记结算有限责任公司负责登记和存管，并可在证券交易所或全国银行间债券市场交易的证券。  </w:t>
      </w:r>
    </w:p>
    <w:p>
      <w:pPr>
        <w:pStyle w:val="7"/>
        <w:spacing w:before="0" w:beforeAutospacing="0" w:after="0" w:afterAutospacing="0" w:line="360" w:lineRule="auto"/>
        <w:ind w:firstLine="420"/>
        <w:rPr>
          <w:sz w:val="21"/>
          <w:szCs w:val="21"/>
        </w:rPr>
      </w:pPr>
      <w:r>
        <w:rPr>
          <w:rFonts w:hint="eastAsia"/>
          <w:sz w:val="21"/>
          <w:szCs w:val="21"/>
        </w:rPr>
        <w:t xml:space="preserve">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  </w:t>
      </w:r>
    </w:p>
    <w:p>
      <w:pPr>
        <w:pStyle w:val="7"/>
        <w:spacing w:before="0" w:beforeAutospacing="0" w:after="0" w:afterAutospacing="0" w:line="360" w:lineRule="auto"/>
        <w:ind w:firstLine="420"/>
        <w:rPr>
          <w:sz w:val="21"/>
          <w:szCs w:val="21"/>
        </w:rPr>
      </w:pPr>
      <w:r>
        <w:rPr>
          <w:rFonts w:hint="eastAsia"/>
          <w:sz w:val="21"/>
          <w:szCs w:val="21"/>
        </w:rPr>
        <w:t xml:space="preserve">本基金投资受限证券，不得预付任何形式的保证金。  </w:t>
      </w:r>
    </w:p>
    <w:p>
      <w:pPr>
        <w:pStyle w:val="7"/>
        <w:spacing w:before="0" w:beforeAutospacing="0" w:after="0" w:afterAutospacing="0" w:line="360" w:lineRule="auto"/>
        <w:ind w:firstLine="420"/>
        <w:rPr>
          <w:sz w:val="21"/>
          <w:szCs w:val="21"/>
        </w:rPr>
      </w:pPr>
      <w:r>
        <w:rPr>
          <w:rFonts w:hint="eastAsia"/>
          <w:sz w:val="21"/>
          <w:szCs w:val="21"/>
        </w:rPr>
        <w:t xml:space="preserve">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  </w:t>
      </w:r>
    </w:p>
    <w:p>
      <w:pPr>
        <w:pStyle w:val="7"/>
        <w:spacing w:before="0" w:beforeAutospacing="0" w:after="0" w:afterAutospacing="0" w:line="360" w:lineRule="auto"/>
        <w:ind w:firstLine="420"/>
        <w:rPr>
          <w:sz w:val="21"/>
          <w:szCs w:val="21"/>
        </w:rPr>
      </w:pPr>
      <w:r>
        <w:rPr>
          <w:rFonts w:hint="eastAsia"/>
          <w:sz w:val="21"/>
          <w:szCs w:val="21"/>
        </w:rPr>
        <w:t xml:space="preserve">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  </w:t>
      </w:r>
    </w:p>
    <w:p>
      <w:pPr>
        <w:pStyle w:val="7"/>
        <w:spacing w:before="0" w:beforeAutospacing="0" w:after="0" w:afterAutospacing="0" w:line="360" w:lineRule="auto"/>
        <w:ind w:firstLine="420"/>
        <w:rPr>
          <w:sz w:val="21"/>
          <w:szCs w:val="21"/>
        </w:rPr>
      </w:pPr>
      <w:r>
        <w:rPr>
          <w:rFonts w:hint="eastAsia"/>
          <w:sz w:val="21"/>
          <w:szCs w:val="21"/>
        </w:rPr>
        <w:t xml:space="preserve">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  </w:t>
      </w:r>
    </w:p>
    <w:p>
      <w:pPr>
        <w:pStyle w:val="7"/>
        <w:spacing w:before="0" w:beforeAutospacing="0" w:after="0" w:afterAutospacing="0" w:line="360" w:lineRule="auto"/>
        <w:ind w:firstLine="420"/>
        <w:rPr>
          <w:sz w:val="21"/>
          <w:szCs w:val="21"/>
        </w:rPr>
      </w:pPr>
      <w:r>
        <w:rPr>
          <w:rFonts w:hint="eastAsia"/>
          <w:sz w:val="21"/>
          <w:szCs w:val="21"/>
        </w:rPr>
        <w:t xml:space="preserve">（1）中国证监会批准发行非公开发行股票的批准文件。  </w:t>
      </w:r>
    </w:p>
    <w:p>
      <w:pPr>
        <w:pStyle w:val="7"/>
        <w:spacing w:before="0" w:beforeAutospacing="0" w:after="0" w:afterAutospacing="0" w:line="360" w:lineRule="auto"/>
        <w:ind w:firstLine="420"/>
        <w:rPr>
          <w:sz w:val="21"/>
          <w:szCs w:val="21"/>
        </w:rPr>
      </w:pPr>
      <w:r>
        <w:rPr>
          <w:rFonts w:hint="eastAsia"/>
          <w:sz w:val="21"/>
          <w:szCs w:val="21"/>
        </w:rPr>
        <w:t xml:space="preserve">（2）非公开发行股票有关发行数量、发行价格、锁定期等发行资料。  </w:t>
      </w:r>
    </w:p>
    <w:p>
      <w:pPr>
        <w:pStyle w:val="7"/>
        <w:spacing w:before="0" w:beforeAutospacing="0" w:after="0" w:afterAutospacing="0" w:line="360" w:lineRule="auto"/>
        <w:ind w:firstLine="420"/>
        <w:rPr>
          <w:sz w:val="21"/>
          <w:szCs w:val="21"/>
        </w:rPr>
      </w:pPr>
      <w:r>
        <w:rPr>
          <w:rFonts w:hint="eastAsia"/>
          <w:sz w:val="21"/>
          <w:szCs w:val="21"/>
        </w:rPr>
        <w:t xml:space="preserve">（3）非公开发行股票发行人与中国证券登记结算有限责任公司或中央国债登记结算有限责任公司签订的证券登记及服务协议。  </w:t>
      </w:r>
    </w:p>
    <w:p>
      <w:pPr>
        <w:pStyle w:val="7"/>
        <w:spacing w:before="0" w:beforeAutospacing="0" w:after="0" w:afterAutospacing="0" w:line="360" w:lineRule="auto"/>
        <w:ind w:firstLine="420"/>
        <w:rPr>
          <w:sz w:val="21"/>
          <w:szCs w:val="21"/>
        </w:rPr>
      </w:pPr>
      <w:r>
        <w:rPr>
          <w:rFonts w:hint="eastAsia"/>
          <w:sz w:val="21"/>
          <w:szCs w:val="21"/>
        </w:rPr>
        <w:t xml:space="preserve">（4）基金拟认购的数量、价格、总成本、账面价值。  </w:t>
      </w:r>
    </w:p>
    <w:p>
      <w:pPr>
        <w:pStyle w:val="7"/>
        <w:spacing w:before="0" w:beforeAutospacing="0" w:after="0" w:afterAutospacing="0" w:line="360" w:lineRule="auto"/>
        <w:ind w:firstLine="420"/>
        <w:rPr>
          <w:sz w:val="21"/>
          <w:szCs w:val="21"/>
        </w:rPr>
      </w:pPr>
      <w:r>
        <w:rPr>
          <w:rFonts w:hint="eastAsia"/>
          <w:sz w:val="21"/>
          <w:szCs w:val="21"/>
        </w:rPr>
        <w:t xml:space="preserve">4.基金管理人应在本基金投资非公开发行股票后两个交易日内，在中国证监会指定媒介披露所投资非公开发行股票的名称、数量、总成本、账面价值，以及总成本和账面价值占基金资产净值的比例、锁定期等信息。  </w:t>
      </w:r>
    </w:p>
    <w:p>
      <w:pPr>
        <w:pStyle w:val="7"/>
        <w:spacing w:before="0" w:beforeAutospacing="0" w:after="0" w:afterAutospacing="0" w:line="360" w:lineRule="auto"/>
        <w:ind w:firstLine="420"/>
        <w:rPr>
          <w:sz w:val="21"/>
          <w:szCs w:val="21"/>
        </w:rPr>
      </w:pPr>
      <w:r>
        <w:rPr>
          <w:rFonts w:hint="eastAsia"/>
          <w:sz w:val="21"/>
          <w:szCs w:val="21"/>
        </w:rPr>
        <w:t xml:space="preserve">本基金有关投资流通受限证券比例如违反有关限制规定，在合理期限内未能进行及时调整，基金管理人应按规定编制临时报告书，予以公告。  </w:t>
      </w:r>
    </w:p>
    <w:p>
      <w:pPr>
        <w:pStyle w:val="7"/>
        <w:spacing w:before="0" w:beforeAutospacing="0" w:after="0" w:afterAutospacing="0" w:line="360" w:lineRule="auto"/>
        <w:ind w:firstLine="420"/>
        <w:rPr>
          <w:sz w:val="21"/>
          <w:szCs w:val="21"/>
        </w:rPr>
      </w:pPr>
      <w:r>
        <w:rPr>
          <w:rFonts w:hint="eastAsia"/>
          <w:sz w:val="21"/>
          <w:szCs w:val="21"/>
        </w:rPr>
        <w:t xml:space="preserve">5.基金托管人根据有关规定有权对基金管理人进行以下事项监督：  </w:t>
      </w:r>
    </w:p>
    <w:p>
      <w:pPr>
        <w:pStyle w:val="7"/>
        <w:spacing w:before="0" w:beforeAutospacing="0" w:after="0" w:afterAutospacing="0" w:line="360" w:lineRule="auto"/>
        <w:ind w:firstLine="420"/>
        <w:rPr>
          <w:sz w:val="21"/>
          <w:szCs w:val="21"/>
        </w:rPr>
      </w:pPr>
      <w:r>
        <w:rPr>
          <w:rFonts w:hint="eastAsia"/>
          <w:sz w:val="21"/>
          <w:szCs w:val="21"/>
        </w:rPr>
        <w:t xml:space="preserve">（1）本基金投资流通受限证券时的法律法规遵守情况。  </w:t>
      </w:r>
    </w:p>
    <w:p>
      <w:pPr>
        <w:pStyle w:val="7"/>
        <w:spacing w:before="0" w:beforeAutospacing="0" w:after="0" w:afterAutospacing="0" w:line="360" w:lineRule="auto"/>
        <w:ind w:firstLine="420"/>
        <w:rPr>
          <w:sz w:val="21"/>
          <w:szCs w:val="21"/>
        </w:rPr>
      </w:pPr>
      <w:r>
        <w:rPr>
          <w:rFonts w:hint="eastAsia"/>
          <w:sz w:val="21"/>
          <w:szCs w:val="21"/>
        </w:rPr>
        <w:t xml:space="preserve">（2）在基金投资流通受限证券管理工作方面有关制度、流动性风险处置预案的建立与完善情况。  </w:t>
      </w:r>
    </w:p>
    <w:p>
      <w:pPr>
        <w:pStyle w:val="7"/>
        <w:spacing w:before="0" w:beforeAutospacing="0" w:after="0" w:afterAutospacing="0" w:line="360" w:lineRule="auto"/>
        <w:ind w:firstLine="420"/>
        <w:rPr>
          <w:sz w:val="21"/>
          <w:szCs w:val="21"/>
        </w:rPr>
      </w:pPr>
      <w:r>
        <w:rPr>
          <w:rFonts w:hint="eastAsia"/>
          <w:sz w:val="21"/>
          <w:szCs w:val="21"/>
        </w:rPr>
        <w:t xml:space="preserve">（3）有关比例限制的执行情况。  </w:t>
      </w:r>
    </w:p>
    <w:p>
      <w:pPr>
        <w:pStyle w:val="7"/>
        <w:spacing w:before="0" w:beforeAutospacing="0" w:after="0" w:afterAutospacing="0" w:line="360" w:lineRule="auto"/>
        <w:ind w:firstLine="420"/>
        <w:rPr>
          <w:sz w:val="21"/>
          <w:szCs w:val="21"/>
        </w:rPr>
      </w:pPr>
      <w:r>
        <w:rPr>
          <w:rFonts w:hint="eastAsia"/>
          <w:sz w:val="21"/>
          <w:szCs w:val="21"/>
        </w:rPr>
        <w:t xml:space="preserve">（4）信息披露情况。  </w:t>
      </w:r>
    </w:p>
    <w:p>
      <w:pPr>
        <w:pStyle w:val="7"/>
        <w:spacing w:before="0" w:beforeAutospacing="0" w:after="0" w:afterAutospacing="0" w:line="360" w:lineRule="auto"/>
        <w:ind w:firstLine="420"/>
        <w:rPr>
          <w:sz w:val="21"/>
          <w:szCs w:val="21"/>
        </w:rPr>
      </w:pPr>
      <w:r>
        <w:rPr>
          <w:rFonts w:hint="eastAsia"/>
          <w:sz w:val="21"/>
          <w:szCs w:val="21"/>
        </w:rPr>
        <w:t xml:space="preserve">6.相关法律法规对基金投资流通受限证券有新规定的，从其规定。  </w:t>
      </w:r>
    </w:p>
    <w:p>
      <w:pPr>
        <w:pStyle w:val="7"/>
        <w:spacing w:before="0" w:beforeAutospacing="0" w:after="0" w:afterAutospacing="0" w:line="360" w:lineRule="auto"/>
        <w:ind w:firstLine="420"/>
        <w:rPr>
          <w:sz w:val="21"/>
          <w:szCs w:val="21"/>
        </w:rPr>
      </w:pPr>
      <w:r>
        <w:rPr>
          <w:rFonts w:hint="eastAsia"/>
          <w:sz w:val="21"/>
          <w:szCs w:val="21"/>
        </w:rPr>
        <w:t xml:space="preserve">（六）基金投资中小企业私募债券，基金管理人应根据审慎原则，制定严格的投资决策流程、风险控制制度和信用风险、流动性风险处置预案，并经董事会批准，以防范信用风险、流动性风险等各种风险。  </w:t>
      </w:r>
    </w:p>
    <w:p>
      <w:pPr>
        <w:pStyle w:val="7"/>
        <w:spacing w:before="0" w:beforeAutospacing="0" w:after="0" w:afterAutospacing="0" w:line="360" w:lineRule="auto"/>
        <w:ind w:firstLine="420"/>
        <w:rPr>
          <w:sz w:val="21"/>
          <w:szCs w:val="21"/>
        </w:rPr>
      </w:pPr>
      <w:r>
        <w:rPr>
          <w:rFonts w:hint="eastAsia"/>
          <w:sz w:val="21"/>
          <w:szCs w:val="21"/>
        </w:rPr>
        <w:t xml:space="preserve">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  </w:t>
      </w:r>
    </w:p>
    <w:p>
      <w:pPr>
        <w:pStyle w:val="7"/>
        <w:spacing w:before="0" w:beforeAutospacing="0" w:after="0" w:afterAutospacing="0" w:line="360" w:lineRule="auto"/>
        <w:ind w:firstLine="420"/>
        <w:rPr>
          <w:sz w:val="21"/>
          <w:szCs w:val="21"/>
        </w:rPr>
      </w:pPr>
      <w:r>
        <w:rPr>
          <w:rFonts w:hint="eastAsia"/>
          <w:sz w:val="21"/>
          <w:szCs w:val="21"/>
        </w:rPr>
        <w:t xml:space="preserve">（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 xml:space="preserve">（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pPr>
        <w:pStyle w:val="7"/>
        <w:spacing w:before="0" w:beforeAutospacing="0" w:after="0" w:afterAutospacing="0" w:line="360" w:lineRule="auto"/>
        <w:ind w:firstLine="420"/>
        <w:rPr>
          <w:sz w:val="21"/>
          <w:szCs w:val="21"/>
        </w:rPr>
      </w:pPr>
      <w:r>
        <w:rPr>
          <w:rFonts w:hint="eastAsia"/>
          <w:sz w:val="21"/>
          <w:szCs w:val="21"/>
        </w:rPr>
        <w:t xml:space="preserve">（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pPr>
        <w:pStyle w:val="7"/>
        <w:spacing w:before="0" w:beforeAutospacing="0" w:after="0" w:afterAutospacing="0" w:line="360" w:lineRule="auto"/>
        <w:ind w:firstLine="420"/>
        <w:rPr>
          <w:sz w:val="21"/>
          <w:szCs w:val="21"/>
        </w:rPr>
      </w:pPr>
      <w:r>
        <w:rPr>
          <w:rFonts w:hint="eastAsia"/>
          <w:sz w:val="21"/>
          <w:szCs w:val="21"/>
        </w:rPr>
        <w:t xml:space="preserve">（十）若基金托管人发现基金管理人依据交易程序已经生效的指令违反法律、行政法规和其他有关规定，或者违反《基金合同》约定的，应当立即通知基金管理人，由此造成的损失由基金管理人承担。  </w:t>
      </w:r>
    </w:p>
    <w:p>
      <w:pPr>
        <w:pStyle w:val="7"/>
        <w:spacing w:before="0" w:beforeAutospacing="0" w:after="0" w:afterAutospacing="0" w:line="360" w:lineRule="auto"/>
        <w:ind w:firstLine="420"/>
        <w:rPr>
          <w:sz w:val="21"/>
          <w:szCs w:val="21"/>
        </w:rPr>
      </w:pPr>
      <w:r>
        <w:rPr>
          <w:rFonts w:hint="eastAsia"/>
          <w:sz w:val="21"/>
          <w:szCs w:val="21"/>
        </w:rPr>
        <w:t xml:space="preserve">（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三、基金管理人对基金托管人的业务监督、核查</w:t>
      </w:r>
    </w:p>
    <w:p>
      <w:pPr>
        <w:pStyle w:val="7"/>
        <w:spacing w:before="0" w:beforeAutospacing="0" w:after="0" w:afterAutospacing="0" w:line="360" w:lineRule="auto"/>
        <w:ind w:firstLine="420"/>
        <w:rPr>
          <w:sz w:val="21"/>
          <w:szCs w:val="21"/>
        </w:rPr>
      </w:pPr>
      <w:r>
        <w:rPr>
          <w:rFonts w:hint="eastAsia"/>
          <w:sz w:val="21"/>
          <w:szCs w:val="21"/>
        </w:rPr>
        <w:t xml:space="preserve">（一）基金管理人对基金托管人履行托管职责情况进行核查，核查事项包括基金托管人安全保管基金财产、开设基金财产的资金账户、证券账户、复核基金管理人计算的基金资产净值和基金份额净值、根据基金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四、基金财产的保管</w:t>
      </w:r>
    </w:p>
    <w:p>
      <w:pPr>
        <w:pStyle w:val="7"/>
        <w:spacing w:before="0" w:beforeAutospacing="0" w:after="0" w:afterAutospacing="0" w:line="360" w:lineRule="auto"/>
        <w:ind w:firstLine="420"/>
        <w:rPr>
          <w:sz w:val="21"/>
          <w:szCs w:val="21"/>
        </w:rPr>
      </w:pPr>
      <w:r>
        <w:rPr>
          <w:rFonts w:hint="eastAsia"/>
          <w:sz w:val="21"/>
          <w:szCs w:val="21"/>
        </w:rPr>
        <w:t xml:space="preserve">（一）基金财产保管的原则  </w:t>
      </w:r>
    </w:p>
    <w:p>
      <w:pPr>
        <w:pStyle w:val="7"/>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2.基金托管人应安全保管基金财产。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3.基金托管人按照规定开设基金财产的资金账户、证券账户。  </w:t>
      </w:r>
    </w:p>
    <w:p>
      <w:pPr>
        <w:pStyle w:val="7"/>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登记结算机构扣收结算费和账户维护费等费用）。  </w:t>
      </w:r>
    </w:p>
    <w:p>
      <w:pPr>
        <w:pStyle w:val="7"/>
        <w:spacing w:before="0" w:beforeAutospacing="0" w:after="0" w:afterAutospacing="0" w:line="360" w:lineRule="auto"/>
        <w:ind w:firstLine="420"/>
        <w:rPr>
          <w:sz w:val="21"/>
          <w:szCs w:val="21"/>
        </w:rPr>
      </w:pPr>
      <w:r>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pPr>
        <w:pStyle w:val="7"/>
        <w:spacing w:before="0" w:beforeAutospacing="0" w:after="0" w:afterAutospacing="0" w:line="360" w:lineRule="auto"/>
        <w:ind w:firstLine="420"/>
        <w:rPr>
          <w:sz w:val="21"/>
          <w:szCs w:val="21"/>
        </w:rPr>
      </w:pPr>
      <w:r>
        <w:rPr>
          <w:rFonts w:hint="eastAsia"/>
          <w:sz w:val="21"/>
          <w:szCs w:val="21"/>
        </w:rPr>
        <w:t xml:space="preserve">7.除依据法律法规和《基金合同》的规定外，基金托管人不得委托第三人托管基金财产。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（二）基金募集期间及募集资金的验资  </w:t>
      </w:r>
    </w:p>
    <w:p>
      <w:pPr>
        <w:pStyle w:val="7"/>
        <w:spacing w:before="0" w:beforeAutospacing="0" w:after="0" w:afterAutospacing="0" w:line="360" w:lineRule="auto"/>
        <w:ind w:firstLine="420"/>
        <w:rPr>
          <w:sz w:val="21"/>
          <w:szCs w:val="21"/>
        </w:rPr>
      </w:pPr>
      <w:r>
        <w:rPr>
          <w:rFonts w:hint="eastAsia"/>
          <w:sz w:val="21"/>
          <w:szCs w:val="21"/>
        </w:rPr>
        <w:t xml:space="preserve">1.基金募集期间募集的资金应存于基金管理人在基金托管人的营业机构开立的“基金募集专户”。该账户由基金管理人开立并管理。  </w:t>
      </w:r>
    </w:p>
    <w:p>
      <w:pPr>
        <w:pStyle w:val="7"/>
        <w:spacing w:before="0" w:beforeAutospacing="0" w:after="0" w:afterAutospacing="0" w:line="360" w:lineRule="auto"/>
        <w:ind w:firstLine="420"/>
        <w:rPr>
          <w:sz w:val="21"/>
          <w:szCs w:val="21"/>
        </w:rPr>
      </w:pPr>
      <w:r>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pPr>
        <w:pStyle w:val="7"/>
        <w:spacing w:before="0" w:beforeAutospacing="0" w:after="0" w:afterAutospacing="0" w:line="360" w:lineRule="auto"/>
        <w:ind w:firstLine="420"/>
        <w:rPr>
          <w:sz w:val="21"/>
          <w:szCs w:val="21"/>
        </w:rPr>
      </w:pPr>
      <w:r>
        <w:rPr>
          <w:rFonts w:hint="eastAsia"/>
          <w:sz w:val="21"/>
          <w:szCs w:val="21"/>
        </w:rPr>
        <w:t xml:space="preserve">3.若基金募集期限届满，未能达到《基金合同》生效的条件，由基金管理人按规定办理退款等事宜。  </w:t>
      </w:r>
    </w:p>
    <w:p>
      <w:pPr>
        <w:pStyle w:val="7"/>
        <w:spacing w:before="0" w:beforeAutospacing="0" w:after="0" w:afterAutospacing="0" w:line="360" w:lineRule="auto"/>
        <w:ind w:firstLine="420"/>
        <w:rPr>
          <w:sz w:val="21"/>
          <w:szCs w:val="21"/>
        </w:rPr>
      </w:pPr>
      <w:r>
        <w:rPr>
          <w:rFonts w:hint="eastAsia"/>
          <w:sz w:val="21"/>
          <w:szCs w:val="21"/>
        </w:rPr>
        <w:t xml:space="preserve">（三）基金银行账户的开立和管理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1.基金托管人应以本基金的名义在其营业机构开立基金的银行账户，并根据基金管理人合法合规的指令办理资金收付。本基金的银行预留印鉴由基金托管人保管和使用。  </w:t>
      </w:r>
    </w:p>
    <w:p>
      <w:pPr>
        <w:pStyle w:val="7"/>
        <w:spacing w:before="0" w:beforeAutospacing="0" w:after="0" w:afterAutospacing="0" w:line="360" w:lineRule="auto"/>
        <w:ind w:firstLine="420"/>
        <w:rPr>
          <w:sz w:val="21"/>
          <w:szCs w:val="21"/>
        </w:rPr>
      </w:pPr>
      <w:r>
        <w:rPr>
          <w:rFonts w:hint="eastAsia"/>
          <w:sz w:val="21"/>
          <w:szCs w:val="21"/>
        </w:rPr>
        <w:t xml:space="preserve">2.基金银行账户的开立和使用，限于满足开展本基金业务的需要。基金托管人和基金管理人不得假借本基金的名义开立任何其他银行账户；亦不得使用基金的任何账户进行本基金业务以外的活动。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3.基金银行账户的开立和管理应符合银行业监督管理机构的有关规定。  </w:t>
      </w:r>
    </w:p>
    <w:p>
      <w:pPr>
        <w:pStyle w:val="7"/>
        <w:spacing w:before="0" w:beforeAutospacing="0" w:after="0" w:afterAutospacing="0" w:line="360" w:lineRule="auto"/>
        <w:ind w:firstLine="420"/>
        <w:rPr>
          <w:sz w:val="21"/>
          <w:szCs w:val="21"/>
        </w:rPr>
      </w:pPr>
      <w:r>
        <w:rPr>
          <w:rFonts w:hint="eastAsia"/>
          <w:sz w:val="21"/>
          <w:szCs w:val="21"/>
        </w:rPr>
        <w:t xml:space="preserve">4.在符合法律法规规定的条件下，基金托管人可以通过基金托管人专用账户办理基金资产的支付。  </w:t>
      </w:r>
    </w:p>
    <w:p>
      <w:pPr>
        <w:pStyle w:val="7"/>
        <w:spacing w:before="0" w:beforeAutospacing="0" w:after="0" w:afterAutospacing="0" w:line="360" w:lineRule="auto"/>
        <w:ind w:firstLine="420"/>
        <w:rPr>
          <w:sz w:val="21"/>
          <w:szCs w:val="21"/>
        </w:rPr>
      </w:pPr>
      <w:r>
        <w:rPr>
          <w:rFonts w:hint="eastAsia"/>
          <w:sz w:val="21"/>
          <w:szCs w:val="21"/>
        </w:rPr>
        <w:t xml:space="preserve">（四）基金证券账户和结算备付金账户的开立和管理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1.基金托管人在中国证券登记结算有限责任公司上海分公司、深圳分公司为基金开立基金托管人与基金联名的证券账户。  </w:t>
      </w:r>
    </w:p>
    <w:p>
      <w:pPr>
        <w:pStyle w:val="7"/>
        <w:spacing w:before="0" w:beforeAutospacing="0" w:after="0" w:afterAutospacing="0" w:line="360" w:lineRule="auto"/>
        <w:ind w:firstLine="420"/>
        <w:rPr>
          <w:sz w:val="21"/>
          <w:szCs w:val="21"/>
        </w:rPr>
      </w:pPr>
      <w:r>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3.基金证券账户的开立和证券账户卡的保管由基金托管人负责，账户资产的管理和运用由基金管理人负责。  </w:t>
      </w:r>
    </w:p>
    <w:p>
      <w:pPr>
        <w:pStyle w:val="7"/>
        <w:spacing w:before="0" w:beforeAutospacing="0" w:after="0" w:afterAutospacing="0" w:line="360" w:lineRule="auto"/>
        <w:ind w:firstLine="420"/>
        <w:rPr>
          <w:sz w:val="21"/>
          <w:szCs w:val="21"/>
        </w:rPr>
      </w:pPr>
      <w:r>
        <w:rPr>
          <w:rFonts w:hint="eastAsia"/>
          <w:sz w:val="21"/>
          <w:szCs w:val="21"/>
        </w:rPr>
        <w:t xml:space="preserve">证券账户开户费由本基金财产承担，于证券账户开立次月第七个工作日由基金托管人从本基金银行存款账户中直接扣收；若因基金银行存款余额不足导致证券账户开户费无法扣收，基金托管人顺延至次月第七个工作日进行扣收；证券账户开立后连续六个月内，因本基金银行存款余额持续不足导致证券账户开户费无法扣收的，基金管理人有义务先行支付基金托管人垫付的开户费用。  </w:t>
      </w:r>
    </w:p>
    <w:p>
      <w:pPr>
        <w:pStyle w:val="7"/>
        <w:spacing w:before="0" w:beforeAutospacing="0" w:after="0" w:afterAutospacing="0" w:line="360" w:lineRule="auto"/>
        <w:ind w:firstLine="420"/>
        <w:rPr>
          <w:sz w:val="21"/>
          <w:szCs w:val="21"/>
        </w:rPr>
      </w:pPr>
      <w:r>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备付金、结算保证金、交收资金等的收取按照中国证券登记结算有限责任公司的规定以及基金管理人与基金托管人签署的《托管银行证券资金结算协议》执行。  </w:t>
      </w:r>
    </w:p>
    <w:p>
      <w:pPr>
        <w:pStyle w:val="7"/>
        <w:spacing w:before="0" w:beforeAutospacing="0" w:after="0" w:afterAutospacing="0" w:line="360" w:lineRule="auto"/>
        <w:ind w:firstLine="420"/>
        <w:rPr>
          <w:sz w:val="21"/>
          <w:szCs w:val="21"/>
        </w:rPr>
      </w:pPr>
      <w:r>
        <w:rPr>
          <w:rFonts w:hint="eastAsia"/>
          <w:sz w:val="21"/>
          <w:szCs w:val="21"/>
        </w:rPr>
        <w:t xml:space="preserve">5.若中国证监会或其他监管机构在本托管协议订立日之后允许基金从事其他投资品种的投资业务，涉及相关账户的开立、使用的，若无相关规定，则基金托管人比照上述关于账户开立、使用的规定执行。  </w:t>
      </w:r>
    </w:p>
    <w:p>
      <w:pPr>
        <w:pStyle w:val="7"/>
        <w:spacing w:before="0" w:beforeAutospacing="0" w:after="0" w:afterAutospacing="0" w:line="360" w:lineRule="auto"/>
        <w:ind w:firstLine="420"/>
        <w:rPr>
          <w:sz w:val="21"/>
          <w:szCs w:val="21"/>
        </w:rPr>
      </w:pPr>
      <w:r>
        <w:rPr>
          <w:rFonts w:hint="eastAsia"/>
          <w:sz w:val="21"/>
          <w:szCs w:val="21"/>
        </w:rPr>
        <w:t xml:space="preserve">（五）债券托管专户的开设和管理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  </w:t>
      </w:r>
    </w:p>
    <w:p>
      <w:pPr>
        <w:pStyle w:val="7"/>
        <w:spacing w:before="0" w:beforeAutospacing="0" w:after="0" w:afterAutospacing="0" w:line="360" w:lineRule="auto"/>
        <w:ind w:firstLine="420"/>
        <w:rPr>
          <w:sz w:val="21"/>
          <w:szCs w:val="21"/>
        </w:rPr>
      </w:pPr>
      <w:r>
        <w:rPr>
          <w:rFonts w:hint="eastAsia"/>
          <w:sz w:val="21"/>
          <w:szCs w:val="21"/>
        </w:rPr>
        <w:t xml:space="preserve">（六）其他账户的开立和管理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  </w:t>
      </w:r>
    </w:p>
    <w:p>
      <w:pPr>
        <w:pStyle w:val="7"/>
        <w:spacing w:before="0" w:beforeAutospacing="0" w:after="0" w:afterAutospacing="0" w:line="360" w:lineRule="auto"/>
        <w:ind w:firstLine="420"/>
        <w:rPr>
          <w:sz w:val="21"/>
          <w:szCs w:val="21"/>
        </w:rPr>
      </w:pPr>
      <w:r>
        <w:rPr>
          <w:rFonts w:hint="eastAsia"/>
          <w:sz w:val="21"/>
          <w:szCs w:val="21"/>
        </w:rPr>
        <w:t xml:space="preserve">2.法律法规等有关规定对相关账户的开立和管理另有规定的，从其规定办理。  </w:t>
      </w:r>
    </w:p>
    <w:p>
      <w:pPr>
        <w:pStyle w:val="7"/>
        <w:spacing w:before="0" w:beforeAutospacing="0" w:after="0" w:afterAutospacing="0" w:line="360" w:lineRule="auto"/>
        <w:ind w:firstLine="420"/>
        <w:rPr>
          <w:sz w:val="21"/>
          <w:szCs w:val="21"/>
        </w:rPr>
      </w:pPr>
      <w:r>
        <w:rPr>
          <w:rFonts w:hint="eastAsia"/>
          <w:sz w:val="21"/>
          <w:szCs w:val="21"/>
        </w:rPr>
        <w:t xml:space="preserve">（七）基金财产投资的有关有价凭证等的保管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有关实物证券、银行存款开户证实书等有价凭证由基金托管人存放于基金托管人的保管库，也可存入中央国债登记结算有限责任公司、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或其保管不承担任何责任。  </w:t>
      </w:r>
    </w:p>
    <w:p>
      <w:pPr>
        <w:pStyle w:val="7"/>
        <w:spacing w:before="0" w:beforeAutospacing="0" w:after="0" w:afterAutospacing="0" w:line="360" w:lineRule="auto"/>
        <w:ind w:firstLine="420"/>
        <w:rPr>
          <w:sz w:val="21"/>
          <w:szCs w:val="21"/>
        </w:rPr>
      </w:pPr>
      <w:r>
        <w:rPr>
          <w:rFonts w:hint="eastAsia"/>
          <w:sz w:val="21"/>
          <w:szCs w:val="21"/>
        </w:rPr>
        <w:t xml:space="preserve">（八）与基金财产有关的重大合同的保管  </w:t>
      </w:r>
    </w:p>
    <w:p>
      <w:pPr>
        <w:pStyle w:val="7"/>
        <w:spacing w:before="0" w:beforeAutospacing="0" w:after="0" w:afterAutospacing="0" w:line="360" w:lineRule="auto"/>
        <w:ind w:firstLine="420"/>
        <w:rPr>
          <w:sz w:val="21"/>
          <w:szCs w:val="21"/>
        </w:rPr>
      </w:pPr>
      <w:r>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pPr>
        <w:pStyle w:val="7"/>
        <w:spacing w:before="0" w:beforeAutospacing="0" w:after="0" w:afterAutospacing="0" w:line="360" w:lineRule="auto"/>
        <w:ind w:firstLine="420"/>
        <w:rPr>
          <w:sz w:val="21"/>
          <w:szCs w:val="21"/>
        </w:rPr>
      </w:pPr>
      <w:r>
        <w:rPr>
          <w:rStyle w:val="11"/>
          <w:rFonts w:hint="eastAsia"/>
          <w:sz w:val="21"/>
          <w:szCs w:val="21"/>
        </w:rPr>
        <w:t>五、基金资产净值计算和会计核算</w:t>
      </w:r>
    </w:p>
    <w:p>
      <w:pPr>
        <w:pStyle w:val="7"/>
        <w:spacing w:before="0" w:beforeAutospacing="0" w:after="0" w:afterAutospacing="0" w:line="360" w:lineRule="auto"/>
        <w:ind w:firstLine="420"/>
        <w:rPr>
          <w:sz w:val="21"/>
          <w:szCs w:val="21"/>
        </w:rPr>
      </w:pPr>
      <w:r>
        <w:rPr>
          <w:rFonts w:hint="eastAsia"/>
          <w:sz w:val="21"/>
          <w:szCs w:val="21"/>
        </w:rPr>
        <w:t xml:space="preserve">（一）基金资产净值的计算、复核与完成的时间及程序  </w:t>
      </w:r>
    </w:p>
    <w:p>
      <w:pPr>
        <w:pStyle w:val="7"/>
        <w:spacing w:before="0" w:beforeAutospacing="0" w:after="0" w:afterAutospacing="0" w:line="360" w:lineRule="auto"/>
        <w:ind w:firstLine="420"/>
        <w:rPr>
          <w:sz w:val="21"/>
          <w:szCs w:val="21"/>
        </w:rPr>
      </w:pPr>
      <w:r>
        <w:rPr>
          <w:rFonts w:hint="eastAsia"/>
          <w:sz w:val="21"/>
          <w:szCs w:val="21"/>
        </w:rPr>
        <w:t xml:space="preserve">1.基金资产净值是指基金资产总值减去负债后的金额。各类基金份额净值是按照每个工作日闭市后，各类基金资产净值除以当日该类基金份额的余额数量计算，精确到0.001元，小数点后第四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基金管理人于每个工作日计算基金资产净值及各类基金份额净值，并按规定公告。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  </w:t>
      </w:r>
    </w:p>
    <w:p>
      <w:pPr>
        <w:pStyle w:val="7"/>
        <w:spacing w:before="0" w:beforeAutospacing="0" w:after="0" w:afterAutospacing="0" w:line="360" w:lineRule="auto"/>
        <w:ind w:firstLine="420"/>
        <w:rPr>
          <w:sz w:val="21"/>
          <w:szCs w:val="21"/>
        </w:rPr>
      </w:pPr>
      <w:r>
        <w:rPr>
          <w:rFonts w:hint="eastAsia"/>
          <w:sz w:val="21"/>
          <w:szCs w:val="21"/>
        </w:rPr>
        <w:t xml:space="preserve">（二）基金资产估值方法和特殊情形的处理  </w:t>
      </w:r>
    </w:p>
    <w:p>
      <w:pPr>
        <w:pStyle w:val="7"/>
        <w:spacing w:before="0" w:beforeAutospacing="0" w:after="0" w:afterAutospacing="0" w:line="360" w:lineRule="auto"/>
        <w:ind w:firstLine="420"/>
        <w:rPr>
          <w:sz w:val="21"/>
          <w:szCs w:val="21"/>
        </w:rPr>
      </w:pPr>
      <w:r>
        <w:rPr>
          <w:rFonts w:hint="eastAsia"/>
          <w:sz w:val="21"/>
          <w:szCs w:val="21"/>
        </w:rPr>
        <w:t xml:space="preserve">1.估值对象  </w:t>
      </w:r>
    </w:p>
    <w:p>
      <w:pPr>
        <w:pStyle w:val="7"/>
        <w:spacing w:before="0" w:beforeAutospacing="0" w:after="0" w:afterAutospacing="0" w:line="360" w:lineRule="auto"/>
        <w:ind w:firstLine="420"/>
        <w:rPr>
          <w:sz w:val="21"/>
          <w:szCs w:val="21"/>
        </w:rPr>
      </w:pPr>
      <w:r>
        <w:rPr>
          <w:rFonts w:hint="eastAsia"/>
          <w:sz w:val="21"/>
          <w:szCs w:val="21"/>
        </w:rPr>
        <w:t xml:space="preserve">基金所拥有的股票、股指期货合约、权证、债券和银行存款本息、应收款项、其它投资等资产及负债。  </w:t>
      </w:r>
    </w:p>
    <w:p>
      <w:pPr>
        <w:pStyle w:val="7"/>
        <w:spacing w:before="0" w:beforeAutospacing="0" w:after="0" w:afterAutospacing="0" w:line="360" w:lineRule="auto"/>
        <w:ind w:firstLine="420"/>
        <w:rPr>
          <w:sz w:val="21"/>
          <w:szCs w:val="21"/>
        </w:rPr>
      </w:pPr>
      <w:r>
        <w:rPr>
          <w:rFonts w:hint="eastAsia"/>
          <w:sz w:val="21"/>
          <w:szCs w:val="21"/>
        </w:rPr>
        <w:t xml:space="preserve">2.估值方法  </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pPr>
        <w:pStyle w:val="7"/>
        <w:spacing w:before="0" w:beforeAutospacing="0" w:after="0" w:afterAutospacing="0" w:line="360" w:lineRule="auto"/>
        <w:ind w:firstLine="420"/>
        <w:rPr>
          <w:sz w:val="21"/>
          <w:szCs w:val="21"/>
        </w:rPr>
      </w:pPr>
      <w:r>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  </w:t>
      </w:r>
    </w:p>
    <w:p>
      <w:pPr>
        <w:pStyle w:val="7"/>
        <w:spacing w:before="0" w:beforeAutospacing="0" w:after="0" w:afterAutospacing="0" w:line="360" w:lineRule="auto"/>
        <w:ind w:firstLine="420"/>
        <w:rPr>
          <w:sz w:val="21"/>
          <w:szCs w:val="21"/>
        </w:rPr>
      </w:pPr>
      <w:r>
        <w:rPr>
          <w:rFonts w:hint="eastAsia"/>
          <w:sz w:val="21"/>
          <w:szCs w:val="21"/>
        </w:rPr>
        <w:t xml:space="preserve">(4)因持有股票而享有的配股权，采用估值技术确定公允价值，在估值技术难以可靠计量公允价值的情况下，按成本估值。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(5)同一债券同时在两个或两个以上市场交易的，按债券所处的市场分别估值。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(7)中小企业私募债券，采用估值技术确定公允价值。在估值技术难以可靠计量公允价值的情况下，按成本估值。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(9) 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净值的计算结果对外予以公布。  </w:t>
      </w:r>
    </w:p>
    <w:p>
      <w:pPr>
        <w:pStyle w:val="7"/>
        <w:spacing w:before="0" w:beforeAutospacing="0" w:after="0" w:afterAutospacing="0" w:line="360" w:lineRule="auto"/>
        <w:ind w:firstLine="420"/>
        <w:rPr>
          <w:sz w:val="21"/>
          <w:szCs w:val="21"/>
        </w:rPr>
      </w:pPr>
      <w:r>
        <w:rPr>
          <w:rFonts w:hint="eastAsia"/>
          <w:sz w:val="21"/>
          <w:szCs w:val="21"/>
        </w:rPr>
        <w:t xml:space="preserve">3.特殊情形的处理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基金管理人、基金托管人按估值方法的第(8)项进行估值时，所造成的误差不作为基金资产估值错误处理。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 xml:space="preserve">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  </w:t>
      </w:r>
    </w:p>
    <w:p>
      <w:pPr>
        <w:pStyle w:val="7"/>
        <w:spacing w:before="0" w:beforeAutospacing="0" w:after="0" w:afterAutospacing="0" w:line="360" w:lineRule="auto"/>
        <w:ind w:firstLine="420"/>
        <w:rPr>
          <w:sz w:val="21"/>
          <w:szCs w:val="21"/>
        </w:rPr>
      </w:pPr>
      <w:r>
        <w:rPr>
          <w:rFonts w:hint="eastAsia"/>
          <w:sz w:val="21"/>
          <w:szCs w:val="21"/>
        </w:rPr>
        <w:t xml:space="preserve">（三）基金份额净值错误的处理方式  </w:t>
      </w:r>
    </w:p>
    <w:p>
      <w:pPr>
        <w:pStyle w:val="7"/>
        <w:spacing w:before="0" w:beforeAutospacing="0" w:after="0" w:afterAutospacing="0" w:line="360" w:lineRule="auto"/>
        <w:ind w:firstLine="420"/>
        <w:rPr>
          <w:sz w:val="21"/>
          <w:szCs w:val="21"/>
        </w:rPr>
      </w:pPr>
      <w:r>
        <w:rPr>
          <w:rFonts w:hint="eastAsia"/>
          <w:sz w:val="21"/>
          <w:szCs w:val="21"/>
        </w:rPr>
        <w:t xml:space="preserve">1.当基金份额净值小数点后3位以内(含第3位)发生差错时，视为基金份额净值错误；基金份额净值出现错误时，基金管理人应当立即予以纠正，通报基金托管人，并采取合理的措施防止损失进一步扩大；错误偏差达到该类基金份额净值的0.25%时，基金管理人应当通报基金托管人并报中国证监会备案；错误偏差达到该类基金份额净值的0.5%时，基金管理人应当公告；当发生净值计算错误时，由基金管理人负责处理，由此给基金份额持有人和基金造成损失的，应由基金管理人先行赔付，基金管理人按差错情形，有权向其他当事人追偿。  </w:t>
      </w:r>
    </w:p>
    <w:p>
      <w:pPr>
        <w:pStyle w:val="7"/>
        <w:spacing w:before="0" w:beforeAutospacing="0" w:after="0" w:afterAutospacing="0" w:line="360" w:lineRule="auto"/>
        <w:ind w:firstLine="420"/>
        <w:rPr>
          <w:sz w:val="21"/>
          <w:szCs w:val="21"/>
        </w:rPr>
      </w:pPr>
      <w:r>
        <w:rPr>
          <w:rFonts w:hint="eastAsia"/>
          <w:sz w:val="21"/>
          <w:szCs w:val="21"/>
        </w:rPr>
        <w:t xml:space="preserve">2.当基金份额净值计算差错给基金和基金份额持有人造成损失需要进行赔偿时，基金管理人和基金托管人应根据实际情况界定双方承担的责任，经确认后按以下条款进行赔偿：  </w:t>
      </w:r>
    </w:p>
    <w:p>
      <w:pPr>
        <w:pStyle w:val="7"/>
        <w:spacing w:before="0" w:beforeAutospacing="0" w:after="0" w:afterAutospacing="0" w:line="360" w:lineRule="auto"/>
        <w:ind w:firstLine="420"/>
        <w:rPr>
          <w:sz w:val="21"/>
          <w:szCs w:val="21"/>
        </w:rPr>
      </w:pPr>
      <w:r>
        <w:rPr>
          <w:rFonts w:hint="eastAsia"/>
          <w:sz w:val="21"/>
          <w:szCs w:val="21"/>
        </w:rPr>
        <w:t xml:space="preserve">(1)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pPr>
        <w:pStyle w:val="7"/>
        <w:spacing w:before="0" w:beforeAutospacing="0" w:after="0" w:afterAutospacing="0" w:line="360" w:lineRule="auto"/>
        <w:ind w:firstLine="420"/>
        <w:rPr>
          <w:sz w:val="21"/>
          <w:szCs w:val="21"/>
        </w:rPr>
      </w:pPr>
      <w:r>
        <w:rPr>
          <w:rFonts w:hint="eastAsia"/>
          <w:sz w:val="21"/>
          <w:szCs w:val="21"/>
        </w:rPr>
        <w:t xml:space="preserve">(2)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  </w:t>
      </w:r>
    </w:p>
    <w:p>
      <w:pPr>
        <w:pStyle w:val="7"/>
        <w:spacing w:before="0" w:beforeAutospacing="0" w:after="0" w:afterAutospacing="0" w:line="360" w:lineRule="auto"/>
        <w:ind w:firstLine="420"/>
        <w:rPr>
          <w:sz w:val="21"/>
          <w:szCs w:val="21"/>
        </w:rPr>
      </w:pPr>
      <w:r>
        <w:rPr>
          <w:rFonts w:hint="eastAsia"/>
          <w:sz w:val="21"/>
          <w:szCs w:val="21"/>
        </w:rPr>
        <w:t xml:space="preserve">(3)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pPr>
        <w:pStyle w:val="7"/>
        <w:spacing w:before="0" w:beforeAutospacing="0" w:after="0" w:afterAutospacing="0" w:line="360" w:lineRule="auto"/>
        <w:ind w:firstLine="420"/>
        <w:rPr>
          <w:sz w:val="21"/>
          <w:szCs w:val="21"/>
        </w:rPr>
      </w:pPr>
      <w:r>
        <w:rPr>
          <w:rFonts w:hint="eastAsia"/>
          <w:sz w:val="21"/>
          <w:szCs w:val="21"/>
        </w:rPr>
        <w:t xml:space="preserve">(4)由于基金管理人提供的信息错误（包括但不限于基金申购或赎回金额等），进而导致基金份额净值计算错误而引起的基金份额持有人和基金财产的损失，由基金管理人负责赔付。  </w:t>
      </w:r>
    </w:p>
    <w:p>
      <w:pPr>
        <w:pStyle w:val="7"/>
        <w:spacing w:before="0" w:beforeAutospacing="0" w:after="0" w:afterAutospacing="0" w:line="360" w:lineRule="auto"/>
        <w:ind w:firstLine="420"/>
        <w:rPr>
          <w:sz w:val="21"/>
          <w:szCs w:val="21"/>
        </w:rPr>
      </w:pPr>
      <w:r>
        <w:rPr>
          <w:rFonts w:hint="eastAsia"/>
          <w:sz w:val="21"/>
          <w:szCs w:val="21"/>
        </w:rPr>
        <w:t xml:space="preserve">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  </w:t>
      </w:r>
    </w:p>
    <w:p>
      <w:pPr>
        <w:pStyle w:val="7"/>
        <w:spacing w:before="0" w:beforeAutospacing="0" w:after="0" w:afterAutospacing="0" w:line="360" w:lineRule="auto"/>
        <w:ind w:firstLine="420"/>
        <w:rPr>
          <w:sz w:val="21"/>
          <w:szCs w:val="21"/>
        </w:rPr>
      </w:pPr>
      <w:r>
        <w:rPr>
          <w:rFonts w:hint="eastAsia"/>
          <w:sz w:val="21"/>
          <w:szCs w:val="21"/>
        </w:rPr>
        <w:t xml:space="preserve">4.基金管理人和基金托管人由于各自技术系统设置而产生的净值计算尾差，以基金管理人计算结果为准。  </w:t>
      </w:r>
    </w:p>
    <w:p>
      <w:pPr>
        <w:pStyle w:val="7"/>
        <w:spacing w:before="0" w:beforeAutospacing="0" w:after="0" w:afterAutospacing="0" w:line="360" w:lineRule="auto"/>
        <w:ind w:firstLine="420"/>
        <w:rPr>
          <w:sz w:val="21"/>
          <w:szCs w:val="21"/>
        </w:rPr>
      </w:pPr>
      <w:r>
        <w:rPr>
          <w:rFonts w:hint="eastAsia"/>
          <w:sz w:val="21"/>
          <w:szCs w:val="21"/>
        </w:rPr>
        <w:t xml:space="preserve">5.前述内容如法律法规或者监管部门另有规定的，从其规定。如果行业另有通行做法，双方当事人应本着平等和保护基金份额持有人利益的原则进行协商。  </w:t>
      </w:r>
    </w:p>
    <w:p>
      <w:pPr>
        <w:pStyle w:val="7"/>
        <w:spacing w:before="0" w:beforeAutospacing="0" w:after="0" w:afterAutospacing="0" w:line="360" w:lineRule="auto"/>
        <w:ind w:firstLine="420"/>
        <w:rPr>
          <w:sz w:val="21"/>
          <w:szCs w:val="21"/>
        </w:rPr>
      </w:pPr>
      <w:r>
        <w:rPr>
          <w:rFonts w:hint="eastAsia"/>
          <w:sz w:val="21"/>
          <w:szCs w:val="21"/>
        </w:rPr>
        <w:t xml:space="preserve">（四）暂停估值与公告基金份额净值的情形  </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1.基金投资所涉及的证券、期货交易市场遇法定节假日或因其他原因暂停营业时；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3.占基金相当比例的投资品种的估值出现重大转变，而基金管理人为保障投资人的利益，已决定延迟估值；如果出现基金管理人认为属于紧急事故的任何情况，导致基金管理人不能出售或评估基金资产时；  </w:t>
      </w:r>
    </w:p>
    <w:p>
      <w:pPr>
        <w:pStyle w:val="7"/>
        <w:spacing w:before="0" w:beforeAutospacing="0" w:after="0" w:afterAutospacing="0" w:line="360" w:lineRule="auto"/>
        <w:ind w:firstLine="420"/>
        <w:rPr>
          <w:sz w:val="21"/>
          <w:szCs w:val="21"/>
        </w:rPr>
      </w:pPr>
      <w:r>
        <w:rPr>
          <w:rFonts w:hint="eastAsia"/>
          <w:sz w:val="21"/>
          <w:szCs w:val="21"/>
        </w:rPr>
        <w:t xml:space="preserve">4.当前一估值日基金资产净值50%以上的资产出现无可参考的活跃市场价格且采用估值技术仍导致公允价值存在重大不确定性时，经与基金托管人协商一致的，应当暂停估值；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5.法律法规规定、中国证监会和《基金合同》认定的其他情形。  </w:t>
      </w:r>
    </w:p>
    <w:p>
      <w:pPr>
        <w:pStyle w:val="7"/>
        <w:spacing w:before="0" w:beforeAutospacing="0" w:after="0" w:afterAutospacing="0" w:line="360" w:lineRule="auto"/>
        <w:ind w:firstLine="420"/>
        <w:rPr>
          <w:sz w:val="21"/>
          <w:szCs w:val="21"/>
        </w:rPr>
      </w:pPr>
      <w:r>
        <w:rPr>
          <w:rFonts w:hint="eastAsia"/>
          <w:sz w:val="21"/>
          <w:szCs w:val="21"/>
        </w:rPr>
        <w:t xml:space="preserve">（五）基金会计制度  </w:t>
      </w:r>
    </w:p>
    <w:p>
      <w:pPr>
        <w:pStyle w:val="7"/>
        <w:spacing w:before="0" w:beforeAutospacing="0" w:after="0" w:afterAutospacing="0" w:line="360" w:lineRule="auto"/>
        <w:ind w:firstLine="420"/>
        <w:rPr>
          <w:sz w:val="21"/>
          <w:szCs w:val="21"/>
        </w:rPr>
      </w:pPr>
      <w:r>
        <w:rPr>
          <w:rFonts w:hint="eastAsia"/>
          <w:sz w:val="21"/>
          <w:szCs w:val="21"/>
        </w:rPr>
        <w:t xml:space="preserve">按国家有关部门规定的会计制度执行。  </w:t>
      </w:r>
    </w:p>
    <w:p>
      <w:pPr>
        <w:pStyle w:val="7"/>
        <w:spacing w:before="0" w:beforeAutospacing="0" w:after="0" w:afterAutospacing="0" w:line="360" w:lineRule="auto"/>
        <w:ind w:firstLine="420"/>
        <w:rPr>
          <w:sz w:val="21"/>
          <w:szCs w:val="21"/>
        </w:rPr>
      </w:pPr>
      <w:r>
        <w:rPr>
          <w:rFonts w:hint="eastAsia"/>
          <w:sz w:val="21"/>
          <w:szCs w:val="21"/>
        </w:rPr>
        <w:t xml:space="preserve">（六）基金账册的建立  </w:t>
      </w:r>
    </w:p>
    <w:p>
      <w:pPr>
        <w:pStyle w:val="7"/>
        <w:spacing w:before="0" w:beforeAutospacing="0" w:after="0" w:afterAutospacing="0" w:line="360" w:lineRule="auto"/>
        <w:ind w:firstLine="420"/>
        <w:rPr>
          <w:sz w:val="21"/>
          <w:szCs w:val="21"/>
        </w:rPr>
      </w:pPr>
      <w:r>
        <w:rPr>
          <w:rFonts w:hint="eastAsia"/>
          <w:sz w:val="21"/>
          <w:szCs w:val="21"/>
        </w:rPr>
        <w:t xml:space="preserve">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净值的计算和公告的，以基金管理人的账册为准。  </w:t>
      </w:r>
    </w:p>
    <w:p>
      <w:pPr>
        <w:pStyle w:val="7"/>
        <w:spacing w:before="0" w:beforeAutospacing="0" w:after="0" w:afterAutospacing="0" w:line="360" w:lineRule="auto"/>
        <w:ind w:firstLine="420"/>
        <w:rPr>
          <w:sz w:val="21"/>
          <w:szCs w:val="21"/>
        </w:rPr>
      </w:pPr>
      <w:r>
        <w:rPr>
          <w:rFonts w:hint="eastAsia"/>
          <w:sz w:val="21"/>
          <w:szCs w:val="21"/>
        </w:rPr>
        <w:t xml:space="preserve">（七）基金财务报表与报告的编制和复核  </w:t>
      </w:r>
    </w:p>
    <w:p>
      <w:pPr>
        <w:pStyle w:val="7"/>
        <w:spacing w:before="0" w:beforeAutospacing="0" w:after="0" w:afterAutospacing="0" w:line="360" w:lineRule="auto"/>
        <w:ind w:firstLine="420"/>
        <w:rPr>
          <w:sz w:val="21"/>
          <w:szCs w:val="21"/>
        </w:rPr>
      </w:pPr>
      <w:r>
        <w:rPr>
          <w:rFonts w:hint="eastAsia"/>
          <w:sz w:val="21"/>
          <w:szCs w:val="21"/>
        </w:rPr>
        <w:t xml:space="preserve">1.财务报表的编制  </w:t>
      </w:r>
    </w:p>
    <w:p>
      <w:pPr>
        <w:pStyle w:val="7"/>
        <w:spacing w:before="0" w:beforeAutospacing="0" w:after="0" w:afterAutospacing="0" w:line="360" w:lineRule="auto"/>
        <w:ind w:firstLine="420"/>
        <w:rPr>
          <w:sz w:val="21"/>
          <w:szCs w:val="21"/>
        </w:rPr>
      </w:pPr>
      <w:r>
        <w:rPr>
          <w:rFonts w:hint="eastAsia"/>
          <w:sz w:val="21"/>
          <w:szCs w:val="21"/>
        </w:rPr>
        <w:t xml:space="preserve">基金财务报表由基金管理人编制，基金托管人复核。  </w:t>
      </w:r>
    </w:p>
    <w:p>
      <w:pPr>
        <w:pStyle w:val="7"/>
        <w:spacing w:before="0" w:beforeAutospacing="0" w:after="0" w:afterAutospacing="0" w:line="360" w:lineRule="auto"/>
        <w:ind w:firstLine="420"/>
        <w:rPr>
          <w:sz w:val="21"/>
          <w:szCs w:val="21"/>
        </w:rPr>
      </w:pPr>
      <w:r>
        <w:rPr>
          <w:rFonts w:hint="eastAsia"/>
          <w:sz w:val="21"/>
          <w:szCs w:val="21"/>
        </w:rPr>
        <w:t xml:space="preserve">2.报表复核  </w:t>
      </w:r>
    </w:p>
    <w:p>
      <w:pPr>
        <w:pStyle w:val="7"/>
        <w:spacing w:before="0" w:beforeAutospacing="0" w:after="0" w:afterAutospacing="0" w:line="360" w:lineRule="auto"/>
        <w:ind w:firstLine="420"/>
        <w:rPr>
          <w:sz w:val="21"/>
          <w:szCs w:val="21"/>
        </w:rPr>
      </w:pPr>
      <w:r>
        <w:rPr>
          <w:rFonts w:hint="eastAsia"/>
          <w:sz w:val="21"/>
          <w:szCs w:val="21"/>
        </w:rPr>
        <w:t xml:space="preserve">基金托管人在收到基金管理人编制的基金财务报表后，进行独立的复核。核对不符时，应及时通知基金管理人共同查出原因，进行调整，直至双方数据完全一致。  </w:t>
      </w:r>
    </w:p>
    <w:p>
      <w:pPr>
        <w:pStyle w:val="7"/>
        <w:spacing w:before="0" w:beforeAutospacing="0" w:after="0" w:afterAutospacing="0" w:line="360" w:lineRule="auto"/>
        <w:ind w:firstLine="420"/>
        <w:rPr>
          <w:sz w:val="21"/>
          <w:szCs w:val="21"/>
        </w:rPr>
      </w:pPr>
      <w:r>
        <w:rPr>
          <w:rFonts w:hint="eastAsia"/>
          <w:sz w:val="21"/>
          <w:szCs w:val="21"/>
        </w:rPr>
        <w:t xml:space="preserve">3.财务报表的编制与复核时间安排  </w:t>
      </w:r>
    </w:p>
    <w:p>
      <w:pPr>
        <w:pStyle w:val="7"/>
        <w:spacing w:before="0" w:beforeAutospacing="0" w:after="0" w:afterAutospacing="0" w:line="360" w:lineRule="auto"/>
        <w:ind w:firstLine="420"/>
        <w:rPr>
          <w:sz w:val="21"/>
          <w:szCs w:val="21"/>
        </w:rPr>
      </w:pPr>
      <w:r>
        <w:rPr>
          <w:rFonts w:hint="eastAsia"/>
          <w:sz w:val="21"/>
          <w:szCs w:val="21"/>
        </w:rPr>
        <w:t xml:space="preserve">(1)报表的编制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具有证券、期货相关业务资格的会计师事务所审计。《基金合同》生效不足两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(2)报表的复核  </w:t>
      </w:r>
    </w:p>
    <w:p>
      <w:pPr>
        <w:pStyle w:val="7"/>
        <w:spacing w:before="0" w:beforeAutospacing="0" w:after="0" w:afterAutospacing="0" w:line="360" w:lineRule="auto"/>
        <w:ind w:firstLine="420"/>
        <w:rPr>
          <w:sz w:val="21"/>
          <w:szCs w:val="21"/>
        </w:rPr>
      </w:pPr>
      <w:r>
        <w:rPr>
          <w:rFonts w:hint="eastAsia"/>
          <w:sz w:val="21"/>
          <w:szCs w:val="21"/>
        </w:rPr>
        <w:t xml:space="preserve">基金管理人应及时完成报表编制，将有关报表提供基金托管人复核；基金托管人在复核过程中，发现双方的报表存在不符时，基金管理人和基金托管人应共同查明原因，进行调整，调整以国家有关规定为准。  </w:t>
      </w:r>
    </w:p>
    <w:p>
      <w:pPr>
        <w:pStyle w:val="7"/>
        <w:spacing w:before="0" w:beforeAutospacing="0" w:after="0" w:afterAutospacing="0" w:line="360" w:lineRule="auto"/>
        <w:ind w:firstLine="420"/>
        <w:rPr>
          <w:sz w:val="21"/>
          <w:szCs w:val="21"/>
        </w:rPr>
      </w:pPr>
      <w:r>
        <w:rPr>
          <w:rFonts w:hint="eastAsia"/>
          <w:sz w:val="21"/>
          <w:szCs w:val="21"/>
        </w:rPr>
        <w:t xml:space="preserve">基金管理人应留足充分的时间，便于基金托管人复核相关报表及报告。  </w:t>
      </w:r>
    </w:p>
    <w:p>
      <w:pPr>
        <w:pStyle w:val="7"/>
        <w:spacing w:before="0" w:beforeAutospacing="0" w:after="0" w:afterAutospacing="0" w:line="360" w:lineRule="auto"/>
        <w:ind w:firstLine="420"/>
        <w:rPr>
          <w:sz w:val="21"/>
          <w:szCs w:val="21"/>
        </w:rPr>
      </w:pPr>
      <w:r>
        <w:rPr>
          <w:rFonts w:hint="eastAsia"/>
          <w:sz w:val="21"/>
          <w:szCs w:val="21"/>
        </w:rPr>
        <w:t xml:space="preserve">（八）基金管理人应在编制季度报告、中期报告或者年度报告之前及时向基金托管人提供基金业绩比较基准的基础数据和编制结果。  </w:t>
      </w:r>
    </w:p>
    <w:p>
      <w:pPr>
        <w:pStyle w:val="7"/>
        <w:spacing w:before="0" w:beforeAutospacing="0" w:after="0" w:afterAutospacing="0" w:line="360" w:lineRule="auto"/>
        <w:ind w:firstLine="420"/>
        <w:rPr>
          <w:sz w:val="21"/>
          <w:szCs w:val="21"/>
        </w:rPr>
      </w:pPr>
      <w:r>
        <w:rPr>
          <w:rStyle w:val="11"/>
          <w:rFonts w:hint="eastAsia"/>
          <w:sz w:val="21"/>
          <w:szCs w:val="21"/>
        </w:rPr>
        <w:t>六、基金份额持有人名册的保管</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  </w:t>
      </w:r>
    </w:p>
    <w:p>
      <w:pPr>
        <w:pStyle w:val="7"/>
        <w:spacing w:before="0" w:beforeAutospacing="0" w:after="0" w:afterAutospacing="0" w:line="360" w:lineRule="auto"/>
        <w:ind w:firstLine="420"/>
        <w:rPr>
          <w:sz w:val="21"/>
          <w:szCs w:val="21"/>
        </w:rPr>
      </w:pPr>
      <w:r>
        <w:rPr>
          <w:rFonts w:hint="eastAsia"/>
          <w:sz w:val="21"/>
          <w:szCs w:val="21"/>
        </w:rPr>
        <w:t xml:space="preserve">在基金托管人要求或编制中期报和年报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pPr>
        <w:pStyle w:val="7"/>
        <w:spacing w:before="0" w:beforeAutospacing="0" w:after="0" w:afterAutospacing="0" w:line="360" w:lineRule="auto"/>
        <w:ind w:firstLine="420"/>
        <w:rPr>
          <w:sz w:val="21"/>
          <w:szCs w:val="21"/>
        </w:rPr>
      </w:pPr>
      <w:r>
        <w:rPr>
          <w:rStyle w:val="11"/>
          <w:rFonts w:hint="eastAsia"/>
          <w:sz w:val="21"/>
          <w:szCs w:val="21"/>
        </w:rPr>
        <w:t>七、争议解决方式</w:t>
      </w:r>
    </w:p>
    <w:p>
      <w:pPr>
        <w:pStyle w:val="7"/>
        <w:spacing w:before="0" w:beforeAutospacing="0" w:after="0" w:afterAutospacing="0" w:line="360" w:lineRule="auto"/>
        <w:ind w:firstLine="420"/>
        <w:rPr>
          <w:sz w:val="21"/>
          <w:szCs w:val="21"/>
        </w:rPr>
      </w:pPr>
      <w:r>
        <w:rPr>
          <w:rFonts w:hint="eastAsia"/>
          <w:sz w:val="21"/>
          <w:szCs w:val="21"/>
        </w:rPr>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本协议受中国法律管辖。  </w:t>
      </w:r>
    </w:p>
    <w:p>
      <w:pPr>
        <w:pStyle w:val="7"/>
        <w:spacing w:before="0" w:beforeAutospacing="0" w:after="0" w:afterAutospacing="0" w:line="360" w:lineRule="auto"/>
        <w:ind w:firstLine="420"/>
        <w:rPr>
          <w:sz w:val="21"/>
          <w:szCs w:val="21"/>
        </w:rPr>
      </w:pPr>
      <w:r>
        <w:rPr>
          <w:rStyle w:val="11"/>
          <w:rFonts w:hint="eastAsia"/>
          <w:sz w:val="21"/>
          <w:szCs w:val="21"/>
        </w:rPr>
        <w:t>八、托管协议的修改与终止</w:t>
      </w:r>
    </w:p>
    <w:p>
      <w:pPr>
        <w:pStyle w:val="7"/>
        <w:spacing w:before="0" w:beforeAutospacing="0" w:after="0" w:afterAutospacing="0" w:line="360" w:lineRule="auto"/>
        <w:ind w:firstLine="420"/>
        <w:rPr>
          <w:sz w:val="21"/>
          <w:szCs w:val="21"/>
        </w:rPr>
      </w:pPr>
      <w:r>
        <w:rPr>
          <w:rFonts w:hint="eastAsia"/>
          <w:sz w:val="21"/>
          <w:szCs w:val="21"/>
        </w:rPr>
        <w:t xml:space="preserve">（一）托管协议的变更程序  </w:t>
      </w:r>
    </w:p>
    <w:p>
      <w:pPr>
        <w:pStyle w:val="7"/>
        <w:spacing w:before="0" w:beforeAutospacing="0" w:after="0" w:afterAutospacing="0" w:line="360" w:lineRule="auto"/>
        <w:ind w:firstLine="420"/>
        <w:rPr>
          <w:sz w:val="21"/>
          <w:szCs w:val="21"/>
        </w:rPr>
      </w:pPr>
      <w:r>
        <w:rPr>
          <w:rFonts w:hint="eastAsia"/>
          <w:sz w:val="21"/>
          <w:szCs w:val="21"/>
        </w:rPr>
        <w:t xml:space="preserve">本协议双方当事人经协商一致，可以对协议进行修改。修改后的新协议，其内容不得与《基金合同》的规定有任何冲突。基金托管协议的变更报中国证监会备案。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（二）基金托管协议终止出现的情形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2.基金托管人解散、依法被撤销、破产或由其他基金托管人接管基金资产；  </w:t>
      </w:r>
    </w:p>
    <w:p>
      <w:pPr>
        <w:pStyle w:val="7"/>
        <w:spacing w:before="0" w:beforeAutospacing="0" w:after="0" w:afterAutospacing="0" w:line="360" w:lineRule="auto"/>
        <w:ind w:firstLine="420"/>
        <w:rPr>
          <w:sz w:val="21"/>
          <w:szCs w:val="21"/>
        </w:rPr>
      </w:pPr>
      <w:r>
        <w:rPr>
          <w:rFonts w:hint="eastAsia"/>
          <w:sz w:val="21"/>
          <w:szCs w:val="21"/>
        </w:rPr>
        <w:t xml:space="preserve">3.基金管理人解散、依法被撤销、破产或由其他基金管理人接管基金管理权；  </w:t>
      </w:r>
    </w:p>
    <w:p>
      <w:pPr>
        <w:rPr>
          <w:rFonts w:ascii="宋体" w:hAnsi="宋体" w:eastAsia="宋体"/>
          <w:sz w:val="24"/>
          <w:szCs w:val="24"/>
        </w:rPr>
      </w:pPr>
      <w:bookmarkStart w:id="200" w:name="chapter_level1_22_72_section_1_end"/>
      <w:bookmarkEnd w:id="200"/>
      <w:r>
        <w:rPr>
          <w:rFonts w:ascii="宋体" w:hAnsi="宋体" w:eastAsia="宋体"/>
        </w:rPr>
        <w:t xml:space="preserve">4.发生法律法规或《基金合同》规定的终止事项。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1" w:name="_Toc113560431"/>
      <w:bookmarkStart w:id="202" w:name="chapter_level1_23_75"/>
      <w:r>
        <w:rPr>
          <w:rFonts w:hint="eastAsia" w:ascii="宋体" w:hAnsi="宋体" w:eastAsia="宋体"/>
          <w:sz w:val="30"/>
        </w:rPr>
        <w:t>第二十部分  对基金份额持有人的服务</w:t>
      </w:r>
      <w:bookmarkEnd w:id="201"/>
      <w:bookmarkEnd w:id="202"/>
    </w:p>
    <w:p>
      <w:pPr>
        <w:pStyle w:val="7"/>
        <w:spacing w:before="0" w:beforeAutospacing="0" w:after="0" w:afterAutospacing="0" w:line="360" w:lineRule="auto"/>
        <w:ind w:firstLine="420"/>
        <w:rPr>
          <w:sz w:val="21"/>
          <w:szCs w:val="21"/>
        </w:rPr>
      </w:pPr>
      <w:bookmarkStart w:id="203" w:name="chapter_level1_23_75_section_1"/>
      <w:bookmarkEnd w:id="203"/>
      <w:r>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和修改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一、基金份额持有人交易资料的寄送服务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1、交易确认单 </w:t>
      </w:r>
    </w:p>
    <w:p>
      <w:pPr>
        <w:pStyle w:val="7"/>
        <w:spacing w:before="0" w:beforeAutospacing="0" w:after="0" w:afterAutospacing="0" w:line="360" w:lineRule="auto"/>
        <w:ind w:firstLine="420"/>
        <w:rPr>
          <w:sz w:val="21"/>
          <w:szCs w:val="21"/>
        </w:rPr>
      </w:pPr>
      <w:r>
        <w:rPr>
          <w:rFonts w:hint="eastAsia"/>
          <w:sz w:val="21"/>
          <w:szCs w:val="21"/>
        </w:rPr>
        <w:t xml:space="preserve">基金合同生效后正常开放期，每次交易结束后，投资者可在T+2 个工作日后通过销售机构的网点柜台或以销售机构规定的其他方式查询和打印交易确认单，或在T+1个工作日后通过博时一线通电话、博时网站查询交易确认情况。基金管理人不向投资者寄送交易确认单。 </w:t>
      </w:r>
    </w:p>
    <w:p>
      <w:pPr>
        <w:pStyle w:val="7"/>
        <w:spacing w:before="0" w:beforeAutospacing="0" w:after="0" w:afterAutospacing="0" w:line="360" w:lineRule="auto"/>
        <w:ind w:firstLine="420"/>
        <w:rPr>
          <w:sz w:val="21"/>
          <w:szCs w:val="21"/>
        </w:rPr>
      </w:pPr>
      <w:r>
        <w:rPr>
          <w:rFonts w:hint="eastAsia"/>
          <w:sz w:val="21"/>
          <w:szCs w:val="21"/>
        </w:rPr>
        <w:t xml:space="preserve">2、电子对账单  </w:t>
      </w:r>
    </w:p>
    <w:p>
      <w:pPr>
        <w:pStyle w:val="7"/>
        <w:spacing w:before="0" w:beforeAutospacing="0" w:after="0" w:afterAutospacing="0" w:line="360" w:lineRule="auto"/>
        <w:ind w:firstLine="420"/>
        <w:rPr>
          <w:sz w:val="21"/>
          <w:szCs w:val="21"/>
        </w:rPr>
      </w:pPr>
      <w:r>
        <w:rPr>
          <w:rFonts w:hint="eastAsia"/>
          <w:sz w:val="21"/>
          <w:szCs w:val="21"/>
        </w:rPr>
        <w:t xml:space="preserve">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pPr>
        <w:pStyle w:val="7"/>
        <w:spacing w:before="0" w:beforeAutospacing="0" w:after="0" w:afterAutospacing="0" w:line="360" w:lineRule="auto"/>
        <w:ind w:firstLine="420"/>
        <w:rPr>
          <w:sz w:val="21"/>
          <w:szCs w:val="21"/>
        </w:rPr>
      </w:pPr>
      <w:r>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 </w:t>
      </w:r>
    </w:p>
    <w:p>
      <w:pPr>
        <w:pStyle w:val="7"/>
        <w:spacing w:before="0" w:beforeAutospacing="0" w:after="0" w:afterAutospacing="0" w:line="360" w:lineRule="auto"/>
        <w:ind w:firstLine="420"/>
        <w:rPr>
          <w:sz w:val="21"/>
          <w:szCs w:val="21"/>
        </w:rPr>
      </w:pPr>
      <w:r>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pPr>
        <w:pStyle w:val="7"/>
        <w:spacing w:before="0" w:beforeAutospacing="0" w:after="0" w:afterAutospacing="0" w:line="360" w:lineRule="auto"/>
        <w:ind w:firstLine="420"/>
        <w:rPr>
          <w:sz w:val="21"/>
          <w:szCs w:val="21"/>
        </w:rPr>
      </w:pPr>
      <w:r>
        <w:rPr>
          <w:rFonts w:hint="eastAsia"/>
          <w:sz w:val="21"/>
          <w:szCs w:val="21"/>
        </w:rPr>
        <w:t xml:space="preserve">2、查询服务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3、信息资讯服务 </w:t>
      </w:r>
    </w:p>
    <w:p>
      <w:pPr>
        <w:pStyle w:val="7"/>
        <w:spacing w:before="0" w:beforeAutospacing="0" w:after="0" w:afterAutospacing="0" w:line="360" w:lineRule="auto"/>
        <w:ind w:firstLine="420"/>
        <w:rPr>
          <w:sz w:val="21"/>
          <w:szCs w:val="21"/>
        </w:rPr>
      </w:pPr>
      <w:r>
        <w:rPr>
          <w:rFonts w:hint="eastAsia"/>
          <w:sz w:val="21"/>
          <w:szCs w:val="21"/>
        </w:rPr>
        <w:t xml:space="preserve">投资者可以利用基金管理人网站获取基金和基金管理人各类信息，包括基金法律文件、基金管理人最新动态、热点问题等。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投资者可以通过基金管理人网站首页“在线客服”功能进行在线咨询。也可以在“您问我答”栏目中，直接提出有关本基金的问题和建议。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bookmarkStart w:id="204" w:name="chapter_level1_23_75_section_1_end"/>
      <w:bookmarkEnd w:id="204"/>
      <w:r>
        <w:rPr>
          <w:rFonts w:hint="eastAsia"/>
          <w:sz w:val="21"/>
          <w:szCs w:val="21"/>
        </w:rPr>
        <w:t xml:space="preserve">基金管理人为投资者提供电子邮件方式的业务咨询、投诉受理、基金份额净值等服务。 </w:t>
      </w:r>
    </w:p>
    <w:p>
      <w:pPr>
        <w:pStyle w:val="7"/>
        <w:spacing w:before="0" w:beforeAutospacing="0" w:after="0" w:afterAutospacing="0" w:line="360" w:lineRule="auto"/>
        <w:ind w:firstLine="420"/>
        <w:rPr>
          <w:sz w:val="21"/>
          <w:szCs w:val="21"/>
        </w:rPr>
      </w:pPr>
      <w:bookmarkStart w:id="205" w:name="chapter_level1_23_75_section_2"/>
      <w:bookmarkEnd w:id="205"/>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投资者可以通过基金管理人网站、客服中心提交信息订制的申请，基金管理人将以电子邮件、手机短信的形式定期为投资者发送所订制的信息。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2、电话交易服务：本公司直销投资者可通过博时一线通电话交易平台在线办理基金的赎回、变更分红方式、撤单等直销交易业务。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Style w:val="11"/>
          <w:rFonts w:hint="eastAsia"/>
          <w:sz w:val="21"/>
          <w:szCs w:val="21"/>
        </w:rPr>
        <w:t>八、基金管理人联系方式</w:t>
      </w:r>
    </w:p>
    <w:p>
      <w:pPr>
        <w:pStyle w:val="7"/>
        <w:spacing w:before="0" w:beforeAutospacing="0" w:after="0" w:afterAutospacing="0" w:line="360" w:lineRule="auto"/>
        <w:ind w:firstLine="420"/>
        <w:rPr>
          <w:sz w:val="21"/>
          <w:szCs w:val="21"/>
        </w:rPr>
      </w:pPr>
      <w:r>
        <w:rPr>
          <w:rFonts w:hint="eastAsia"/>
          <w:sz w:val="21"/>
          <w:szCs w:val="21"/>
        </w:rPr>
        <w:t xml:space="preserve">基金管理人的互联网地址及电子信箱 </w:t>
      </w:r>
    </w:p>
    <w:p>
      <w:pPr>
        <w:pStyle w:val="7"/>
        <w:spacing w:before="0" w:beforeAutospacing="0" w:after="0" w:afterAutospacing="0" w:line="360" w:lineRule="auto"/>
        <w:ind w:firstLine="420"/>
        <w:rPr>
          <w:sz w:val="21"/>
          <w:szCs w:val="21"/>
        </w:rPr>
      </w:pPr>
      <w:r>
        <w:rPr>
          <w:rFonts w:hint="eastAsia"/>
          <w:sz w:val="21"/>
          <w:szCs w:val="21"/>
        </w:rPr>
        <w:t xml:space="preserve">网址：www.bosera.com </w:t>
      </w:r>
    </w:p>
    <w:p>
      <w:pPr>
        <w:pStyle w:val="7"/>
        <w:spacing w:before="0" w:beforeAutospacing="0" w:after="0" w:afterAutospacing="0" w:line="360" w:lineRule="auto"/>
        <w:ind w:firstLine="420"/>
        <w:rPr>
          <w:sz w:val="21"/>
          <w:szCs w:val="21"/>
        </w:rPr>
      </w:pPr>
      <w:r>
        <w:rPr>
          <w:rFonts w:hint="eastAsia"/>
          <w:sz w:val="21"/>
          <w:szCs w:val="21"/>
        </w:rPr>
        <w:t>电子信箱：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p>
    <w:p>
      <w:pPr>
        <w:pStyle w:val="7"/>
        <w:spacing w:before="0" w:beforeAutospacing="0" w:after="0" w:afterAutospacing="0" w:line="360" w:lineRule="auto"/>
        <w:ind w:firstLine="420"/>
        <w:rPr>
          <w:sz w:val="21"/>
          <w:szCs w:val="21"/>
        </w:rPr>
      </w:pPr>
      <w:r>
        <w:rPr>
          <w:rStyle w:val="11"/>
          <w:rFonts w:hint="eastAsia"/>
          <w:sz w:val="21"/>
          <w:szCs w:val="21"/>
        </w:rPr>
        <w:t>九、如本招募说明书存在任何您/贵机构无法理解的内容，请通过上述方式联系基金管</w:t>
      </w:r>
      <w:bookmarkStart w:id="206" w:name="chapter_level1_23_75_section_2_end"/>
      <w:bookmarkEnd w:id="206"/>
      <w:r>
        <w:rPr>
          <w:rStyle w:val="11"/>
          <w:rFonts w:hint="eastAsia"/>
          <w:sz w:val="21"/>
          <w:szCs w:val="21"/>
        </w:rPr>
        <w:t>理人。请确保投资前，您/贵机构已经全面理解了本招募说明书。</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7" w:name="chapter_level1_24_3499"/>
      <w:bookmarkStart w:id="208" w:name="_Toc113560432"/>
      <w:r>
        <w:rPr>
          <w:rFonts w:hint="eastAsia" w:ascii="宋体" w:hAnsi="宋体" w:eastAsia="宋体"/>
          <w:sz w:val="30"/>
        </w:rPr>
        <w:t>第二十一部分 其他应披露的事项</w:t>
      </w:r>
      <w:bookmarkEnd w:id="207"/>
      <w:bookmarkEnd w:id="208"/>
    </w:p>
    <w:p>
      <w:pPr>
        <w:pStyle w:val="7"/>
        <w:spacing w:before="0" w:beforeAutospacing="0" w:after="0" w:afterAutospacing="0" w:line="360" w:lineRule="auto"/>
        <w:ind w:firstLine="420"/>
        <w:rPr>
          <w:sz w:val="21"/>
          <w:szCs w:val="21"/>
        </w:rPr>
      </w:pPr>
      <w:bookmarkStart w:id="209" w:name="chapter_level1_24_3499_section_1"/>
      <w:bookmarkEnd w:id="209"/>
      <w:bookmarkStart w:id="210" w:name="field_0_bsrevealinfo_1_start"/>
      <w:bookmarkEnd w:id="210"/>
      <w:r>
        <w:rPr>
          <w:rFonts w:hint="eastAsia"/>
          <w:sz w:val="21"/>
          <w:szCs w:val="21"/>
        </w:rPr>
        <w:t xml:space="preserve">（一）、 2022年08月31日，我公司公告了《博时军工主题股票型证券投资基金2022年中期报告》； </w:t>
      </w:r>
    </w:p>
    <w:p>
      <w:pPr>
        <w:pStyle w:val="7"/>
        <w:spacing w:before="0" w:beforeAutospacing="0" w:after="0" w:afterAutospacing="0" w:line="360" w:lineRule="auto"/>
        <w:ind w:firstLine="420"/>
        <w:rPr>
          <w:sz w:val="21"/>
          <w:szCs w:val="21"/>
        </w:rPr>
      </w:pPr>
      <w:r>
        <w:rPr>
          <w:rFonts w:hint="eastAsia"/>
          <w:sz w:val="21"/>
          <w:szCs w:val="21"/>
        </w:rPr>
        <w:t xml:space="preserve">（二）、 2022年08月29日，我公司公告了《博时基金管理有限公司关于直销网上交易开通广发银行快捷开户和支付服务及费率优惠的公告》； </w:t>
      </w:r>
    </w:p>
    <w:p>
      <w:pPr>
        <w:pStyle w:val="7"/>
        <w:spacing w:before="0" w:beforeAutospacing="0" w:after="0" w:afterAutospacing="0" w:line="360" w:lineRule="auto"/>
        <w:ind w:firstLine="420"/>
        <w:rPr>
          <w:sz w:val="21"/>
          <w:szCs w:val="21"/>
        </w:rPr>
      </w:pPr>
      <w:r>
        <w:rPr>
          <w:rFonts w:hint="eastAsia"/>
          <w:sz w:val="21"/>
          <w:szCs w:val="21"/>
        </w:rPr>
        <w:t xml:space="preserve">（三）、 2022年08月25日，我公司公告了《博时军工主题股票型证券投资基金（博时军工主题股票A）基金产品资料概要更新》、《博时军工主题股票型证券投资基金（博时军工主题股票C）基金产品资料概要更新》； </w:t>
      </w:r>
    </w:p>
    <w:p>
      <w:pPr>
        <w:pStyle w:val="7"/>
        <w:spacing w:before="0" w:beforeAutospacing="0" w:after="0" w:afterAutospacing="0" w:line="360" w:lineRule="auto"/>
        <w:ind w:firstLine="420"/>
        <w:rPr>
          <w:sz w:val="21"/>
          <w:szCs w:val="21"/>
        </w:rPr>
      </w:pPr>
      <w:r>
        <w:rPr>
          <w:rFonts w:hint="eastAsia"/>
          <w:sz w:val="21"/>
          <w:szCs w:val="21"/>
        </w:rPr>
        <w:t xml:space="preserve">（四）、 2022年08月22日，我公司公告了《博时基金管理有限公司旗下基金在兴业银行钱大掌柜开展费率优惠活动的公告》； </w:t>
      </w:r>
    </w:p>
    <w:p>
      <w:pPr>
        <w:pStyle w:val="7"/>
        <w:spacing w:before="0" w:beforeAutospacing="0" w:after="0" w:afterAutospacing="0" w:line="360" w:lineRule="auto"/>
        <w:ind w:firstLine="420"/>
        <w:rPr>
          <w:sz w:val="21"/>
          <w:szCs w:val="21"/>
        </w:rPr>
      </w:pPr>
      <w:r>
        <w:rPr>
          <w:rFonts w:hint="eastAsia"/>
          <w:sz w:val="21"/>
          <w:szCs w:val="21"/>
        </w:rPr>
        <w:t xml:space="preserve">（五）、 2022年07月21日，我公司公告了《博时军工主题股票型证券投资基金2022年第2季度报告》； </w:t>
      </w:r>
    </w:p>
    <w:p>
      <w:pPr>
        <w:pStyle w:val="7"/>
        <w:spacing w:before="0" w:beforeAutospacing="0" w:after="0" w:afterAutospacing="0" w:line="360" w:lineRule="auto"/>
        <w:ind w:firstLine="420"/>
        <w:rPr>
          <w:sz w:val="21"/>
          <w:szCs w:val="21"/>
        </w:rPr>
      </w:pPr>
      <w:r>
        <w:rPr>
          <w:rFonts w:hint="eastAsia"/>
          <w:sz w:val="21"/>
          <w:szCs w:val="21"/>
        </w:rPr>
        <w:t xml:space="preserve">（六）、 2022年07月18日，我公司公告了《博时基金管理有限公司关于旗下所有前端收费模式基金在直销柜台实施费率优惠的公告》； </w:t>
      </w:r>
    </w:p>
    <w:p>
      <w:pPr>
        <w:pStyle w:val="7"/>
        <w:spacing w:before="0" w:beforeAutospacing="0" w:after="0" w:afterAutospacing="0" w:line="360" w:lineRule="auto"/>
        <w:ind w:firstLine="420"/>
        <w:rPr>
          <w:sz w:val="21"/>
          <w:szCs w:val="21"/>
        </w:rPr>
      </w:pPr>
      <w:r>
        <w:rPr>
          <w:rFonts w:hint="eastAsia"/>
          <w:sz w:val="21"/>
          <w:szCs w:val="21"/>
        </w:rPr>
        <w:t xml:space="preserve">（七）、 2022年07月16日，我公司公告了《博时基金管理有限公司关于暂停北京微动利基金销售有限公司办理旗下基金相关销售业务的公告》、《博时基金管理有限公司关于暂停喜鹊财富基金销售有限公司办理旗下基金相关销售业务的公告》； </w:t>
      </w:r>
    </w:p>
    <w:p>
      <w:pPr>
        <w:pStyle w:val="7"/>
        <w:spacing w:before="0" w:beforeAutospacing="0" w:after="0" w:afterAutospacing="0" w:line="360" w:lineRule="auto"/>
        <w:ind w:firstLine="420"/>
        <w:rPr>
          <w:sz w:val="21"/>
          <w:szCs w:val="21"/>
        </w:rPr>
      </w:pPr>
      <w:r>
        <w:rPr>
          <w:rFonts w:hint="eastAsia"/>
          <w:sz w:val="21"/>
          <w:szCs w:val="21"/>
        </w:rPr>
        <w:t xml:space="preserve">（八）、 2022年07月05日，我公司公告了《博时基金管理有限公司关于部分基金在招赢通平台开展费率优惠活动的公告》； </w:t>
      </w:r>
    </w:p>
    <w:p>
      <w:pPr>
        <w:pStyle w:val="7"/>
        <w:spacing w:before="0" w:beforeAutospacing="0" w:after="0" w:afterAutospacing="0" w:line="360" w:lineRule="auto"/>
        <w:ind w:firstLine="420"/>
        <w:rPr>
          <w:sz w:val="21"/>
          <w:szCs w:val="21"/>
        </w:rPr>
      </w:pPr>
      <w:r>
        <w:rPr>
          <w:rFonts w:hint="eastAsia"/>
          <w:sz w:val="21"/>
          <w:szCs w:val="21"/>
        </w:rPr>
        <w:t xml:space="preserve">（九）、 2022年07月04日，我公司公告了《博时军工主题股票型证券投资基金（博时军工主题股票A）基金产品资料概要更新》、《博时军工主题股票型证券投资基金（博时军工主题股票C）基金产品资料概要更新》； </w:t>
      </w:r>
    </w:p>
    <w:p>
      <w:pPr>
        <w:pStyle w:val="7"/>
        <w:spacing w:before="0" w:beforeAutospacing="0" w:after="0" w:afterAutospacing="0" w:line="360" w:lineRule="auto"/>
        <w:ind w:firstLine="420"/>
        <w:rPr>
          <w:sz w:val="21"/>
          <w:szCs w:val="21"/>
        </w:rPr>
      </w:pPr>
      <w:r>
        <w:rPr>
          <w:rFonts w:hint="eastAsia"/>
          <w:sz w:val="21"/>
          <w:szCs w:val="21"/>
        </w:rPr>
        <w:t xml:space="preserve">（十）、 2022年07月01日，我公司公告了《博时军工主题股票型证券投资基金更新招募说明书》、《博时基金管理有限公司关于博时军工主题股票型证券投资基金的基金经理变更的公告》； </w:t>
      </w:r>
    </w:p>
    <w:p>
      <w:pPr>
        <w:pStyle w:val="7"/>
        <w:spacing w:before="0" w:beforeAutospacing="0" w:after="0" w:afterAutospacing="0" w:line="360" w:lineRule="auto"/>
        <w:ind w:firstLine="420"/>
        <w:rPr>
          <w:sz w:val="21"/>
          <w:szCs w:val="21"/>
        </w:rPr>
      </w:pPr>
      <w:r>
        <w:rPr>
          <w:rFonts w:hint="eastAsia"/>
          <w:sz w:val="21"/>
          <w:szCs w:val="21"/>
        </w:rPr>
        <w:t xml:space="preserve">（十一）、 2022年04月30日，我公司公告了《博时基金管理有限公司关于旗下基金持有的长期停牌股票调整估值方法的公告-20220430》； </w:t>
      </w:r>
    </w:p>
    <w:p>
      <w:pPr>
        <w:pStyle w:val="7"/>
        <w:spacing w:before="0" w:beforeAutospacing="0" w:after="0" w:afterAutospacing="0" w:line="360" w:lineRule="auto"/>
        <w:ind w:firstLine="420"/>
        <w:rPr>
          <w:sz w:val="21"/>
          <w:szCs w:val="21"/>
        </w:rPr>
      </w:pPr>
      <w:r>
        <w:rPr>
          <w:rFonts w:hint="eastAsia"/>
          <w:sz w:val="21"/>
          <w:szCs w:val="21"/>
        </w:rPr>
        <w:t xml:space="preserve">（十二）、 2022年04月22日，我公司公告了《博时军工主题股票型证券投资基金2022年第1季度报告》； </w:t>
      </w:r>
    </w:p>
    <w:p>
      <w:pPr>
        <w:pStyle w:val="7"/>
        <w:spacing w:before="0" w:beforeAutospacing="0" w:after="0" w:afterAutospacing="0" w:line="360" w:lineRule="auto"/>
        <w:ind w:firstLine="420"/>
        <w:rPr>
          <w:sz w:val="21"/>
          <w:szCs w:val="21"/>
        </w:rPr>
      </w:pPr>
      <w:r>
        <w:rPr>
          <w:rFonts w:hint="eastAsia"/>
          <w:sz w:val="21"/>
          <w:szCs w:val="21"/>
        </w:rPr>
        <w:t xml:space="preserve">（十三）、 2022年03月30日，我公司公告了《博时军工主题股票型证券投资基金2021年年度报告》； </w:t>
      </w:r>
    </w:p>
    <w:p>
      <w:pPr>
        <w:pStyle w:val="7"/>
        <w:spacing w:before="0" w:beforeAutospacing="0" w:after="0" w:afterAutospacing="0" w:line="360" w:lineRule="auto"/>
        <w:ind w:firstLine="420"/>
        <w:rPr>
          <w:sz w:val="21"/>
          <w:szCs w:val="21"/>
        </w:rPr>
      </w:pPr>
      <w:r>
        <w:rPr>
          <w:rFonts w:hint="eastAsia"/>
          <w:sz w:val="21"/>
          <w:szCs w:val="21"/>
        </w:rPr>
        <w:t xml:space="preserve">（十四）、 2022年03月14日，我公司公告了《博时基金管理有限公司关于调整直销网上交易定期投资业务影响部分定期投资计划的公告》； </w:t>
      </w:r>
    </w:p>
    <w:p>
      <w:pPr>
        <w:pStyle w:val="7"/>
        <w:spacing w:before="0" w:beforeAutospacing="0" w:after="0" w:afterAutospacing="0" w:line="360" w:lineRule="auto"/>
        <w:ind w:firstLine="420"/>
        <w:rPr>
          <w:sz w:val="21"/>
          <w:szCs w:val="21"/>
        </w:rPr>
      </w:pPr>
      <w:r>
        <w:rPr>
          <w:rFonts w:hint="eastAsia"/>
          <w:sz w:val="21"/>
          <w:szCs w:val="21"/>
        </w:rPr>
        <w:t xml:space="preserve">（十五）、 2022年02月11日，我公司公告了《博时基金管理有限公司关于部分基金在青岛农商银行直销银行开展费率优惠活动的公告》； </w:t>
      </w:r>
    </w:p>
    <w:p>
      <w:pPr>
        <w:pStyle w:val="7"/>
        <w:spacing w:before="0" w:beforeAutospacing="0" w:after="0" w:afterAutospacing="0" w:line="360" w:lineRule="auto"/>
        <w:ind w:firstLine="420"/>
        <w:rPr>
          <w:sz w:val="21"/>
          <w:szCs w:val="21"/>
        </w:rPr>
      </w:pPr>
      <w:r>
        <w:rPr>
          <w:rFonts w:hint="eastAsia"/>
          <w:sz w:val="21"/>
          <w:szCs w:val="21"/>
        </w:rPr>
        <w:t xml:space="preserve">（十六）、 2022年01月28日，我公司公告了《博时基金管理有限公司关于公司固有资金投资旗下公募基金的公告》； </w:t>
      </w:r>
    </w:p>
    <w:p>
      <w:pPr>
        <w:pStyle w:val="7"/>
        <w:spacing w:before="0" w:beforeAutospacing="0" w:after="0" w:afterAutospacing="0" w:line="360" w:lineRule="auto"/>
        <w:ind w:firstLine="420"/>
        <w:rPr>
          <w:sz w:val="21"/>
          <w:szCs w:val="21"/>
        </w:rPr>
      </w:pPr>
      <w:r>
        <w:rPr>
          <w:rFonts w:hint="eastAsia"/>
          <w:sz w:val="21"/>
          <w:szCs w:val="21"/>
        </w:rPr>
        <w:t xml:space="preserve">（十七）、 2022年01月24日，我公司公告了《博时军工主题股票型证券投资基金2021年第4季度报告》； </w:t>
      </w:r>
    </w:p>
    <w:p>
      <w:pPr>
        <w:pStyle w:val="7"/>
        <w:spacing w:before="0" w:beforeAutospacing="0" w:after="0" w:afterAutospacing="0" w:line="360" w:lineRule="auto"/>
        <w:ind w:firstLine="420"/>
        <w:rPr>
          <w:sz w:val="21"/>
          <w:szCs w:val="21"/>
        </w:rPr>
      </w:pPr>
      <w:r>
        <w:rPr>
          <w:rFonts w:hint="eastAsia"/>
          <w:sz w:val="21"/>
          <w:szCs w:val="21"/>
        </w:rPr>
        <w:t xml:space="preserve">（十八）、 2022年01月21日，我公司公告了《博时基金管理有限公司关于旗下基金持有的长期停牌股票调整估值方法的公告-20220121》； </w:t>
      </w:r>
    </w:p>
    <w:p>
      <w:pPr>
        <w:pStyle w:val="7"/>
        <w:spacing w:before="0" w:beforeAutospacing="0" w:after="0" w:afterAutospacing="0" w:line="360" w:lineRule="auto"/>
        <w:ind w:firstLine="420"/>
        <w:rPr>
          <w:sz w:val="21"/>
          <w:szCs w:val="21"/>
        </w:rPr>
      </w:pPr>
      <w:r>
        <w:rPr>
          <w:rFonts w:hint="eastAsia"/>
          <w:sz w:val="21"/>
          <w:szCs w:val="21"/>
        </w:rPr>
        <w:t xml:space="preserve">（十九）、 2022年01月20日，我公司公告了《关于成立博时财富基金销售有限公司的公告》； </w:t>
      </w:r>
    </w:p>
    <w:p>
      <w:pPr>
        <w:pStyle w:val="7"/>
        <w:spacing w:before="0" w:beforeAutospacing="0" w:after="0" w:afterAutospacing="0" w:line="360" w:lineRule="auto"/>
        <w:ind w:firstLine="420"/>
        <w:rPr>
          <w:sz w:val="21"/>
          <w:szCs w:val="21"/>
        </w:rPr>
      </w:pPr>
      <w:r>
        <w:rPr>
          <w:rFonts w:hint="eastAsia"/>
          <w:sz w:val="21"/>
          <w:szCs w:val="21"/>
        </w:rPr>
        <w:t xml:space="preserve">（二十）、 2022年01月18日，我公司公告了《博时基金管理有限公司关于旗下基金投资关联方承销期内承销证券的公告》； </w:t>
      </w:r>
    </w:p>
    <w:p>
      <w:pPr>
        <w:pStyle w:val="7"/>
        <w:spacing w:before="0" w:beforeAutospacing="0" w:after="0" w:afterAutospacing="0" w:line="360" w:lineRule="auto"/>
        <w:ind w:firstLine="420"/>
        <w:rPr>
          <w:sz w:val="21"/>
          <w:szCs w:val="21"/>
        </w:rPr>
      </w:pPr>
      <w:r>
        <w:rPr>
          <w:rFonts w:hint="eastAsia"/>
          <w:sz w:val="21"/>
          <w:szCs w:val="21"/>
        </w:rPr>
        <w:t xml:space="preserve">（二十一）、 2022年01月06日，我公司公告了《博时基金管理有限公司关于暂停使用交通银行非快捷支付服务办理直销网上交易部分业务的公告》； </w:t>
      </w:r>
    </w:p>
    <w:p>
      <w:pPr>
        <w:pStyle w:val="7"/>
        <w:spacing w:before="0" w:beforeAutospacing="0" w:after="0" w:afterAutospacing="0" w:line="360" w:lineRule="auto"/>
        <w:ind w:firstLine="420"/>
        <w:rPr>
          <w:sz w:val="21"/>
          <w:szCs w:val="21"/>
        </w:rPr>
      </w:pPr>
      <w:r>
        <w:rPr>
          <w:rFonts w:hint="eastAsia"/>
          <w:sz w:val="21"/>
          <w:szCs w:val="21"/>
        </w:rPr>
        <w:t xml:space="preserve">（二十二）、 2022年01月04日，我公司公告了《博时基金管理有限公司关于直销网上交易开通交通银行快捷开户和支付服务及费率优惠的公告》； </w:t>
      </w:r>
    </w:p>
    <w:p>
      <w:pPr>
        <w:pStyle w:val="7"/>
        <w:spacing w:before="0" w:beforeAutospacing="0" w:after="0" w:afterAutospacing="0" w:line="360" w:lineRule="auto"/>
        <w:ind w:firstLine="420"/>
        <w:rPr>
          <w:sz w:val="21"/>
          <w:szCs w:val="21"/>
        </w:rPr>
      </w:pPr>
      <w:r>
        <w:rPr>
          <w:rFonts w:hint="eastAsia"/>
          <w:sz w:val="21"/>
          <w:szCs w:val="21"/>
        </w:rPr>
        <w:t xml:space="preserve">（二十三）、 2022年01月01日，我公司公告了《博时基金管理有限公司关于对投资者在直销网上交易申购、认购及定投基金实施费率优惠的公告》、《博时基金管理有限公司关于旗下公开募集证券投资基金执行新金融工具准则的公告》； </w:t>
      </w:r>
    </w:p>
    <w:p>
      <w:pPr>
        <w:pStyle w:val="7"/>
        <w:spacing w:before="0" w:beforeAutospacing="0" w:after="0" w:afterAutospacing="0" w:line="360" w:lineRule="auto"/>
        <w:ind w:firstLine="420"/>
        <w:rPr>
          <w:sz w:val="21"/>
          <w:szCs w:val="21"/>
        </w:rPr>
      </w:pPr>
      <w:r>
        <w:rPr>
          <w:rFonts w:hint="eastAsia"/>
          <w:sz w:val="21"/>
          <w:szCs w:val="21"/>
        </w:rPr>
        <w:t xml:space="preserve">（二十四）、 2021年11月26日，我公司公告了《博时基金管理有限公司关于旗下部分公开募集证券投资基金可投资北京证券交易所股票的公告》； </w:t>
      </w:r>
    </w:p>
    <w:p>
      <w:pPr>
        <w:pStyle w:val="7"/>
        <w:spacing w:before="0" w:beforeAutospacing="0" w:after="0" w:afterAutospacing="0" w:line="360" w:lineRule="auto"/>
        <w:ind w:firstLine="420"/>
        <w:rPr>
          <w:sz w:val="21"/>
          <w:szCs w:val="21"/>
        </w:rPr>
      </w:pPr>
      <w:r>
        <w:rPr>
          <w:rFonts w:hint="eastAsia"/>
          <w:sz w:val="21"/>
          <w:szCs w:val="21"/>
        </w:rPr>
        <w:t xml:space="preserve">（二十五）、 2021年11月05日，我公司公告了《关于博时基金管理有限公司旗下部分基金投资非公开发行股票的公告20211105》； </w:t>
      </w:r>
    </w:p>
    <w:p>
      <w:pPr>
        <w:pStyle w:val="7"/>
        <w:spacing w:before="0" w:beforeAutospacing="0" w:after="0" w:afterAutospacing="0" w:line="360" w:lineRule="auto"/>
        <w:ind w:firstLine="420"/>
        <w:rPr>
          <w:sz w:val="21"/>
          <w:szCs w:val="21"/>
        </w:rPr>
      </w:pPr>
      <w:r>
        <w:rPr>
          <w:rFonts w:hint="eastAsia"/>
          <w:sz w:val="21"/>
          <w:szCs w:val="21"/>
        </w:rPr>
        <w:t xml:space="preserve">（二十六）、 2021年10月29日，我公司公告了《博时基金管理有限公司关于调整旗下部分基金的申购、赎回、定投、转换起点金额及最低持有数量限制的公告 .》、《博时军工主题股票型证券投资基金更新招募说明书》； </w:t>
      </w:r>
    </w:p>
    <w:p>
      <w:pPr>
        <w:pStyle w:val="7"/>
        <w:spacing w:before="0" w:beforeAutospacing="0" w:after="0" w:afterAutospacing="0" w:line="360" w:lineRule="auto"/>
        <w:ind w:firstLine="420"/>
        <w:rPr>
          <w:sz w:val="21"/>
          <w:szCs w:val="21"/>
        </w:rPr>
      </w:pPr>
      <w:r>
        <w:rPr>
          <w:rFonts w:hint="eastAsia"/>
          <w:sz w:val="21"/>
          <w:szCs w:val="21"/>
        </w:rPr>
        <w:t xml:space="preserve">（二十七）、 2021年10月27日，我公司公告了《博时军工主题股票型证券投资基金2021年第3季度报告》； </w:t>
      </w:r>
    </w:p>
    <w:p>
      <w:pPr>
        <w:pStyle w:val="7"/>
        <w:spacing w:before="0" w:beforeAutospacing="0" w:after="0" w:afterAutospacing="0" w:line="360" w:lineRule="auto"/>
        <w:ind w:firstLine="420"/>
        <w:rPr>
          <w:sz w:val="21"/>
          <w:szCs w:val="21"/>
        </w:rPr>
      </w:pPr>
      <w:r>
        <w:rPr>
          <w:rFonts w:hint="eastAsia"/>
          <w:sz w:val="21"/>
          <w:szCs w:val="21"/>
        </w:rPr>
        <w:t xml:space="preserve">（二十八）、 2021年09月30日，我公司公告了《博时基金管理有限公司关于对投资者在直销网上交易申购、认购及定投基金实施费率优惠的公告》、《博时军工主题股票型证券投资基金更新招募说明书》； </w:t>
      </w:r>
    </w:p>
    <w:p>
      <w:pPr>
        <w:pStyle w:val="7"/>
        <w:spacing w:before="0" w:beforeAutospacing="0" w:after="0" w:afterAutospacing="0" w:line="360" w:lineRule="auto"/>
        <w:ind w:firstLine="420"/>
        <w:rPr>
          <w:sz w:val="21"/>
          <w:szCs w:val="21"/>
        </w:rPr>
      </w:pPr>
      <w:r>
        <w:rPr>
          <w:rFonts w:hint="eastAsia"/>
          <w:sz w:val="21"/>
          <w:szCs w:val="21"/>
        </w:rPr>
        <w:t xml:space="preserve">（二十九）、 2021年09月28日，我公司公告了《博时基金管理有限公司关于旗下基金持有的长期停牌股票调整估值方法的公告-20210928》； </w:t>
      </w:r>
    </w:p>
    <w:p>
      <w:pPr>
        <w:pStyle w:val="7"/>
        <w:spacing w:before="0" w:beforeAutospacing="0" w:after="0" w:afterAutospacing="0" w:line="360" w:lineRule="auto"/>
        <w:ind w:firstLine="420"/>
        <w:rPr>
          <w:sz w:val="21"/>
          <w:szCs w:val="21"/>
        </w:rPr>
      </w:pPr>
      <w:r>
        <w:rPr>
          <w:rFonts w:hint="eastAsia"/>
          <w:sz w:val="21"/>
          <w:szCs w:val="21"/>
        </w:rPr>
        <w:t>（三十）、 2021年08月31日，我公司公告了《博时军工主题股票型证券投资基金</w:t>
      </w:r>
      <w:bookmarkStart w:id="211" w:name="chapter_level1_24_3499_section_1_end"/>
      <w:bookmarkEnd w:id="211"/>
      <w:r>
        <w:rPr>
          <w:rFonts w:hint="eastAsia"/>
          <w:sz w:val="21"/>
          <w:szCs w:val="21"/>
        </w:rPr>
        <w:t>2021年中期报告》。</w:t>
      </w:r>
      <w:bookmarkStart w:id="212" w:name="field_0_bsrevealinfo_1_end"/>
      <w:bookmarkEnd w:id="212"/>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3" w:name="_Toc113560433"/>
      <w:bookmarkStart w:id="214" w:name="chapter_level1_25_77"/>
      <w:r>
        <w:rPr>
          <w:rFonts w:hint="eastAsia" w:ascii="宋体" w:hAnsi="宋体" w:eastAsia="宋体"/>
          <w:sz w:val="30"/>
        </w:rPr>
        <w:t>第二十二部分  招募说明书存放及查阅方式</w:t>
      </w:r>
      <w:bookmarkEnd w:id="213"/>
      <w:bookmarkEnd w:id="214"/>
    </w:p>
    <w:p>
      <w:pPr>
        <w:pStyle w:val="7"/>
        <w:spacing w:before="0" w:beforeAutospacing="0" w:after="0" w:afterAutospacing="0" w:line="360" w:lineRule="auto"/>
        <w:ind w:firstLine="420"/>
        <w:rPr>
          <w:sz w:val="21"/>
          <w:szCs w:val="21"/>
        </w:rPr>
      </w:pPr>
      <w:bookmarkStart w:id="215" w:name="chapter_level1_25_77_section_1"/>
      <w:bookmarkEnd w:id="215"/>
      <w:r>
        <w:rPr>
          <w:rFonts w:hint="eastAsia"/>
          <w:sz w:val="21"/>
          <w:szCs w:val="21"/>
        </w:rPr>
        <w:t xml:space="preserve">依法必须披露的信息发布后，基金管理人、基金托管人应当按照相关法律法规规定将信息置备于公司住所，以供公众查阅、复制；投资人在支付工本费后，可在合理时间内取得上述文件复制件或复印件。对投资人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16" w:name="chapter_level1_25_77_section_1_end"/>
      <w:bookmarkEnd w:id="216"/>
      <w:r>
        <w:rPr>
          <w:rFonts w:hint="eastAsia"/>
          <w:sz w:val="21"/>
          <w:szCs w:val="21"/>
        </w:rPr>
        <w:t xml:space="preserve">投资人还可以直接登录基金管理人的网站（www.bosera.com）查阅和下载招募说明书。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7" w:name="chapter_level1_26_332"/>
      <w:bookmarkStart w:id="218" w:name="_Toc113560434"/>
      <w:r>
        <w:rPr>
          <w:rFonts w:hint="eastAsia" w:ascii="宋体" w:hAnsi="宋体" w:eastAsia="宋体"/>
          <w:sz w:val="30"/>
        </w:rPr>
        <w:t>第二十三部分  备查文件</w:t>
      </w:r>
      <w:bookmarkEnd w:id="217"/>
      <w:bookmarkEnd w:id="218"/>
    </w:p>
    <w:p>
      <w:pPr>
        <w:pStyle w:val="7"/>
        <w:spacing w:before="0" w:beforeAutospacing="0" w:after="0" w:afterAutospacing="0" w:line="360" w:lineRule="auto"/>
        <w:ind w:firstLine="420"/>
        <w:rPr>
          <w:sz w:val="21"/>
          <w:szCs w:val="21"/>
        </w:rPr>
      </w:pPr>
      <w:bookmarkStart w:id="219" w:name="chapter_level1_26_332_section_1"/>
      <w:bookmarkEnd w:id="219"/>
      <w:r>
        <w:rPr>
          <w:rFonts w:hint="eastAsia"/>
          <w:sz w:val="21"/>
          <w:szCs w:val="21"/>
        </w:rPr>
        <w:t xml:space="preserve">以下备查文件存放在基金管理人的办公场所，在办公时间可供免费查阅。  </w:t>
      </w:r>
    </w:p>
    <w:p>
      <w:pPr>
        <w:pStyle w:val="7"/>
        <w:spacing w:before="0" w:beforeAutospacing="0" w:after="0" w:afterAutospacing="0" w:line="360" w:lineRule="auto"/>
        <w:ind w:firstLine="420"/>
        <w:rPr>
          <w:sz w:val="21"/>
          <w:szCs w:val="21"/>
        </w:rPr>
      </w:pPr>
      <w:r>
        <w:rPr>
          <w:rFonts w:hint="eastAsia"/>
          <w:sz w:val="21"/>
          <w:szCs w:val="21"/>
        </w:rPr>
        <w:t>（一）中国证监会准予</w:t>
      </w:r>
      <w:bookmarkStart w:id="220" w:name="field_0_productfullname_12"/>
      <w:r>
        <w:rPr>
          <w:rFonts w:hint="eastAsia"/>
          <w:sz w:val="21"/>
          <w:szCs w:val="21"/>
        </w:rPr>
        <w:t>博时军工主题股票型证券投资基金</w:t>
      </w:r>
      <w:bookmarkEnd w:id="220"/>
      <w:r>
        <w:rPr>
          <w:rFonts w:hint="eastAsia"/>
          <w:sz w:val="21"/>
          <w:szCs w:val="21"/>
        </w:rPr>
        <w:t xml:space="preserve">募集的文件 </w:t>
      </w:r>
    </w:p>
    <w:p>
      <w:pPr>
        <w:pStyle w:val="7"/>
        <w:spacing w:before="0" w:beforeAutospacing="0" w:after="0" w:afterAutospacing="0" w:line="360" w:lineRule="auto"/>
        <w:ind w:firstLine="420"/>
        <w:rPr>
          <w:sz w:val="21"/>
          <w:szCs w:val="21"/>
        </w:rPr>
      </w:pPr>
      <w:r>
        <w:rPr>
          <w:rFonts w:hint="eastAsia"/>
          <w:sz w:val="21"/>
          <w:szCs w:val="21"/>
        </w:rPr>
        <w:t>（二）《</w:t>
      </w:r>
      <w:bookmarkStart w:id="221" w:name="field_0_productfullname_13"/>
      <w:r>
        <w:rPr>
          <w:rFonts w:hint="eastAsia"/>
          <w:sz w:val="21"/>
          <w:szCs w:val="21"/>
        </w:rPr>
        <w:t>博时军工主题股票型证券投资基金</w:t>
      </w:r>
      <w:bookmarkEnd w:id="221"/>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（三）《</w:t>
      </w:r>
      <w:bookmarkStart w:id="222" w:name="field_0_productfullname_14"/>
      <w:r>
        <w:rPr>
          <w:rFonts w:hint="eastAsia"/>
          <w:sz w:val="21"/>
          <w:szCs w:val="21"/>
        </w:rPr>
        <w:t>博时军工主题股票型证券投资基金</w:t>
      </w:r>
      <w:bookmarkEnd w:id="222"/>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（四）基金管理人业务资格批件、营业执照 </w:t>
      </w:r>
    </w:p>
    <w:p>
      <w:pPr>
        <w:pStyle w:val="7"/>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（六）关于申请募集注册</w:t>
      </w:r>
      <w:bookmarkStart w:id="223" w:name="field_0_productfullname_15"/>
      <w:r>
        <w:rPr>
          <w:rFonts w:hint="eastAsia"/>
          <w:sz w:val="21"/>
          <w:szCs w:val="21"/>
        </w:rPr>
        <w:t>博时军工主题股票型证券投资基金</w:t>
      </w:r>
      <w:bookmarkEnd w:id="223"/>
      <w:r>
        <w:rPr>
          <w:rFonts w:hint="eastAsia"/>
          <w:sz w:val="21"/>
          <w:szCs w:val="21"/>
        </w:rPr>
        <w:t xml:space="preserve">之法律意见书 </w:t>
      </w:r>
    </w:p>
    <w:p>
      <w:pPr>
        <w:pStyle w:val="7"/>
        <w:spacing w:before="0" w:beforeAutospacing="0" w:after="0" w:afterAutospacing="0" w:line="360" w:lineRule="auto"/>
        <w:ind w:firstLine="420"/>
        <w:rPr>
          <w:sz w:val="21"/>
          <w:szCs w:val="21"/>
        </w:rPr>
      </w:pPr>
      <w:r>
        <w:rPr>
          <w:rFonts w:hint="eastAsia"/>
          <w:sz w:val="21"/>
          <w:szCs w:val="21"/>
        </w:rPr>
        <w:t xml:space="preserve">（七）中国证监会要求的其他文件 </w:t>
      </w:r>
    </w:p>
    <w:p>
      <w:pPr>
        <w:pStyle w:val="7"/>
        <w:spacing w:before="0" w:beforeAutospacing="0" w:after="0" w:afterAutospacing="0" w:line="360" w:lineRule="auto"/>
        <w:ind w:firstLine="420"/>
        <w:rPr>
          <w:sz w:val="21"/>
          <w:szCs w:val="21"/>
        </w:rPr>
      </w:pPr>
      <w:r>
        <w:rPr>
          <w:rFonts w:hint="eastAsia"/>
          <w:sz w:val="21"/>
          <w:szCs w:val="21"/>
        </w:rPr>
        <w:t xml:space="preserve">查阅方式：投资者可在营业时间免费查阅，也可按工本费购买复印件。 </w:t>
      </w:r>
    </w:p>
    <w:p>
      <w:pPr>
        <w:pStyle w:val="7"/>
        <w:spacing w:before="0" w:beforeAutospacing="0" w:after="0" w:afterAutospacing="0" w:line="360" w:lineRule="auto"/>
        <w:ind w:firstLine="420"/>
        <w:rPr>
          <w:sz w:val="21"/>
          <w:szCs w:val="21"/>
        </w:rPr>
      </w:pPr>
      <w:bookmarkStart w:id="228" w:name="_GoBack"/>
      <w:bookmarkEnd w:id="228"/>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24" w:name="field_0_managerorgfullname_7"/>
      <w:r>
        <w:rPr>
          <w:rFonts w:hint="eastAsia"/>
          <w:sz w:val="21"/>
          <w:szCs w:val="21"/>
        </w:rPr>
        <w:t>博时基金管理有限公司</w:t>
      </w:r>
      <w:bookmarkEnd w:id="224"/>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25" w:name="chapter_level1_26_332_section_1_end"/>
      <w:bookmarkEnd w:id="225"/>
      <w:bookmarkStart w:id="226" w:name="field_0_commitmenttime_1"/>
      <w:r>
        <w:rPr>
          <w:sz w:val="21"/>
          <w:szCs w:val="21"/>
        </w:rPr>
        <w:t>202</w:t>
      </w:r>
      <w:r>
        <w:rPr>
          <w:rFonts w:hint="eastAsia"/>
          <w:sz w:val="21"/>
          <w:szCs w:val="21"/>
          <w:lang w:val="en-US" w:eastAsia="zh-CN"/>
        </w:rPr>
        <w:t>3</w:t>
      </w:r>
      <w:r>
        <w:rPr>
          <w:sz w:val="21"/>
          <w:szCs w:val="21"/>
        </w:rPr>
        <w:t>年</w:t>
      </w:r>
      <w:r>
        <w:rPr>
          <w:rFonts w:hint="eastAsia"/>
          <w:sz w:val="21"/>
          <w:szCs w:val="21"/>
          <w:lang w:val="en-US" w:eastAsia="zh-CN"/>
        </w:rPr>
        <w:t>7</w:t>
      </w:r>
      <w:r>
        <w:rPr>
          <w:sz w:val="21"/>
          <w:szCs w:val="21"/>
        </w:rPr>
        <w:t>月</w:t>
      </w:r>
      <w:r>
        <w:rPr>
          <w:rFonts w:hint="eastAsia"/>
          <w:sz w:val="21"/>
          <w:szCs w:val="21"/>
          <w:lang w:val="en-US" w:eastAsia="zh-CN"/>
        </w:rPr>
        <w:t>10</w:t>
      </w:r>
      <w:r>
        <w:rPr>
          <w:sz w:val="21"/>
          <w:szCs w:val="21"/>
        </w:rPr>
        <w:t>日</w:t>
      </w:r>
      <w:bookmarkEnd w:id="226"/>
      <w:r>
        <w:rPr>
          <w:rFonts w:hint="eastAsia"/>
          <w:sz w:val="21"/>
          <w:szCs w:val="21"/>
        </w:rPr>
        <w:t xml:space="preserve">  </w:t>
      </w:r>
    </w:p>
    <w:p>
      <w:pPr>
        <w:rPr>
          <w:rFonts w:ascii="宋体" w:hAnsi="宋体" w:eastAsia="宋体"/>
        </w:rPr>
      </w:pPr>
      <w:bookmarkStart w:id="227" w:name="end"/>
      <w:bookmarkEnd w:id="227"/>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84</w:t>
    </w:r>
    <w:r>
      <w:fldChar w:fldCharType="end"/>
    </w:r>
    <w:r>
      <w:rPr>
        <w:rFonts w:hint="eastAsia"/>
      </w:rPr>
      <w:t>页 共</w:t>
    </w:r>
    <w:r>
      <w:fldChar w:fldCharType="begin"/>
    </w:r>
    <w:r>
      <w:instrText xml:space="preserve"> NumPages \* MERGEFORMAT </w:instrText>
    </w:r>
    <w:r>
      <w:fldChar w:fldCharType="separate"/>
    </w:r>
    <w:r>
      <w:t>151</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博时军工主题股票型证券投资基金更新招募说明书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C0"/>
    <w:rsid w:val="000B5A1B"/>
    <w:rsid w:val="00BD1EC0"/>
    <w:rsid w:val="00E80A50"/>
    <w:rsid w:val="02DF1873"/>
    <w:rsid w:val="042D3F9E"/>
    <w:rsid w:val="0FCF5E71"/>
    <w:rsid w:val="11113FF8"/>
    <w:rsid w:val="26FF6A9E"/>
    <w:rsid w:val="28DA1437"/>
    <w:rsid w:val="39B62F6B"/>
    <w:rsid w:val="3E633E0F"/>
    <w:rsid w:val="3F9D605B"/>
    <w:rsid w:val="54193E9B"/>
    <w:rsid w:val="5B8070E4"/>
    <w:rsid w:val="62902814"/>
    <w:rsid w:val="65567045"/>
    <w:rsid w:val="6E1E4C7F"/>
    <w:rsid w:val="72312939"/>
    <w:rsid w:val="76344E77"/>
    <w:rsid w:val="7C4F2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2 Char"/>
    <w:basedOn w:val="10"/>
    <w:link w:val="2"/>
    <w:qFormat/>
    <w:uiPriority w:val="9"/>
    <w:rPr>
      <w:rFonts w:asciiTheme="majorHAnsi" w:hAnsiTheme="majorHAnsi" w:eastAsiaTheme="majorEastAsia" w:cstheme="majorBidi"/>
      <w:b/>
      <w:bCs/>
      <w:sz w:val="32"/>
      <w:szCs w:val="32"/>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151</Pages>
  <Words>17673</Words>
  <Characters>100742</Characters>
  <Lines>839</Lines>
  <Paragraphs>236</Paragraphs>
  <TotalTime>0</TotalTime>
  <ScaleCrop>false</ScaleCrop>
  <LinksUpToDate>false</LinksUpToDate>
  <CharactersWithSpaces>118179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2022-09-08T12:13:00Z</dcterms:created>
  <dc:creator>BSKMadminDev</dc:creator>
  <cp:lastModifiedBy>tangl</cp:lastModifiedBy>
  <dcterms:modified xsi:type="dcterms:W3CDTF">2023-07-08T14:01:46Z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B48B90448CF9477BAA6C66068573C916</vt:lpwstr>
  </property>
</Properties>
</file>