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博时第三产业成长混合型证券投资基金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中国工商银行股份有限公司</w:t>
      </w:r>
      <w:r>
        <w:rPr>
          <w:rFonts w:ascii="宋体" w:hAnsi="宋体" w:eastAsia="宋体"/>
          <w:b/>
          <w:sz w:val="30"/>
        </w:rPr>
        <w:br w:type="page"/>
      </w:r>
    </w:p>
    <w:p>
      <w:pPr>
        <w:pStyle w:val="2"/>
        <w:jc w:val="center"/>
        <w:rPr>
          <w:rFonts w:ascii="宋体" w:hAnsi="宋体" w:eastAsia="宋体"/>
          <w:sz w:val="30"/>
        </w:rPr>
      </w:pPr>
      <w:bookmarkStart w:id="0" w:name="_Toc113453347"/>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本基金由裕元证券投资基金转型而来。基金转型经2007年3月3日裕元证券投资基金基金份额持有人大会决议通过，并获中国证监会</w:t>
      </w:r>
      <w:bookmarkStart w:id="1" w:name="field_2343_approveddate_1"/>
      <w:r>
        <w:rPr>
          <w:sz w:val="21"/>
          <w:szCs w:val="21"/>
        </w:rPr>
        <w:t>2007年3月23日</w:t>
      </w:r>
      <w:bookmarkEnd w:id="1"/>
      <w:r>
        <w:rPr>
          <w:rFonts w:hint="eastAsia"/>
          <w:sz w:val="21"/>
          <w:szCs w:val="21"/>
        </w:rPr>
        <w:t>证监基金字</w:t>
      </w:r>
      <w:bookmarkStart w:id="2" w:name="field_2343_lotnumber_1"/>
      <w:r>
        <w:rPr>
          <w:sz w:val="21"/>
          <w:szCs w:val="21"/>
        </w:rPr>
        <w:t>[2007]85</w:t>
      </w:r>
      <w:bookmarkEnd w:id="2"/>
      <w:r>
        <w:rPr>
          <w:rFonts w:hint="eastAsia"/>
          <w:sz w:val="21"/>
          <w:szCs w:val="21"/>
        </w:rPr>
        <w:t>号文核准。自</w:t>
      </w:r>
      <w:bookmarkStart w:id="3" w:name="field_0_foundday_1"/>
      <w:r>
        <w:rPr>
          <w:sz w:val="21"/>
          <w:szCs w:val="21"/>
        </w:rPr>
        <w:t>2007年4月12日</w:t>
      </w:r>
      <w:bookmarkEnd w:id="3"/>
      <w:r>
        <w:rPr>
          <w:rFonts w:hint="eastAsia"/>
          <w:sz w:val="21"/>
          <w:szCs w:val="21"/>
        </w:rPr>
        <w:t>起，由《裕元证券投资基金基金合同》修订而成的《</w:t>
      </w:r>
      <w:bookmarkStart w:id="4" w:name="field_0_productfullname_1"/>
      <w:r>
        <w:rPr>
          <w:rFonts w:hint="eastAsia"/>
          <w:sz w:val="21"/>
          <w:szCs w:val="21"/>
        </w:rPr>
        <w:t>博时第三产业成长混合型证券投资基金</w:t>
      </w:r>
      <w:bookmarkEnd w:id="4"/>
      <w:r>
        <w:rPr>
          <w:rFonts w:hint="eastAsia"/>
          <w:sz w:val="21"/>
          <w:szCs w:val="21"/>
        </w:rPr>
        <w:t xml:space="preserve">基金合同》生效。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在投资本基金前，需充分了解本基金的产品特性，并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投资者在进行投资决策前，请仔细阅读本基金的《招募说明书》、《基金合同》和基金产品资料概要等信息披露文件。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经中国证监会审核同意，但中国证监会对本基金作出的任何决定，均不表明其对本基金的价值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pPr>
        <w:pStyle w:val="7"/>
        <w:spacing w:before="0" w:beforeAutospacing="0" w:after="0" w:afterAutospacing="0" w:line="360" w:lineRule="auto"/>
        <w:ind w:firstLine="420"/>
        <w:rPr>
          <w:sz w:val="21"/>
          <w:szCs w:val="21"/>
        </w:rPr>
      </w:pPr>
      <w:r>
        <w:rPr>
          <w:rFonts w:hint="eastAsia"/>
          <w:sz w:val="21"/>
          <w:szCs w:val="21"/>
        </w:rPr>
        <w:t xml:space="preserve">基金管理人承诺以诚实信用、勤勉尽责的原则管理和运用基金资产，但不保证基金一定盈利，也不保证最低收益。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 xml:space="preserve">投资有风险，过往业绩并不代表将来业绩。基金管理人管理的其他基金的业绩并不构成新基金业绩表现的保证。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本招募说明书关于基金产品资料概要的编制、披露及更新等内容，将不晚于2020年9月1日起执行。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5" w:name="field_2343_infoendday_1"/>
      <w:r>
        <w:rPr>
          <w:sz w:val="21"/>
          <w:szCs w:val="21"/>
        </w:rPr>
        <w:t>202</w:t>
      </w:r>
      <w:r>
        <w:rPr>
          <w:rFonts w:hint="eastAsia"/>
          <w:sz w:val="21"/>
          <w:szCs w:val="21"/>
          <w:lang w:val="en-US" w:eastAsia="zh-CN"/>
        </w:rPr>
        <w:t>3</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8</w:t>
      </w:r>
      <w:r>
        <w:rPr>
          <w:sz w:val="21"/>
          <w:szCs w:val="21"/>
        </w:rPr>
        <w:t>日</w:t>
      </w:r>
      <w:bookmarkEnd w:id="5"/>
      <w:r>
        <w:rPr>
          <w:rFonts w:hint="eastAsia"/>
          <w:sz w:val="21"/>
          <w:szCs w:val="21"/>
        </w:rPr>
        <w:t>，有关财务数据和净值表现截止日为</w:t>
      </w:r>
      <w:bookmarkStart w:id="6" w:name="field_2343_financeendday_1"/>
      <w:r>
        <w:rPr>
          <w:sz w:val="21"/>
          <w:szCs w:val="21"/>
        </w:rPr>
        <w:t>2022年6月30日</w:t>
      </w:r>
      <w:bookmarkEnd w:id="6"/>
      <w:r>
        <w:rPr>
          <w:rFonts w:hint="eastAsia"/>
          <w:sz w:val="21"/>
          <w:szCs w:val="21"/>
        </w:rPr>
        <w:t xml:space="preserve"> (财务数据未经审计)。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"_Toc113453347"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_Toc113453347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"_Toc113453348" </w:instrText>
      </w:r>
      <w:r>
        <w:fldChar w:fldCharType="separate"/>
      </w:r>
      <w:r>
        <w:rPr>
          <w:rStyle w:val="12"/>
          <w:rFonts w:hint="eastAsia" w:ascii="宋体" w:hAnsi="宋体" w:eastAsia="宋体"/>
          <w:u w:val="none"/>
        </w:rPr>
        <w:t>一、绪言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_Toc113453348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"_Toc113453349" </w:instrText>
      </w:r>
      <w:r>
        <w:fldChar w:fldCharType="separate"/>
      </w:r>
      <w:r>
        <w:rPr>
          <w:rStyle w:val="12"/>
          <w:rFonts w:hint="eastAsia" w:ascii="宋体" w:hAnsi="宋体" w:eastAsia="宋体"/>
          <w:u w:val="none"/>
        </w:rPr>
        <w:t>二、释义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_Toc113453349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"_Toc113453350" </w:instrText>
      </w:r>
      <w:r>
        <w:fldChar w:fldCharType="separate"/>
      </w:r>
      <w:r>
        <w:rPr>
          <w:rStyle w:val="12"/>
          <w:rFonts w:hint="eastAsia" w:ascii="宋体" w:hAnsi="宋体" w:eastAsia="宋体"/>
          <w:u w:val="none"/>
        </w:rPr>
        <w:t>三、基金管理人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_Toc113453350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"_Toc113453351" </w:instrText>
      </w:r>
      <w:r>
        <w:fldChar w:fldCharType="separate"/>
      </w:r>
      <w:r>
        <w:rPr>
          <w:rStyle w:val="12"/>
          <w:rFonts w:hint="eastAsia" w:ascii="宋体" w:hAnsi="宋体" w:eastAsia="宋体"/>
          <w:u w:val="none"/>
        </w:rPr>
        <w:t>四、基金托管人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_Toc113453351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"_Toc113453352" </w:instrText>
      </w:r>
      <w:r>
        <w:fldChar w:fldCharType="separate"/>
      </w:r>
      <w:r>
        <w:rPr>
          <w:rStyle w:val="12"/>
          <w:rFonts w:hint="eastAsia" w:ascii="宋体" w:hAnsi="宋体" w:eastAsia="宋体"/>
          <w:u w:val="none"/>
        </w:rPr>
        <w:t>五、相关服务机构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_Toc113453352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"_Toc113453353" </w:instrText>
      </w:r>
      <w:r>
        <w:fldChar w:fldCharType="separate"/>
      </w:r>
      <w:r>
        <w:rPr>
          <w:rStyle w:val="12"/>
          <w:rFonts w:hint="eastAsia" w:ascii="宋体" w:hAnsi="宋体" w:eastAsia="宋体"/>
          <w:u w:val="none"/>
        </w:rPr>
        <w:t>六、</w:t>
      </w:r>
      <w:r>
        <w:rPr>
          <w:rStyle w:val="12"/>
          <w:rFonts w:ascii="宋体" w:hAnsi="宋体" w:eastAsia="宋体"/>
          <w:u w:val="none"/>
        </w:rPr>
        <w:t xml:space="preserve"> </w:t>
      </w:r>
      <w:r>
        <w:rPr>
          <w:rStyle w:val="12"/>
          <w:rFonts w:hint="eastAsia" w:ascii="宋体" w:hAnsi="宋体" w:eastAsia="宋体"/>
          <w:u w:val="none"/>
        </w:rPr>
        <w:t>基金的历史变革</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_Toc113453353 \h </w:instrText>
      </w:r>
      <w:r>
        <w:rPr>
          <w:rFonts w:ascii="宋体" w:hAnsi="宋体" w:eastAsia="宋体"/>
        </w:rPr>
        <w:fldChar w:fldCharType="separate"/>
      </w:r>
      <w:r>
        <w:rPr>
          <w:rFonts w:ascii="宋体" w:hAnsi="宋体" w:eastAsia="宋体"/>
        </w:rPr>
        <w:t>79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"_Toc113453354" </w:instrText>
      </w:r>
      <w:r>
        <w:fldChar w:fldCharType="separate"/>
      </w:r>
      <w:r>
        <w:rPr>
          <w:rStyle w:val="12"/>
          <w:rFonts w:hint="eastAsia" w:ascii="宋体" w:hAnsi="宋体" w:eastAsia="宋体"/>
          <w:u w:val="none"/>
        </w:rPr>
        <w:t>七、基金的存续</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_Toc113453354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"_Toc113453355" </w:instrText>
      </w:r>
      <w:r>
        <w:fldChar w:fldCharType="separate"/>
      </w:r>
      <w:r>
        <w:rPr>
          <w:rStyle w:val="12"/>
          <w:rFonts w:hint="eastAsia" w:ascii="宋体" w:hAnsi="宋体" w:eastAsia="宋体"/>
          <w:u w:val="none"/>
        </w:rPr>
        <w:t>八、</w:t>
      </w:r>
      <w:r>
        <w:rPr>
          <w:rStyle w:val="12"/>
          <w:rFonts w:ascii="宋体" w:hAnsi="宋体" w:eastAsia="宋体"/>
          <w:u w:val="none"/>
        </w:rPr>
        <w:t xml:space="preserve"> </w:t>
      </w:r>
      <w:r>
        <w:rPr>
          <w:rStyle w:val="12"/>
          <w:rFonts w:hint="eastAsia" w:ascii="宋体" w:hAnsi="宋体" w:eastAsia="宋体"/>
          <w:u w:val="none"/>
        </w:rPr>
        <w:t>基金的集中申购</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_Toc113453355 \h </w:instrText>
      </w:r>
      <w:r>
        <w:rPr>
          <w:rFonts w:ascii="宋体" w:hAnsi="宋体" w:eastAsia="宋体"/>
        </w:rPr>
        <w:fldChar w:fldCharType="separate"/>
      </w:r>
      <w:r>
        <w:rPr>
          <w:rFonts w:ascii="宋体" w:hAnsi="宋体" w:eastAsia="宋体"/>
        </w:rPr>
        <w:t>81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"_Toc113453356" </w:instrText>
      </w:r>
      <w:r>
        <w:fldChar w:fldCharType="separate"/>
      </w:r>
      <w:r>
        <w:rPr>
          <w:rStyle w:val="12"/>
          <w:rFonts w:hint="eastAsia" w:ascii="宋体" w:hAnsi="宋体" w:eastAsia="宋体"/>
          <w:u w:val="none"/>
        </w:rPr>
        <w:t>九、基金份额的申购与赎回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_Toc113453356 \h </w:instrText>
      </w:r>
      <w:r>
        <w:rPr>
          <w:rFonts w:ascii="宋体" w:hAnsi="宋体" w:eastAsia="宋体"/>
        </w:rPr>
        <w:fldChar w:fldCharType="separate"/>
      </w:r>
      <w:r>
        <w:rPr>
          <w:rFonts w:ascii="宋体" w:hAnsi="宋体" w:eastAsia="宋体"/>
        </w:rPr>
        <w:t>84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"_Toc113453357" </w:instrText>
      </w:r>
      <w:r>
        <w:fldChar w:fldCharType="separate"/>
      </w:r>
      <w:r>
        <w:rPr>
          <w:rStyle w:val="12"/>
          <w:rFonts w:hint="eastAsia" w:ascii="宋体" w:hAnsi="宋体" w:eastAsia="宋体"/>
          <w:u w:val="none"/>
        </w:rPr>
        <w:t>十、基金的投资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_Toc113453357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"_Toc113453358" </w:instrText>
      </w:r>
      <w:r>
        <w:fldChar w:fldCharType="separate"/>
      </w:r>
      <w:r>
        <w:rPr>
          <w:rStyle w:val="12"/>
          <w:rFonts w:hint="eastAsia" w:ascii="宋体" w:hAnsi="宋体" w:eastAsia="宋体"/>
          <w:u w:val="none"/>
        </w:rPr>
        <w:t>十一、基金的业绩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_Toc113453358 \h </w:instrText>
      </w:r>
      <w:r>
        <w:rPr>
          <w:rFonts w:ascii="宋体" w:hAnsi="宋体" w:eastAsia="宋体"/>
        </w:rPr>
        <w:fldChar w:fldCharType="separate"/>
      </w:r>
      <w:r>
        <w:rPr>
          <w:rFonts w:ascii="宋体" w:hAnsi="宋体" w:eastAsia="宋体"/>
        </w:rPr>
        <w:t>103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"_Toc113453359" </w:instrText>
      </w:r>
      <w:r>
        <w:fldChar w:fldCharType="separate"/>
      </w:r>
      <w:r>
        <w:rPr>
          <w:rStyle w:val="12"/>
          <w:rFonts w:hint="eastAsia" w:ascii="宋体" w:hAnsi="宋体" w:eastAsia="宋体"/>
          <w:u w:val="none"/>
        </w:rPr>
        <w:t>十二、基金的财产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_Toc113453359 \h </w:instrText>
      </w:r>
      <w:r>
        <w:rPr>
          <w:rFonts w:ascii="宋体" w:hAnsi="宋体" w:eastAsia="宋体"/>
        </w:rPr>
        <w:fldChar w:fldCharType="separate"/>
      </w:r>
      <w:r>
        <w:rPr>
          <w:rFonts w:ascii="宋体" w:hAnsi="宋体" w:eastAsia="宋体"/>
        </w:rPr>
        <w:t>104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"_Toc113453360" </w:instrText>
      </w:r>
      <w:r>
        <w:fldChar w:fldCharType="separate"/>
      </w:r>
      <w:r>
        <w:rPr>
          <w:rStyle w:val="12"/>
          <w:rFonts w:hint="eastAsia" w:ascii="宋体" w:hAnsi="宋体" w:eastAsia="宋体"/>
          <w:u w:val="none"/>
        </w:rPr>
        <w:t>十三、基金资产的估值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_Toc113453360 \h </w:instrText>
      </w:r>
      <w:r>
        <w:rPr>
          <w:rFonts w:ascii="宋体" w:hAnsi="宋体" w:eastAsia="宋体"/>
        </w:rPr>
        <w:fldChar w:fldCharType="separate"/>
      </w:r>
      <w:r>
        <w:rPr>
          <w:rFonts w:ascii="宋体" w:hAnsi="宋体" w:eastAsia="宋体"/>
        </w:rPr>
        <w:t>106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"_Toc113453361" </w:instrText>
      </w:r>
      <w:r>
        <w:fldChar w:fldCharType="separate"/>
      </w:r>
      <w:r>
        <w:rPr>
          <w:rStyle w:val="12"/>
          <w:rFonts w:hint="eastAsia" w:ascii="宋体" w:hAnsi="宋体" w:eastAsia="宋体"/>
          <w:u w:val="none"/>
        </w:rPr>
        <w:t>十四、基金的收益与分配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_Toc113453361 \h </w:instrText>
      </w:r>
      <w:r>
        <w:rPr>
          <w:rFonts w:ascii="宋体" w:hAnsi="宋体" w:eastAsia="宋体"/>
        </w:rPr>
        <w:fldChar w:fldCharType="separate"/>
      </w:r>
      <w:r>
        <w:rPr>
          <w:rFonts w:ascii="宋体" w:hAnsi="宋体" w:eastAsia="宋体"/>
        </w:rPr>
        <w:t>111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"_Toc113453362" </w:instrText>
      </w:r>
      <w:r>
        <w:fldChar w:fldCharType="separate"/>
      </w:r>
      <w:r>
        <w:rPr>
          <w:rStyle w:val="12"/>
          <w:rFonts w:hint="eastAsia" w:ascii="宋体" w:hAnsi="宋体" w:eastAsia="宋体"/>
          <w:u w:val="none"/>
        </w:rPr>
        <w:t>十五、基金的费用与税收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_Toc113453362 \h </w:instrText>
      </w:r>
      <w:r>
        <w:rPr>
          <w:rFonts w:ascii="宋体" w:hAnsi="宋体" w:eastAsia="宋体"/>
        </w:rPr>
        <w:fldChar w:fldCharType="separate"/>
      </w:r>
      <w:r>
        <w:rPr>
          <w:rFonts w:ascii="宋体" w:hAnsi="宋体" w:eastAsia="宋体"/>
        </w:rPr>
        <w:t>112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"_Toc113453363" </w:instrText>
      </w:r>
      <w:r>
        <w:fldChar w:fldCharType="separate"/>
      </w:r>
      <w:r>
        <w:rPr>
          <w:rStyle w:val="12"/>
          <w:rFonts w:hint="eastAsia" w:ascii="宋体" w:hAnsi="宋体" w:eastAsia="宋体"/>
          <w:u w:val="none"/>
        </w:rPr>
        <w:t>十六、基金的会计与审计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_Toc113453363 \h </w:instrText>
      </w:r>
      <w:r>
        <w:rPr>
          <w:rFonts w:ascii="宋体" w:hAnsi="宋体" w:eastAsia="宋体"/>
        </w:rPr>
        <w:fldChar w:fldCharType="separate"/>
      </w:r>
      <w:r>
        <w:rPr>
          <w:rFonts w:ascii="宋体" w:hAnsi="宋体" w:eastAsia="宋体"/>
        </w:rPr>
        <w:t>115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"_Toc113453364" </w:instrText>
      </w:r>
      <w:r>
        <w:fldChar w:fldCharType="separate"/>
      </w:r>
      <w:r>
        <w:rPr>
          <w:rStyle w:val="12"/>
          <w:rFonts w:hint="eastAsia" w:ascii="宋体" w:hAnsi="宋体" w:eastAsia="宋体"/>
          <w:u w:val="none"/>
        </w:rPr>
        <w:t>十七、基金的信息披露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_Toc113453364 \h </w:instrText>
      </w:r>
      <w:r>
        <w:rPr>
          <w:rFonts w:ascii="宋体" w:hAnsi="宋体" w:eastAsia="宋体"/>
        </w:rPr>
        <w:fldChar w:fldCharType="separate"/>
      </w:r>
      <w:r>
        <w:rPr>
          <w:rFonts w:ascii="宋体" w:hAnsi="宋体" w:eastAsia="宋体"/>
        </w:rPr>
        <w:t>116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"_Toc113453365" </w:instrText>
      </w:r>
      <w:r>
        <w:fldChar w:fldCharType="separate"/>
      </w:r>
      <w:r>
        <w:rPr>
          <w:rStyle w:val="12"/>
          <w:rFonts w:hint="eastAsia" w:ascii="宋体" w:hAnsi="宋体" w:eastAsia="宋体"/>
          <w:u w:val="none"/>
        </w:rPr>
        <w:t>十八、风险揭示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_Toc113453365 \h </w:instrText>
      </w:r>
      <w:r>
        <w:rPr>
          <w:rFonts w:ascii="宋体" w:hAnsi="宋体" w:eastAsia="宋体"/>
        </w:rPr>
        <w:fldChar w:fldCharType="separate"/>
      </w:r>
      <w:r>
        <w:rPr>
          <w:rFonts w:ascii="宋体" w:hAnsi="宋体" w:eastAsia="宋体"/>
        </w:rPr>
        <w:t>122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"_Toc113453366" </w:instrText>
      </w:r>
      <w:r>
        <w:fldChar w:fldCharType="separate"/>
      </w:r>
      <w:r>
        <w:rPr>
          <w:rStyle w:val="12"/>
          <w:rFonts w:hint="eastAsia" w:ascii="宋体" w:hAnsi="宋体" w:eastAsia="宋体"/>
          <w:u w:val="none"/>
        </w:rPr>
        <w:t>十九、基金合同的变更、终止与财产清算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_Toc113453366 \h </w:instrText>
      </w:r>
      <w:r>
        <w:rPr>
          <w:rFonts w:ascii="宋体" w:hAnsi="宋体" w:eastAsia="宋体"/>
        </w:rPr>
        <w:fldChar w:fldCharType="separate"/>
      </w:r>
      <w:r>
        <w:rPr>
          <w:rFonts w:ascii="宋体" w:hAnsi="宋体" w:eastAsia="宋体"/>
        </w:rPr>
        <w:t>125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"_Toc113453367" </w:instrText>
      </w:r>
      <w:r>
        <w:fldChar w:fldCharType="separate"/>
      </w:r>
      <w:r>
        <w:rPr>
          <w:rStyle w:val="12"/>
          <w:rFonts w:hint="eastAsia" w:ascii="宋体" w:hAnsi="宋体" w:eastAsia="宋体"/>
          <w:u w:val="none"/>
        </w:rPr>
        <w:t>二十、基金合同的内容摘要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_Toc113453367 \h </w:instrText>
      </w:r>
      <w:r>
        <w:rPr>
          <w:rFonts w:ascii="宋体" w:hAnsi="宋体" w:eastAsia="宋体"/>
        </w:rPr>
        <w:fldChar w:fldCharType="separate"/>
      </w:r>
      <w:r>
        <w:rPr>
          <w:rFonts w:ascii="宋体" w:hAnsi="宋体" w:eastAsia="宋体"/>
        </w:rPr>
        <w:t>128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"_Toc113453368" </w:instrText>
      </w:r>
      <w:r>
        <w:fldChar w:fldCharType="separate"/>
      </w:r>
      <w:r>
        <w:rPr>
          <w:rStyle w:val="12"/>
          <w:rFonts w:hint="eastAsia" w:ascii="宋体" w:hAnsi="宋体" w:eastAsia="宋体"/>
          <w:u w:val="none"/>
        </w:rPr>
        <w:t>二十一、基金托管协议的内容摘要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_Toc113453368 \h </w:instrText>
      </w:r>
      <w:r>
        <w:rPr>
          <w:rFonts w:ascii="宋体" w:hAnsi="宋体" w:eastAsia="宋体"/>
        </w:rPr>
        <w:fldChar w:fldCharType="separate"/>
      </w:r>
      <w:r>
        <w:rPr>
          <w:rFonts w:ascii="宋体" w:hAnsi="宋体" w:eastAsia="宋体"/>
        </w:rPr>
        <w:t>144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"_Toc113453369" </w:instrText>
      </w:r>
      <w:r>
        <w:fldChar w:fldCharType="separate"/>
      </w:r>
      <w:r>
        <w:rPr>
          <w:rStyle w:val="12"/>
          <w:rFonts w:hint="eastAsia" w:ascii="宋体" w:hAnsi="宋体" w:eastAsia="宋体"/>
          <w:u w:val="none"/>
        </w:rPr>
        <w:t>二十二、对基金份额持有人的服务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_Toc113453369 \h </w:instrText>
      </w:r>
      <w:r>
        <w:rPr>
          <w:rFonts w:ascii="宋体" w:hAnsi="宋体" w:eastAsia="宋体"/>
        </w:rPr>
        <w:fldChar w:fldCharType="separate"/>
      </w:r>
      <w:r>
        <w:rPr>
          <w:rFonts w:ascii="宋体" w:hAnsi="宋体" w:eastAsia="宋体"/>
        </w:rPr>
        <w:t>159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"_Toc113453370" </w:instrText>
      </w:r>
      <w:r>
        <w:fldChar w:fldCharType="separate"/>
      </w:r>
      <w:r>
        <w:rPr>
          <w:rStyle w:val="12"/>
          <w:rFonts w:hint="eastAsia" w:ascii="宋体" w:hAnsi="宋体" w:eastAsia="宋体"/>
          <w:u w:val="none"/>
        </w:rPr>
        <w:t>二十三、其他事项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_Toc113453370 \h </w:instrText>
      </w:r>
      <w:r>
        <w:rPr>
          <w:rFonts w:ascii="宋体" w:hAnsi="宋体" w:eastAsia="宋体"/>
        </w:rPr>
        <w:fldChar w:fldCharType="separate"/>
      </w:r>
      <w:r>
        <w:rPr>
          <w:rFonts w:ascii="宋体" w:hAnsi="宋体" w:eastAsia="宋体"/>
        </w:rPr>
        <w:t>161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"_Toc113453371" </w:instrText>
      </w:r>
      <w:r>
        <w:fldChar w:fldCharType="separate"/>
      </w:r>
      <w:r>
        <w:rPr>
          <w:rStyle w:val="12"/>
          <w:rFonts w:hint="eastAsia" w:ascii="宋体" w:hAnsi="宋体" w:eastAsia="宋体"/>
          <w:u w:val="none"/>
        </w:rPr>
        <w:t>二十四、其他应披露的事项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_Toc113453371 \h </w:instrText>
      </w:r>
      <w:r>
        <w:rPr>
          <w:rFonts w:ascii="宋体" w:hAnsi="宋体" w:eastAsia="宋体"/>
        </w:rPr>
        <w:fldChar w:fldCharType="separate"/>
      </w:r>
      <w:r>
        <w:rPr>
          <w:rFonts w:ascii="宋体" w:hAnsi="宋体" w:eastAsia="宋体"/>
        </w:rPr>
        <w:t>162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"_Toc113453372" </w:instrText>
      </w:r>
      <w:r>
        <w:fldChar w:fldCharType="separate"/>
      </w:r>
      <w:r>
        <w:rPr>
          <w:rStyle w:val="12"/>
          <w:rFonts w:hint="eastAsia" w:ascii="宋体" w:hAnsi="宋体" w:eastAsia="宋体"/>
          <w:u w:val="none"/>
        </w:rPr>
        <w:t>二十五、招募说明书存放及查阅方式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_Toc113453372 \h </w:instrText>
      </w:r>
      <w:r>
        <w:rPr>
          <w:rFonts w:ascii="宋体" w:hAnsi="宋体" w:eastAsia="宋体"/>
        </w:rPr>
        <w:fldChar w:fldCharType="separate"/>
      </w:r>
      <w:r>
        <w:rPr>
          <w:rFonts w:ascii="宋体" w:hAnsi="宋体" w:eastAsia="宋体"/>
        </w:rPr>
        <w:t>165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"_Toc113453373" </w:instrText>
      </w:r>
      <w:r>
        <w:fldChar w:fldCharType="separate"/>
      </w:r>
      <w:r>
        <w:rPr>
          <w:rStyle w:val="12"/>
          <w:rFonts w:hint="eastAsia" w:ascii="宋体" w:hAnsi="宋体" w:eastAsia="宋体"/>
          <w:u w:val="none"/>
        </w:rPr>
        <w:t>二十六、备查文件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_Toc113453373 \h </w:instrText>
      </w:r>
      <w:r>
        <w:rPr>
          <w:rFonts w:ascii="宋体" w:hAnsi="宋体" w:eastAsia="宋体"/>
        </w:rPr>
        <w:fldChar w:fldCharType="separate"/>
      </w:r>
      <w:r>
        <w:rPr>
          <w:rFonts w:ascii="宋体" w:hAnsi="宋体" w:eastAsia="宋体"/>
        </w:rPr>
        <w:t>166</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 w:name="chapter_level1_3_2344"/>
      <w:bookmarkStart w:id="8" w:name="_Toc113453348"/>
      <w:r>
        <w:rPr>
          <w:rFonts w:hint="eastAsia" w:ascii="宋体" w:hAnsi="宋体" w:eastAsia="宋体"/>
          <w:sz w:val="30"/>
        </w:rPr>
        <w:t>一、绪言</w:t>
      </w:r>
      <w:bookmarkEnd w:id="7"/>
      <w:bookmarkEnd w:id="8"/>
    </w:p>
    <w:p>
      <w:pPr>
        <w:pStyle w:val="7"/>
        <w:spacing w:before="0" w:beforeAutospacing="0" w:after="0" w:afterAutospacing="0" w:line="360" w:lineRule="auto"/>
        <w:ind w:firstLine="420"/>
        <w:rPr>
          <w:sz w:val="21"/>
          <w:szCs w:val="21"/>
        </w:rPr>
      </w:pPr>
      <w:bookmarkStart w:id="9" w:name="chapter_level1_3_2344_section_1"/>
      <w:bookmarkEnd w:id="9"/>
      <w:r>
        <w:rPr>
          <w:rFonts w:hint="eastAsia"/>
          <w:sz w:val="21"/>
          <w:szCs w:val="21"/>
        </w:rPr>
        <w:t>本招募说明书依据《中华人民共和国证券投资基金法》(以下简称“《基金法》”)、《公开募集开放式证券投资基金流动性风险管理规定》（以下简称“《流动性风险管理规定》”）和相关法律法规及《</w:t>
      </w:r>
      <w:bookmarkStart w:id="10" w:name="field_0_productfullname_2"/>
      <w:r>
        <w:rPr>
          <w:rFonts w:hint="eastAsia"/>
          <w:sz w:val="21"/>
          <w:szCs w:val="21"/>
        </w:rPr>
        <w:t>博时第三产业成长混合型证券投资基金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w:t>
      </w:r>
      <w:bookmarkStart w:id="11" w:name="chapter_level1_3_2344_section_1_end"/>
      <w:bookmarkEnd w:id="11"/>
      <w:r>
        <w:rPr>
          <w:rFonts w:hint="eastAsia"/>
          <w:sz w:val="21"/>
          <w:szCs w:val="21"/>
        </w:rPr>
        <w:t xml:space="preserve">基金份额持有人的权利和义务，应详细查阅基金合同。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 w:name="_Toc113453349"/>
      <w:bookmarkStart w:id="13" w:name="chapter_level1_4_49"/>
      <w:r>
        <w:rPr>
          <w:rFonts w:hint="eastAsia" w:ascii="宋体" w:hAnsi="宋体" w:eastAsia="宋体"/>
          <w:sz w:val="30"/>
        </w:rPr>
        <w:t>二、释义</w:t>
      </w:r>
      <w:bookmarkEnd w:id="12"/>
      <w:bookmarkEnd w:id="13"/>
    </w:p>
    <w:p>
      <w:pPr>
        <w:pStyle w:val="7"/>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 xml:space="preserve">《基金合同》中除非文意另有所指，下列词语具有如下含义：   </w:t>
      </w:r>
    </w:p>
    <w:p>
      <w:pPr>
        <w:pStyle w:val="7"/>
        <w:spacing w:before="0" w:beforeAutospacing="0" w:after="0" w:afterAutospacing="0" w:line="360" w:lineRule="auto"/>
        <w:ind w:firstLine="420"/>
        <w:rPr>
          <w:sz w:val="21"/>
          <w:szCs w:val="21"/>
        </w:rPr>
      </w:pPr>
      <w:r>
        <w:rPr>
          <w:rFonts w:hint="eastAsia"/>
          <w:sz w:val="21"/>
          <w:szCs w:val="21"/>
        </w:rPr>
        <w:t>1、基金合同、《基金合同》：指《</w:t>
      </w:r>
      <w:bookmarkStart w:id="15" w:name="field_0_productfullname_3"/>
      <w:r>
        <w:rPr>
          <w:rFonts w:hint="eastAsia"/>
          <w:sz w:val="21"/>
          <w:szCs w:val="21"/>
        </w:rPr>
        <w:t>博时第三产业成长混合型证券投资基金</w:t>
      </w:r>
      <w:bookmarkEnd w:id="15"/>
      <w:r>
        <w:rPr>
          <w:rFonts w:hint="eastAsia"/>
          <w:sz w:val="21"/>
          <w:szCs w:val="21"/>
        </w:rPr>
        <w:t xml:space="preserve">基金合同》及对基金合同的任何修订和补充，基金合同由《裕元证券投资基金基金合同》修订而成 </w:t>
      </w:r>
    </w:p>
    <w:p>
      <w:pPr>
        <w:pStyle w:val="7"/>
        <w:spacing w:before="0" w:beforeAutospacing="0" w:after="0" w:afterAutospacing="0" w:line="360" w:lineRule="auto"/>
        <w:ind w:firstLine="420"/>
        <w:rPr>
          <w:sz w:val="21"/>
          <w:szCs w:val="21"/>
        </w:rPr>
      </w:pPr>
      <w:r>
        <w:rPr>
          <w:rFonts w:hint="eastAsia"/>
          <w:sz w:val="21"/>
          <w:szCs w:val="21"/>
        </w:rPr>
        <w:t xml:space="preserve">2、中国：指中华人民共和国(不包括香港特别行政区、澳门特别行政区及台湾地区) </w:t>
      </w:r>
    </w:p>
    <w:p>
      <w:pPr>
        <w:pStyle w:val="7"/>
        <w:spacing w:before="0" w:beforeAutospacing="0" w:after="0" w:afterAutospacing="0" w:line="360" w:lineRule="auto"/>
        <w:ind w:firstLine="420"/>
        <w:rPr>
          <w:sz w:val="21"/>
          <w:szCs w:val="21"/>
        </w:rPr>
      </w:pPr>
      <w:r>
        <w:rPr>
          <w:rFonts w:hint="eastAsia"/>
          <w:sz w:val="21"/>
          <w:szCs w:val="21"/>
        </w:rPr>
        <w:t xml:space="preserve">3、法律法规：指中国现时有效并公布实施的法律、行政法规、行政规章及规范性文件、地方法规、地方规章及规范性文件 </w:t>
      </w:r>
    </w:p>
    <w:p>
      <w:pPr>
        <w:pStyle w:val="7"/>
        <w:spacing w:before="0" w:beforeAutospacing="0" w:after="0" w:afterAutospacing="0" w:line="360" w:lineRule="auto"/>
        <w:ind w:firstLine="420"/>
        <w:rPr>
          <w:sz w:val="21"/>
          <w:szCs w:val="21"/>
        </w:rPr>
      </w:pPr>
      <w:r>
        <w:rPr>
          <w:rFonts w:hint="eastAsia"/>
          <w:sz w:val="21"/>
          <w:szCs w:val="21"/>
        </w:rPr>
        <w:t xml:space="preserve">4、《基金法》：指2003年10月28日由第十届全国人民代表大会常务委员会第五次会议通过，自2004年6月1日开始实施的《中华人民共和国证券投资基金法》 </w:t>
      </w:r>
    </w:p>
    <w:p>
      <w:pPr>
        <w:pStyle w:val="7"/>
        <w:spacing w:before="0" w:beforeAutospacing="0" w:after="0" w:afterAutospacing="0" w:line="360" w:lineRule="auto"/>
        <w:ind w:firstLine="420"/>
        <w:rPr>
          <w:sz w:val="21"/>
          <w:szCs w:val="21"/>
        </w:rPr>
      </w:pPr>
      <w:r>
        <w:rPr>
          <w:rFonts w:hint="eastAsia"/>
          <w:sz w:val="21"/>
          <w:szCs w:val="21"/>
        </w:rPr>
        <w:t xml:space="preserve">5、《销售管理办法》：指中国证监会2013年3月15日颁布、同年6月1日实施的《证券投资基金销售管理办法》及颁布机关对其不时做出的修订。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6、《运作办法》：指中国证监会2014年7月7日颁布、同年8月8日实施的《公开募集证券投资基金运作管理办法》 </w:t>
      </w:r>
    </w:p>
    <w:p>
      <w:pPr>
        <w:pStyle w:val="7"/>
        <w:spacing w:before="0" w:beforeAutospacing="0" w:after="0" w:afterAutospacing="0" w:line="360" w:lineRule="auto"/>
        <w:ind w:firstLine="420"/>
        <w:rPr>
          <w:sz w:val="21"/>
          <w:szCs w:val="21"/>
        </w:rPr>
      </w:pPr>
      <w:r>
        <w:rPr>
          <w:rFonts w:hint="eastAsia"/>
          <w:sz w:val="21"/>
          <w:szCs w:val="21"/>
        </w:rPr>
        <w:t xml:space="preserve">7、《信息披露办法》：指中国证监会2019年7月26日颁布、同年9月1日实施的《公开募集证券投资基金信息披露管理办法》及颁布机关对其不时做出的修订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8、《流动性风险管理规定》：指中国证监会2017年8月31日颁布、同年10月1日实施的《公开募集开放式证券投资基金流动性风险管理规定》及颁布机关对其不时做出的修订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9、基金产品资料概要：指《</w:t>
      </w:r>
      <w:bookmarkStart w:id="16" w:name="field_0_productfullname_4"/>
      <w:r>
        <w:rPr>
          <w:rFonts w:hint="eastAsia"/>
          <w:sz w:val="21"/>
          <w:szCs w:val="21"/>
        </w:rPr>
        <w:t>博时第三产业成长混合型证券投资基金</w:t>
      </w:r>
      <w:bookmarkEnd w:id="16"/>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10、元：指中国法定货币人民币元 </w:t>
      </w:r>
    </w:p>
    <w:p>
      <w:pPr>
        <w:pStyle w:val="7"/>
        <w:spacing w:before="0" w:beforeAutospacing="0" w:after="0" w:afterAutospacing="0" w:line="360" w:lineRule="auto"/>
        <w:ind w:firstLine="420"/>
        <w:rPr>
          <w:sz w:val="21"/>
          <w:szCs w:val="21"/>
        </w:rPr>
      </w:pPr>
      <w:r>
        <w:rPr>
          <w:rFonts w:hint="eastAsia"/>
          <w:sz w:val="21"/>
          <w:szCs w:val="21"/>
        </w:rPr>
        <w:t>11、基金或本基金：指依据《基金合同》所设立的</w:t>
      </w:r>
      <w:bookmarkStart w:id="17" w:name="field_0_productfullname_5"/>
      <w:r>
        <w:rPr>
          <w:rFonts w:hint="eastAsia"/>
          <w:sz w:val="21"/>
          <w:szCs w:val="21"/>
        </w:rPr>
        <w:t>博时第三产业成长混合型证券投资基金</w:t>
      </w:r>
      <w:bookmarkEnd w:id="17"/>
      <w:r>
        <w:rPr>
          <w:rFonts w:hint="eastAsia"/>
          <w:sz w:val="21"/>
          <w:szCs w:val="21"/>
        </w:rPr>
        <w:t xml:space="preserve">，本基金由裕元证券投资基金转型而成 </w:t>
      </w:r>
    </w:p>
    <w:p>
      <w:pPr>
        <w:pStyle w:val="7"/>
        <w:spacing w:before="0" w:beforeAutospacing="0" w:after="0" w:afterAutospacing="0" w:line="360" w:lineRule="auto"/>
        <w:ind w:firstLine="420"/>
        <w:rPr>
          <w:sz w:val="21"/>
          <w:szCs w:val="21"/>
        </w:rPr>
      </w:pPr>
      <w:r>
        <w:rPr>
          <w:rFonts w:hint="eastAsia"/>
          <w:sz w:val="21"/>
          <w:szCs w:val="21"/>
        </w:rPr>
        <w:t xml:space="preserve">12、裕元基金：指裕元证券投资基金，运作方式为契约型封闭式 </w:t>
      </w:r>
    </w:p>
    <w:p>
      <w:pPr>
        <w:pStyle w:val="7"/>
        <w:spacing w:before="0" w:beforeAutospacing="0" w:after="0" w:afterAutospacing="0" w:line="360" w:lineRule="auto"/>
        <w:ind w:firstLine="420"/>
        <w:rPr>
          <w:sz w:val="21"/>
          <w:szCs w:val="21"/>
        </w:rPr>
      </w:pPr>
      <w:r>
        <w:rPr>
          <w:rFonts w:hint="eastAsia"/>
          <w:sz w:val="21"/>
          <w:szCs w:val="21"/>
        </w:rPr>
        <w:t>13、基金转型：指对包括裕元基金由封闭式基金转为开放式基金，调整存续期限，终止上市，调整投资目标、范围和策略，修订基金合同，并更名为“</w:t>
      </w:r>
      <w:bookmarkStart w:id="18" w:name="field_0_productfullname_6"/>
      <w:r>
        <w:rPr>
          <w:rFonts w:hint="eastAsia"/>
          <w:sz w:val="21"/>
          <w:szCs w:val="21"/>
        </w:rPr>
        <w:t>博时第三产业成长混合型证券投资基金</w:t>
      </w:r>
      <w:bookmarkEnd w:id="18"/>
      <w:r>
        <w:rPr>
          <w:rFonts w:hint="eastAsia"/>
          <w:sz w:val="21"/>
          <w:szCs w:val="21"/>
        </w:rPr>
        <w:t xml:space="preserve">”等一系列事项的统称 </w:t>
      </w:r>
    </w:p>
    <w:p>
      <w:pPr>
        <w:pStyle w:val="7"/>
        <w:spacing w:before="0" w:beforeAutospacing="0" w:after="0" w:afterAutospacing="0" w:line="360" w:lineRule="auto"/>
        <w:ind w:firstLine="420"/>
        <w:rPr>
          <w:sz w:val="21"/>
          <w:szCs w:val="21"/>
        </w:rPr>
      </w:pPr>
      <w:r>
        <w:rPr>
          <w:rFonts w:hint="eastAsia"/>
          <w:sz w:val="21"/>
          <w:szCs w:val="21"/>
        </w:rPr>
        <w:t>14、招募说明书：指《</w:t>
      </w:r>
      <w:bookmarkStart w:id="19" w:name="field_0_productfullname_7"/>
      <w:r>
        <w:rPr>
          <w:rFonts w:hint="eastAsia"/>
          <w:sz w:val="21"/>
          <w:szCs w:val="21"/>
        </w:rPr>
        <w:t>博时第三产业成长混合型证券投资基金</w:t>
      </w:r>
      <w:bookmarkEnd w:id="19"/>
      <w:r>
        <w:rPr>
          <w:rFonts w:hint="eastAsia"/>
          <w:sz w:val="21"/>
          <w:szCs w:val="21"/>
        </w:rPr>
        <w:t xml:space="preserve">招募说明书》及基金管理人对其做出的更新 </w:t>
      </w:r>
    </w:p>
    <w:p>
      <w:pPr>
        <w:pStyle w:val="7"/>
        <w:spacing w:before="0" w:beforeAutospacing="0" w:after="0" w:afterAutospacing="0" w:line="360" w:lineRule="auto"/>
        <w:ind w:firstLine="420"/>
        <w:rPr>
          <w:sz w:val="21"/>
          <w:szCs w:val="21"/>
        </w:rPr>
      </w:pPr>
      <w:r>
        <w:rPr>
          <w:rFonts w:hint="eastAsia"/>
          <w:sz w:val="21"/>
          <w:szCs w:val="21"/>
        </w:rPr>
        <w:t>15、集中申购公告：指《</w:t>
      </w:r>
      <w:bookmarkStart w:id="20" w:name="field_0_productfullname_8"/>
      <w:r>
        <w:rPr>
          <w:rFonts w:hint="eastAsia"/>
          <w:sz w:val="21"/>
          <w:szCs w:val="21"/>
        </w:rPr>
        <w:t>博时第三产业成长混合型证券投资基金</w:t>
      </w:r>
      <w:bookmarkEnd w:id="20"/>
      <w:r>
        <w:rPr>
          <w:rFonts w:hint="eastAsia"/>
          <w:sz w:val="21"/>
          <w:szCs w:val="21"/>
        </w:rPr>
        <w:t xml:space="preserve">集中申购期基金份额发售公告》 </w:t>
      </w:r>
    </w:p>
    <w:p>
      <w:pPr>
        <w:pStyle w:val="7"/>
        <w:spacing w:before="0" w:beforeAutospacing="0" w:after="0" w:afterAutospacing="0" w:line="360" w:lineRule="auto"/>
        <w:ind w:firstLine="420"/>
        <w:rPr>
          <w:sz w:val="21"/>
          <w:szCs w:val="21"/>
        </w:rPr>
      </w:pPr>
      <w:r>
        <w:rPr>
          <w:rFonts w:hint="eastAsia"/>
          <w:sz w:val="21"/>
          <w:szCs w:val="21"/>
        </w:rPr>
        <w:t>16、业务规则：指《</w:t>
      </w:r>
      <w:bookmarkStart w:id="21" w:name="field_0_managerorgfullname_1"/>
      <w:r>
        <w:rPr>
          <w:rFonts w:hint="eastAsia"/>
          <w:sz w:val="21"/>
          <w:szCs w:val="21"/>
        </w:rPr>
        <w:t>博时基金管理有限公司</w:t>
      </w:r>
      <w:bookmarkEnd w:id="21"/>
      <w:r>
        <w:rPr>
          <w:rFonts w:hint="eastAsia"/>
          <w:sz w:val="21"/>
          <w:szCs w:val="21"/>
        </w:rPr>
        <w:t xml:space="preserve">开放式基金业务规则》 </w:t>
      </w:r>
    </w:p>
    <w:p>
      <w:pPr>
        <w:pStyle w:val="7"/>
        <w:spacing w:before="0" w:beforeAutospacing="0" w:after="0" w:afterAutospacing="0" w:line="360" w:lineRule="auto"/>
        <w:ind w:firstLine="420"/>
        <w:rPr>
          <w:sz w:val="21"/>
          <w:szCs w:val="21"/>
        </w:rPr>
      </w:pPr>
      <w:r>
        <w:rPr>
          <w:rFonts w:hint="eastAsia"/>
          <w:sz w:val="21"/>
          <w:szCs w:val="21"/>
        </w:rPr>
        <w:t xml:space="preserve">17、中国证监会：指中国证券监督管理委员会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18、银行监管机构：指中国人民银行和或中国银行业监督管理委员会或其他经国务院授权的机构 </w:t>
      </w:r>
    </w:p>
    <w:p>
      <w:pPr>
        <w:pStyle w:val="7"/>
        <w:spacing w:before="0" w:beforeAutospacing="0" w:after="0" w:afterAutospacing="0" w:line="360" w:lineRule="auto"/>
        <w:ind w:firstLine="420"/>
        <w:rPr>
          <w:sz w:val="21"/>
          <w:szCs w:val="21"/>
        </w:rPr>
      </w:pPr>
      <w:r>
        <w:rPr>
          <w:rFonts w:hint="eastAsia"/>
          <w:sz w:val="21"/>
          <w:szCs w:val="21"/>
        </w:rPr>
        <w:t>19、基金管理人：指</w:t>
      </w:r>
      <w:bookmarkStart w:id="22" w:name="field_0_managerorgfullname_2"/>
      <w:r>
        <w:rPr>
          <w:rFonts w:hint="eastAsia"/>
          <w:sz w:val="21"/>
          <w:szCs w:val="21"/>
        </w:rPr>
        <w:t>博时基金管理有限公司</w:t>
      </w:r>
      <w:bookmarkEnd w:id="22"/>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20、基金托管人：指</w:t>
      </w:r>
      <w:bookmarkStart w:id="23" w:name="field_0_trustorgfullname_1"/>
      <w:r>
        <w:rPr>
          <w:rFonts w:hint="eastAsia"/>
          <w:sz w:val="21"/>
          <w:szCs w:val="21"/>
        </w:rPr>
        <w:t>中国工商银行股份有限公司</w:t>
      </w:r>
      <w:bookmarkEnd w:id="23"/>
      <w:r>
        <w:rPr>
          <w:rFonts w:hint="eastAsia"/>
          <w:sz w:val="21"/>
          <w:szCs w:val="21"/>
        </w:rPr>
        <w:t xml:space="preserve">（简称：中国工商银行） </w:t>
      </w:r>
    </w:p>
    <w:p>
      <w:pPr>
        <w:pStyle w:val="7"/>
        <w:spacing w:before="0" w:beforeAutospacing="0" w:after="0" w:afterAutospacing="0" w:line="360" w:lineRule="auto"/>
        <w:ind w:firstLine="420"/>
        <w:rPr>
          <w:sz w:val="21"/>
          <w:szCs w:val="21"/>
        </w:rPr>
      </w:pPr>
      <w:r>
        <w:rPr>
          <w:rFonts w:hint="eastAsia"/>
          <w:sz w:val="21"/>
          <w:szCs w:val="21"/>
        </w:rPr>
        <w:t xml:space="preserve">21、基金代销机构：指依据有关基金销售与服务代理协议办理本基金发售、申购、赎回和其他基金业务的代理机构；基金销售代理人等同于基金代销机构 </w:t>
      </w:r>
    </w:p>
    <w:p>
      <w:pPr>
        <w:pStyle w:val="7"/>
        <w:spacing w:before="0" w:beforeAutospacing="0" w:after="0" w:afterAutospacing="0" w:line="360" w:lineRule="auto"/>
        <w:ind w:firstLine="420"/>
        <w:rPr>
          <w:sz w:val="21"/>
          <w:szCs w:val="21"/>
        </w:rPr>
      </w:pPr>
      <w:r>
        <w:rPr>
          <w:rFonts w:hint="eastAsia"/>
          <w:sz w:val="21"/>
          <w:szCs w:val="21"/>
        </w:rPr>
        <w:t xml:space="preserve">22、销售机构：指基金管理人及基金销售代理人 </w:t>
      </w:r>
    </w:p>
    <w:p>
      <w:pPr>
        <w:pStyle w:val="7"/>
        <w:spacing w:before="0" w:beforeAutospacing="0" w:after="0" w:afterAutospacing="0" w:line="360" w:lineRule="auto"/>
        <w:ind w:firstLine="420"/>
        <w:rPr>
          <w:sz w:val="21"/>
          <w:szCs w:val="21"/>
        </w:rPr>
      </w:pPr>
      <w:r>
        <w:rPr>
          <w:rFonts w:hint="eastAsia"/>
          <w:sz w:val="21"/>
          <w:szCs w:val="21"/>
        </w:rPr>
        <w:t xml:space="preserve">23、基金销售网点：指基金管理人的直销网点及基金销售代理人的代销网点 </w:t>
      </w:r>
    </w:p>
    <w:p>
      <w:pPr>
        <w:pStyle w:val="7"/>
        <w:spacing w:before="0" w:beforeAutospacing="0" w:after="0" w:afterAutospacing="0" w:line="360" w:lineRule="auto"/>
        <w:ind w:firstLine="420"/>
        <w:rPr>
          <w:sz w:val="21"/>
          <w:szCs w:val="21"/>
        </w:rPr>
      </w:pPr>
      <w:r>
        <w:rPr>
          <w:rFonts w:hint="eastAsia"/>
          <w:sz w:val="21"/>
          <w:szCs w:val="21"/>
        </w:rPr>
        <w:t xml:space="preserve">24、登记业务：指包括但不限于基金登记、存管、清算和交收业务，具体内容包括投资人基金账户管理、基金份额注册登记、清算及基金交易确认、发放红利、建立并保管基金份额持有人名册等 </w:t>
      </w:r>
    </w:p>
    <w:p>
      <w:pPr>
        <w:pStyle w:val="7"/>
        <w:spacing w:before="0" w:beforeAutospacing="0" w:after="0" w:afterAutospacing="0" w:line="360" w:lineRule="auto"/>
        <w:ind w:firstLine="420"/>
        <w:rPr>
          <w:sz w:val="21"/>
          <w:szCs w:val="21"/>
        </w:rPr>
      </w:pPr>
      <w:bookmarkStart w:id="24" w:name="chapter_level1_4_49_section_1_end"/>
      <w:bookmarkEnd w:id="24"/>
      <w:r>
        <w:rPr>
          <w:rFonts w:hint="eastAsia"/>
          <w:sz w:val="21"/>
          <w:szCs w:val="21"/>
        </w:rPr>
        <w:t>25、登记机构：指</w:t>
      </w:r>
      <w:bookmarkStart w:id="25" w:name="field_0_managerorgfullname_3"/>
      <w:r>
        <w:rPr>
          <w:rFonts w:hint="eastAsia"/>
          <w:sz w:val="21"/>
          <w:szCs w:val="21"/>
        </w:rPr>
        <w:t>博时基金管理有限公司</w:t>
      </w:r>
      <w:bookmarkEnd w:id="25"/>
      <w:r>
        <w:rPr>
          <w:rFonts w:hint="eastAsia"/>
          <w:sz w:val="21"/>
          <w:szCs w:val="21"/>
        </w:rPr>
        <w:t xml:space="preserve"> </w:t>
      </w:r>
    </w:p>
    <w:p>
      <w:pPr>
        <w:pStyle w:val="7"/>
        <w:spacing w:before="0" w:beforeAutospacing="0" w:after="0" w:afterAutospacing="0" w:line="360" w:lineRule="auto"/>
        <w:ind w:firstLine="420"/>
        <w:rPr>
          <w:sz w:val="21"/>
          <w:szCs w:val="21"/>
        </w:rPr>
      </w:pPr>
      <w:bookmarkStart w:id="26" w:name="chapter_level1_4_49_section_2"/>
      <w:bookmarkEnd w:id="26"/>
      <w:r>
        <w:rPr>
          <w:rFonts w:hint="eastAsia"/>
          <w:sz w:val="21"/>
          <w:szCs w:val="21"/>
        </w:rPr>
        <w:t xml:space="preserve">26、《基金合同》当事人：指受《基金合同》约束，根据《基金合同》享受权利并承担义务的法律主体 </w:t>
      </w:r>
    </w:p>
    <w:p>
      <w:pPr>
        <w:pStyle w:val="7"/>
        <w:spacing w:before="0" w:beforeAutospacing="0" w:after="0" w:afterAutospacing="0" w:line="360" w:lineRule="auto"/>
        <w:ind w:firstLine="420"/>
        <w:rPr>
          <w:sz w:val="21"/>
          <w:szCs w:val="21"/>
        </w:rPr>
      </w:pPr>
      <w:r>
        <w:rPr>
          <w:rFonts w:hint="eastAsia"/>
          <w:sz w:val="21"/>
          <w:szCs w:val="21"/>
        </w:rPr>
        <w:t xml:space="preserve">27、个人投资者：指符合法律法规规定的条件可以投资证券投资基金的自然人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28、机构投资者：指符合法律法规规定可以投资证券投资基金的在中华人民共和国注册登记或经政府有关部门批准设立的机构 </w:t>
      </w:r>
    </w:p>
    <w:p>
      <w:pPr>
        <w:pStyle w:val="7"/>
        <w:spacing w:before="0" w:beforeAutospacing="0" w:after="0" w:afterAutospacing="0" w:line="360" w:lineRule="auto"/>
        <w:ind w:firstLine="420"/>
        <w:rPr>
          <w:sz w:val="21"/>
          <w:szCs w:val="21"/>
        </w:rPr>
      </w:pPr>
      <w:r>
        <w:rPr>
          <w:rFonts w:hint="eastAsia"/>
          <w:sz w:val="21"/>
          <w:szCs w:val="21"/>
        </w:rPr>
        <w:t xml:space="preserve">29、合格境外机构投资者：指符合《合格境外机构投资者境内证券投资管理办法》的可投资于中国境内证券的中国境外的机构投资者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30、投资人：指个人投资者、机构投资者和合格境外机构投资者的总称 </w:t>
      </w:r>
    </w:p>
    <w:p>
      <w:pPr>
        <w:pStyle w:val="7"/>
        <w:spacing w:before="0" w:beforeAutospacing="0" w:after="0" w:afterAutospacing="0" w:line="360" w:lineRule="auto"/>
        <w:ind w:firstLine="420"/>
        <w:rPr>
          <w:sz w:val="21"/>
          <w:szCs w:val="21"/>
        </w:rPr>
      </w:pPr>
      <w:r>
        <w:rPr>
          <w:rFonts w:hint="eastAsia"/>
          <w:sz w:val="21"/>
          <w:szCs w:val="21"/>
        </w:rPr>
        <w:t>31、基金合同生效日：指《</w:t>
      </w:r>
      <w:bookmarkStart w:id="27" w:name="field_0_productfullname_9"/>
      <w:r>
        <w:rPr>
          <w:rFonts w:hint="eastAsia"/>
          <w:sz w:val="21"/>
          <w:szCs w:val="21"/>
        </w:rPr>
        <w:t>博时第三产业成长混合型证券投资基金</w:t>
      </w:r>
      <w:bookmarkEnd w:id="27"/>
      <w:r>
        <w:rPr>
          <w:rFonts w:hint="eastAsia"/>
          <w:sz w:val="21"/>
          <w:szCs w:val="21"/>
        </w:rPr>
        <w:t xml:space="preserve">基金合同》生效起始日，原《裕元证券投资基金基金合同》自同一日起失效 </w:t>
      </w:r>
    </w:p>
    <w:p>
      <w:pPr>
        <w:pStyle w:val="7"/>
        <w:spacing w:before="0" w:beforeAutospacing="0" w:after="0" w:afterAutospacing="0" w:line="360" w:lineRule="auto"/>
        <w:ind w:firstLine="420"/>
        <w:rPr>
          <w:sz w:val="21"/>
          <w:szCs w:val="21"/>
        </w:rPr>
      </w:pPr>
      <w:r>
        <w:rPr>
          <w:rFonts w:hint="eastAsia"/>
          <w:sz w:val="21"/>
          <w:szCs w:val="21"/>
        </w:rPr>
        <w:t xml:space="preserve">32、集中申购期：指基金合同生效后仅开放申购、不开放赎回的一段时间，最长不超过1个月 </w:t>
      </w:r>
    </w:p>
    <w:p>
      <w:pPr>
        <w:pStyle w:val="7"/>
        <w:spacing w:before="0" w:beforeAutospacing="0" w:after="0" w:afterAutospacing="0" w:line="360" w:lineRule="auto"/>
        <w:ind w:firstLine="420"/>
        <w:rPr>
          <w:sz w:val="21"/>
          <w:szCs w:val="21"/>
        </w:rPr>
      </w:pPr>
      <w:r>
        <w:rPr>
          <w:rFonts w:hint="eastAsia"/>
          <w:sz w:val="21"/>
          <w:szCs w:val="21"/>
        </w:rPr>
        <w:t xml:space="preserve">33、基金存续期：指基金合同生效后合法存续的不定期之期间 </w:t>
      </w:r>
    </w:p>
    <w:p>
      <w:pPr>
        <w:pStyle w:val="7"/>
        <w:spacing w:before="0" w:beforeAutospacing="0" w:after="0" w:afterAutospacing="0" w:line="360" w:lineRule="auto"/>
        <w:ind w:firstLine="420"/>
        <w:rPr>
          <w:sz w:val="21"/>
          <w:szCs w:val="21"/>
        </w:rPr>
      </w:pPr>
      <w:r>
        <w:rPr>
          <w:rFonts w:hint="eastAsia"/>
          <w:sz w:val="21"/>
          <w:szCs w:val="21"/>
        </w:rPr>
        <w:t xml:space="preserve">34、日/天：指公历日 </w:t>
      </w:r>
    </w:p>
    <w:p>
      <w:pPr>
        <w:pStyle w:val="7"/>
        <w:spacing w:before="0" w:beforeAutospacing="0" w:after="0" w:afterAutospacing="0" w:line="360" w:lineRule="auto"/>
        <w:ind w:firstLine="420"/>
        <w:rPr>
          <w:sz w:val="21"/>
          <w:szCs w:val="21"/>
        </w:rPr>
      </w:pPr>
      <w:r>
        <w:rPr>
          <w:rFonts w:hint="eastAsia"/>
          <w:sz w:val="21"/>
          <w:szCs w:val="21"/>
        </w:rPr>
        <w:t xml:space="preserve">35、月：指公历月 </w:t>
      </w:r>
    </w:p>
    <w:p>
      <w:pPr>
        <w:pStyle w:val="7"/>
        <w:spacing w:before="0" w:beforeAutospacing="0" w:after="0" w:afterAutospacing="0" w:line="360" w:lineRule="auto"/>
        <w:ind w:firstLine="420"/>
        <w:rPr>
          <w:sz w:val="21"/>
          <w:szCs w:val="21"/>
        </w:rPr>
      </w:pPr>
      <w:r>
        <w:rPr>
          <w:rFonts w:hint="eastAsia"/>
          <w:sz w:val="21"/>
          <w:szCs w:val="21"/>
        </w:rPr>
        <w:t xml:space="preserve">36、工作日：指上海证券交易所和深圳证券交易所的正常交易日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37、T日：指日常申购、赎回或办理其他基金业务的申请日 </w:t>
      </w:r>
    </w:p>
    <w:p>
      <w:pPr>
        <w:pStyle w:val="7"/>
        <w:spacing w:before="0" w:beforeAutospacing="0" w:after="0" w:afterAutospacing="0" w:line="360" w:lineRule="auto"/>
        <w:ind w:firstLine="420"/>
        <w:rPr>
          <w:sz w:val="21"/>
          <w:szCs w:val="21"/>
        </w:rPr>
      </w:pPr>
      <w:r>
        <w:rPr>
          <w:rFonts w:hint="eastAsia"/>
          <w:sz w:val="21"/>
          <w:szCs w:val="21"/>
        </w:rPr>
        <w:t xml:space="preserve">38、T+n日：指自T日起第n个工作日（不包含T日）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39、申购：指投资者按基金合同规定的条件，申请购买本基金基金份额的行为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40、赎回：指基金份额持有人按基金合同规定的条件，要求基金管理人购回本基金基金份额的行为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41、巨额赎回：指本基金单个开放日，基金净赎回申请(赎回申请份额总数加上基金转换中转出申请份额总数后扣除申购申请份额总数及基金转换中转入申请份额总数后的余额)超过上一日基金总份额的10%时的情形。 </w:t>
      </w:r>
    </w:p>
    <w:p>
      <w:pPr>
        <w:pStyle w:val="7"/>
        <w:spacing w:before="0" w:beforeAutospacing="0" w:after="0" w:afterAutospacing="0" w:line="360" w:lineRule="auto"/>
        <w:ind w:firstLine="420"/>
        <w:rPr>
          <w:sz w:val="21"/>
          <w:szCs w:val="21"/>
        </w:rPr>
      </w:pPr>
      <w:r>
        <w:rPr>
          <w:rFonts w:hint="eastAsia"/>
          <w:sz w:val="21"/>
          <w:szCs w:val="21"/>
        </w:rPr>
        <w:t xml:space="preserve">42、转换：指基金份额持有人可按规定申请将所持有的本基金份额转换为基金管理人所管理并在同一登记机构处登记的其它开放式基金份额。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43、转托管：指基金份额持有人按照有关规定申请将其在某一销售机构交易账户持有的基金份额全部或部分转移到另一销售机构交易账户的行为 </w:t>
      </w:r>
    </w:p>
    <w:p>
      <w:pPr>
        <w:pStyle w:val="7"/>
        <w:spacing w:before="0" w:beforeAutospacing="0" w:after="0" w:afterAutospacing="0" w:line="360" w:lineRule="auto"/>
        <w:ind w:firstLine="420"/>
        <w:rPr>
          <w:sz w:val="21"/>
          <w:szCs w:val="21"/>
        </w:rPr>
      </w:pPr>
      <w:r>
        <w:rPr>
          <w:rFonts w:hint="eastAsia"/>
          <w:sz w:val="21"/>
          <w:szCs w:val="21"/>
        </w:rPr>
        <w:t xml:space="preserve">44、上海证券账户：指在中国证券登记结算有限责任公司上海分公司开设的上海证券交易所人民币普通股票账户(简称“A股账户”)或证券投资基金账户(简称“基金账户”)，投资者通过上海证券交易所开放式基金销售系统办理申购、赎回等业务时需持有上海证券账户 </w:t>
      </w:r>
    </w:p>
    <w:p>
      <w:pPr>
        <w:pStyle w:val="7"/>
        <w:spacing w:before="0" w:beforeAutospacing="0" w:after="0" w:afterAutospacing="0" w:line="360" w:lineRule="auto"/>
        <w:ind w:firstLine="420"/>
        <w:rPr>
          <w:sz w:val="21"/>
          <w:szCs w:val="21"/>
        </w:rPr>
      </w:pPr>
      <w:r>
        <w:rPr>
          <w:rFonts w:hint="eastAsia"/>
          <w:sz w:val="21"/>
          <w:szCs w:val="21"/>
        </w:rPr>
        <w:t xml:space="preserve">45、指定交易：指《上海证券交易所全面指定交易制度试行办法》中定义的“全面指定交易” </w:t>
      </w:r>
    </w:p>
    <w:p>
      <w:pPr>
        <w:pStyle w:val="7"/>
        <w:spacing w:before="0" w:beforeAutospacing="0" w:after="0" w:afterAutospacing="0" w:line="360" w:lineRule="auto"/>
        <w:ind w:firstLine="420"/>
        <w:rPr>
          <w:sz w:val="21"/>
          <w:szCs w:val="21"/>
        </w:rPr>
      </w:pPr>
      <w:r>
        <w:rPr>
          <w:rFonts w:hint="eastAsia"/>
          <w:sz w:val="21"/>
          <w:szCs w:val="21"/>
        </w:rPr>
        <w:t xml:space="preserve">46、基金账户：指注册登记机构为基金投资人开立的记录其持有的由该注册登记机构办理注册登记的基金份额变动及其余额情况的账户 </w:t>
      </w:r>
    </w:p>
    <w:p>
      <w:pPr>
        <w:pStyle w:val="7"/>
        <w:spacing w:before="0" w:beforeAutospacing="0" w:after="0" w:afterAutospacing="0" w:line="360" w:lineRule="auto"/>
        <w:ind w:firstLine="420"/>
        <w:rPr>
          <w:sz w:val="21"/>
          <w:szCs w:val="21"/>
        </w:rPr>
      </w:pPr>
      <w:r>
        <w:rPr>
          <w:rFonts w:hint="eastAsia"/>
          <w:sz w:val="21"/>
          <w:szCs w:val="21"/>
        </w:rPr>
        <w:t xml:space="preserve">47、交易账户：指各销售机构为投资人开立的记录投资人通过该销售机构办理基金认购、申购、赎回、转换及转托管等业务所引起的基金份额的变动及余额情况的账户 </w:t>
      </w:r>
    </w:p>
    <w:p>
      <w:pPr>
        <w:pStyle w:val="7"/>
        <w:spacing w:before="0" w:beforeAutospacing="0" w:after="0" w:afterAutospacing="0" w:line="360" w:lineRule="auto"/>
        <w:ind w:firstLine="420"/>
        <w:rPr>
          <w:sz w:val="21"/>
          <w:szCs w:val="21"/>
        </w:rPr>
      </w:pPr>
      <w:r>
        <w:rPr>
          <w:rFonts w:hint="eastAsia"/>
          <w:sz w:val="21"/>
          <w:szCs w:val="21"/>
        </w:rPr>
        <w:t xml:space="preserve">48、定期定额投资计划：指投资人通过有关销售机构提出申请，约定每期扣款日、扣款金额及扣款方式，由销售机构于每期约定扣款日在投资人指定银行账户内自动完成扣款及基金申购申请的一种投资方式 </w:t>
      </w:r>
    </w:p>
    <w:p>
      <w:pPr>
        <w:pStyle w:val="7"/>
        <w:spacing w:before="0" w:beforeAutospacing="0" w:after="0" w:afterAutospacing="0" w:line="360" w:lineRule="auto"/>
        <w:ind w:firstLine="420"/>
        <w:rPr>
          <w:sz w:val="21"/>
          <w:szCs w:val="21"/>
        </w:rPr>
      </w:pPr>
      <w:r>
        <w:rPr>
          <w:rFonts w:hint="eastAsia"/>
          <w:sz w:val="21"/>
          <w:szCs w:val="21"/>
        </w:rPr>
        <w:t xml:space="preserve">49、基金收益：指基金投资所得股票红利、债券利息、买卖证券差价、银行存款利息以及其他合法收入 </w:t>
      </w:r>
    </w:p>
    <w:p>
      <w:pPr>
        <w:pStyle w:val="7"/>
        <w:spacing w:before="0" w:beforeAutospacing="0" w:after="0" w:afterAutospacing="0" w:line="360" w:lineRule="auto"/>
        <w:ind w:firstLine="420"/>
        <w:rPr>
          <w:sz w:val="21"/>
          <w:szCs w:val="21"/>
        </w:rPr>
      </w:pPr>
      <w:r>
        <w:rPr>
          <w:rFonts w:hint="eastAsia"/>
          <w:sz w:val="21"/>
          <w:szCs w:val="21"/>
        </w:rPr>
        <w:t xml:space="preserve">50、基金资产总值：指基金所拥有的各类证券及票据价值、银行存款本息、本基金应收的申购基金款以及其他投资所形成的价值和 </w:t>
      </w:r>
    </w:p>
    <w:p>
      <w:pPr>
        <w:pStyle w:val="7"/>
        <w:spacing w:before="0" w:beforeAutospacing="0" w:after="0" w:afterAutospacing="0" w:line="360" w:lineRule="auto"/>
        <w:ind w:firstLine="420"/>
        <w:rPr>
          <w:sz w:val="21"/>
          <w:szCs w:val="21"/>
        </w:rPr>
      </w:pPr>
      <w:r>
        <w:rPr>
          <w:rFonts w:hint="eastAsia"/>
          <w:sz w:val="21"/>
          <w:szCs w:val="21"/>
        </w:rPr>
        <w:t xml:space="preserve">51、基金资产净值：指基金资产总值扣除负债后的净资产值 </w:t>
      </w:r>
    </w:p>
    <w:p>
      <w:pPr>
        <w:pStyle w:val="7"/>
        <w:spacing w:before="0" w:beforeAutospacing="0" w:after="0" w:afterAutospacing="0" w:line="360" w:lineRule="auto"/>
        <w:ind w:firstLine="420"/>
        <w:rPr>
          <w:sz w:val="21"/>
          <w:szCs w:val="21"/>
        </w:rPr>
      </w:pPr>
      <w:r>
        <w:rPr>
          <w:rFonts w:hint="eastAsia"/>
          <w:sz w:val="21"/>
          <w:szCs w:val="21"/>
        </w:rPr>
        <w:t xml:space="preserve">52、基金份额净值：指计算日基金资产净值除以计算日发行在外的基金份额总数 </w:t>
      </w:r>
    </w:p>
    <w:p>
      <w:pPr>
        <w:pStyle w:val="7"/>
        <w:spacing w:before="0" w:beforeAutospacing="0" w:after="0" w:afterAutospacing="0" w:line="360" w:lineRule="auto"/>
        <w:ind w:firstLine="420"/>
        <w:rPr>
          <w:sz w:val="21"/>
          <w:szCs w:val="21"/>
        </w:rPr>
      </w:pPr>
      <w:r>
        <w:rPr>
          <w:rFonts w:hint="eastAsia"/>
          <w:sz w:val="21"/>
          <w:szCs w:val="21"/>
        </w:rPr>
        <w:t xml:space="preserve">53、基金资产估值：指计算评估基金资产和负债的价值，以确定基金资产净值和基金份额净值的过程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55、不可抗力：指不能预见、不能避免并不能克服的客观情况 </w:t>
      </w:r>
    </w:p>
    <w:p>
      <w:pPr>
        <w:pStyle w:val="7"/>
        <w:spacing w:before="0" w:beforeAutospacing="0" w:after="0" w:afterAutospacing="0" w:line="360" w:lineRule="auto"/>
        <w:ind w:firstLine="420"/>
        <w:rPr>
          <w:sz w:val="21"/>
          <w:szCs w:val="21"/>
        </w:rPr>
      </w:pPr>
      <w:r>
        <w:rPr>
          <w:rFonts w:hint="eastAsia"/>
          <w:sz w:val="21"/>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8" w:name="chapter_level1_4_49_section_2_end"/>
      <w:bookmarkEnd w:id="28"/>
      <w:r>
        <w:rPr>
          <w:rFonts w:hint="eastAsia"/>
          <w:sz w:val="21"/>
          <w:szCs w:val="21"/>
        </w:rPr>
        <w:t xml:space="preserve">支持证券、因发行人债务违约无法进行转让或交易的债券等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9" w:name="_Toc113453350"/>
      <w:bookmarkStart w:id="30" w:name="chapter_level1_5_53"/>
      <w:r>
        <w:rPr>
          <w:rFonts w:hint="eastAsia" w:ascii="宋体" w:hAnsi="宋体" w:eastAsia="宋体"/>
          <w:sz w:val="30"/>
        </w:rPr>
        <w:t>三、基金管理人</w:t>
      </w:r>
      <w:bookmarkEnd w:id="29"/>
      <w:bookmarkEnd w:id="30"/>
    </w:p>
    <w:p>
      <w:pPr>
        <w:pStyle w:val="7"/>
        <w:spacing w:before="0" w:beforeAutospacing="0" w:after="0" w:afterAutospacing="0" w:line="360" w:lineRule="auto"/>
        <w:ind w:firstLine="420"/>
        <w:rPr>
          <w:sz w:val="21"/>
          <w:szCs w:val="21"/>
        </w:rPr>
      </w:pPr>
      <w:bookmarkStart w:id="31" w:name="chapter_level1_5_53_section_1"/>
      <w:bookmarkEnd w:id="31"/>
      <w:r>
        <w:rPr>
          <w:rStyle w:val="11"/>
          <w:rFonts w:hint="eastAsia"/>
          <w:sz w:val="21"/>
          <w:szCs w:val="21"/>
        </w:rPr>
        <w:t>一、基金管理人概况</w:t>
      </w:r>
    </w:p>
    <w:p>
      <w:pPr>
        <w:widowControl/>
        <w:spacing w:line="360" w:lineRule="auto"/>
        <w:ind w:firstLine="420" w:firstLineChars="200"/>
        <w:rPr>
          <w:rFonts w:hint="eastAsia" w:ascii="宋体" w:hAnsi="宋体" w:eastAsiaTheme="minorEastAsia" w:cstheme="minorBidi"/>
          <w:kern w:val="2"/>
          <w:szCs w:val="24"/>
        </w:rPr>
      </w:pPr>
      <w:bookmarkStart w:id="32" w:name="field_0_managercompanyinfo_1_start"/>
      <w:bookmarkEnd w:id="32"/>
      <w:r>
        <w:rPr>
          <w:rFonts w:hint="eastAsia" w:ascii="宋体" w:hAnsi="宋体" w:eastAsiaTheme="minorEastAsia" w:cstheme="minorBidi"/>
          <w:kern w:val="2"/>
          <w:szCs w:val="24"/>
        </w:rPr>
        <w:t>名称：</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博时基金管理有限公司</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住所：</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深圳市福田区莲花街道福新社区益田路5999号基金大厦21层</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办公地址：</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广东省深圳市福田区益田路5999号基金大厦21层</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法定代表人：江向阳</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成立时间：</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1998年7月13日</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注册资本：</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2.5亿元人民币</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存续期间：</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持续经营</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联系人：    韩强</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联系电话：  （0755）8316 9999</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公司设立了投资决策委员会。投资决策委员会负责指导基金资产的运作、确定基本的投资策略和投资组合的原则。</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公司已经建立健全投资管理制度、风险控制制度、内部监察制度、财务管理制度、人事管理制度、信息披露制度和员工行为准则等公司管理制度体系。</w:t>
      </w:r>
    </w:p>
    <w:p>
      <w:pPr>
        <w:widowControl w:val="0"/>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二、主要成员情况</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1、基金管理人董事会成员</w:t>
      </w:r>
    </w:p>
    <w:p>
      <w:pPr>
        <w:widowControl/>
        <w:snapToGrid/>
        <w:spacing w:line="360" w:lineRule="auto"/>
        <w:ind w:firstLine="420" w:firstLineChars="200"/>
        <w:rPr>
          <w:rFonts w:hint="eastAsia" w:ascii="宋体" w:hAnsi="宋体" w:eastAsiaTheme="minorEastAsia" w:cstheme="minorBidi"/>
          <w:szCs w:val="24"/>
        </w:rPr>
      </w:pPr>
      <w:r>
        <w:rPr>
          <w:rFonts w:hint="eastAsia" w:ascii="宋体" w:hAnsi="宋体" w:eastAsiaTheme="minorEastAsia" w:cstheme="minorBidi"/>
          <w:szCs w:val="24"/>
        </w:rPr>
        <w:t>江向阳先生，博士。中共党员，南开大学国际金融博士，清华大学金融媒体EMBA。1986-1990</w:t>
      </w:r>
      <w:r>
        <w:rPr>
          <w:rFonts w:hint="eastAsia" w:ascii="宋体" w:hAnsi="宋体"/>
          <w:szCs w:val="24"/>
        </w:rPr>
        <w:fldChar w:fldCharType="begin"/>
      </w:r>
      <w:r>
        <w:rPr>
          <w:rFonts w:hint="eastAsia" w:ascii="宋体" w:hAnsi="宋体"/>
          <w:szCs w:val="24"/>
        </w:rPr>
        <w:instrText xml:space="preserve"> HYPERLINK "tel:%E2%80%AA1986-1990%E2%80%AC"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年就读于北京师范大学信息与情报学系，获学士学位；1994-1997</w:t>
      </w:r>
      <w:r>
        <w:rPr>
          <w:rFonts w:hint="eastAsia" w:ascii="宋体" w:hAnsi="宋体"/>
          <w:szCs w:val="24"/>
        </w:rPr>
        <w:fldChar w:fldCharType="begin"/>
      </w:r>
      <w:r>
        <w:rPr>
          <w:rFonts w:hint="eastAsia" w:ascii="宋体" w:hAnsi="宋体"/>
          <w:szCs w:val="24"/>
        </w:rPr>
        <w:instrText xml:space="preserve"> HYPERLINK "tel:%E2%80%AA1994-1997%E2%80%AC"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年就读于中国政法大学研究生院，获法学硕士学位；2003-2006</w:t>
      </w:r>
      <w:r>
        <w:rPr>
          <w:rFonts w:hint="eastAsia" w:ascii="宋体" w:hAnsi="宋体"/>
          <w:szCs w:val="24"/>
        </w:rPr>
        <w:fldChar w:fldCharType="begin"/>
      </w:r>
      <w:r>
        <w:rPr>
          <w:rFonts w:hint="eastAsia" w:ascii="宋体" w:hAnsi="宋体"/>
          <w:szCs w:val="24"/>
        </w:rPr>
        <w:instrText xml:space="preserve"> HYPERLINK "tel:%E2%80%AA2003-2006%E2%80%AC"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年，就读于南开大学国际经济研究所，获国际金融博士学位。</w:t>
      </w:r>
      <w:r>
        <w:rPr>
          <w:rFonts w:hint="eastAsia" w:ascii="宋体" w:hAnsi="宋体" w:eastAsiaTheme="minorEastAsia" w:cstheme="minorBidi"/>
          <w:bCs w:val="0"/>
          <w:szCs w:val="24"/>
        </w:rPr>
        <w:t>1997年8月至2014年12月就职于中国证监会，历任办公厅、党办副主任兼新闻办（网信办）主任；中国证监会办公厅副巡视员；中国证监会深圳专员办处长、副专员；中国证监会期货监管部副处长、处长。</w:t>
      </w:r>
      <w:r>
        <w:rPr>
          <w:rFonts w:hint="eastAsia" w:ascii="宋体" w:hAnsi="宋体" w:eastAsiaTheme="minorEastAsia" w:cstheme="minorBidi"/>
          <w:szCs w:val="24"/>
        </w:rPr>
        <w:t>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snapToGrid/>
        <w:spacing w:line="360" w:lineRule="auto"/>
        <w:ind w:firstLine="420" w:firstLineChars="200"/>
        <w:rPr>
          <w:rFonts w:hint="eastAsia" w:ascii="宋体" w:hAnsi="宋体" w:eastAsiaTheme="minorEastAsia" w:cstheme="minorBidi"/>
          <w:szCs w:val="24"/>
        </w:rPr>
      </w:pPr>
      <w:r>
        <w:rPr>
          <w:rFonts w:hint="eastAsia" w:ascii="宋体" w:hAnsi="宋体" w:eastAsiaTheme="minorEastAsia" w:cstheme="minorBidi"/>
          <w:szCs w:val="24"/>
        </w:rPr>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 月至2011年5月担任徽商银行股份有限公司（香港联交所上市公司，股票代码：3698）董事；自2008 年3月至2011年9月担任安徽省皖能股份有限公司（深圳证券交易所上市公司，股票代码︰000543）董事。苏女士亦拥有会计等相关管理经验，其经验包括：自2011年3 月至2015 年8月担任中国海运（集团）总公司总会计师；自2007年5月至2011年4月担任安徽省能源集团有限公司总会计师，并于2010年11月至2011年4 月担任该公司副总经理。自2018年9月3日起，任博时基金管理有限公司董事。</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widowControl/>
        <w:spacing w:line="360" w:lineRule="auto"/>
        <w:ind w:firstLine="420" w:firstLineChars="200"/>
        <w:rPr>
          <w:rFonts w:hint="eastAsia" w:ascii="宋体" w:hAnsi="宋体"/>
          <w:szCs w:val="24"/>
        </w:rPr>
      </w:pPr>
      <w:r>
        <w:rPr>
          <w:rFonts w:hint="eastAsia" w:ascii="宋体" w:hAnsi="宋体" w:eastAsiaTheme="minorEastAsia" w:cstheme="minorBidi"/>
          <w:szCs w:val="24"/>
        </w:rPr>
        <w:t>姚俊</w:t>
      </w:r>
      <w:r>
        <w:rPr>
          <w:rFonts w:hint="eastAsia" w:ascii="宋体" w:hAnsi="宋体"/>
          <w:szCs w:val="24"/>
        </w:rPr>
        <w:t>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spacing w:line="360" w:lineRule="auto"/>
        <w:ind w:firstLine="420" w:firstLineChars="200"/>
        <w:rPr>
          <w:rFonts w:hint="eastAsia" w:ascii="宋体" w:hAnsi="宋体"/>
          <w:szCs w:val="24"/>
        </w:rPr>
      </w:pPr>
      <w:r>
        <w:rPr>
          <w:rFonts w:hint="eastAsia" w:ascii="宋体" w:hAnsi="宋体"/>
          <w:szCs w:val="24"/>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spacing w:line="360" w:lineRule="auto"/>
        <w:ind w:firstLine="420" w:firstLineChars="200"/>
        <w:rPr>
          <w:rFonts w:hint="eastAsia" w:ascii="宋体" w:hAnsi="宋体"/>
          <w:szCs w:val="24"/>
        </w:rPr>
      </w:pPr>
      <w:r>
        <w:rPr>
          <w:rFonts w:hint="eastAsia" w:ascii="宋体" w:hAnsi="宋体"/>
          <w:szCs w:val="24"/>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spacing w:line="360" w:lineRule="auto"/>
        <w:ind w:firstLine="420" w:firstLineChars="200"/>
        <w:rPr>
          <w:rFonts w:hint="eastAsia" w:ascii="宋体" w:hAnsi="宋体"/>
          <w:szCs w:val="24"/>
        </w:rPr>
      </w:pPr>
      <w:r>
        <w:rPr>
          <w:rFonts w:hint="eastAsia" w:ascii="宋体" w:hAnsi="宋体"/>
          <w:szCs w:val="24"/>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2、基金管理人监事会成员</w:t>
      </w:r>
    </w:p>
    <w:p>
      <w:pPr>
        <w:widowControl/>
        <w:spacing w:line="360" w:lineRule="auto"/>
        <w:ind w:firstLine="420" w:firstLineChars="200"/>
        <w:rPr>
          <w:rFonts w:hint="eastAsia" w:ascii="宋体" w:hAnsi="宋体"/>
          <w:szCs w:val="24"/>
        </w:rPr>
      </w:pPr>
      <w:r>
        <w:rPr>
          <w:rFonts w:hint="eastAsia" w:ascii="宋体" w:hAnsi="宋体"/>
          <w:szCs w:val="24"/>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widowControl/>
        <w:spacing w:line="360" w:lineRule="auto"/>
        <w:ind w:firstLine="420" w:firstLineChars="200"/>
        <w:rPr>
          <w:rFonts w:hint="eastAsia" w:ascii="宋体" w:hAnsi="宋体"/>
          <w:szCs w:val="24"/>
        </w:rPr>
      </w:pPr>
      <w:r>
        <w:rPr>
          <w:rFonts w:hint="eastAsia" w:ascii="宋体" w:hAnsi="宋体"/>
          <w:szCs w:val="24"/>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widowControl/>
        <w:spacing w:line="360" w:lineRule="auto"/>
        <w:ind w:firstLine="420" w:firstLineChars="200"/>
        <w:rPr>
          <w:rFonts w:hint="eastAsia" w:ascii="宋体" w:hAnsi="宋体"/>
          <w:szCs w:val="24"/>
        </w:rPr>
      </w:pPr>
      <w:r>
        <w:rPr>
          <w:rFonts w:hint="eastAsia" w:ascii="宋体" w:hAnsi="宋体"/>
          <w:szCs w:val="24"/>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严斌先生，硕士。1997年7月起先后在华侨城集团公司、博时基金管理有限公司工作。现任博时基金管理有限公司财务部总经理。自2015年5月起，任博时基金管理有限公司监事。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numPr>
          <w:ilvl w:val="-1"/>
          <w:numId w:val="0"/>
        </w:numPr>
        <w:spacing w:line="360" w:lineRule="auto"/>
        <w:ind w:firstLine="420" w:firstLineChars="200"/>
        <w:rPr>
          <w:rFonts w:hint="eastAsia" w:ascii="宋体" w:hAnsi="宋体"/>
          <w:szCs w:val="24"/>
        </w:rPr>
      </w:pPr>
      <w:r>
        <w:rPr>
          <w:rFonts w:hint="eastAsia" w:ascii="宋体" w:hAnsi="宋体"/>
          <w:szCs w:val="24"/>
        </w:rPr>
        <w:t>高级管理人员</w:t>
      </w:r>
    </w:p>
    <w:p>
      <w:pPr>
        <w:widowControl/>
        <w:spacing w:line="360" w:lineRule="auto"/>
        <w:ind w:firstLine="420" w:firstLineChars="200"/>
        <w:rPr>
          <w:rFonts w:hint="eastAsia" w:ascii="宋体" w:hAnsi="宋体"/>
          <w:szCs w:val="24"/>
        </w:rPr>
      </w:pPr>
      <w:r>
        <w:rPr>
          <w:rFonts w:hint="eastAsia" w:ascii="宋体" w:hAnsi="宋体"/>
          <w:szCs w:val="24"/>
        </w:rPr>
        <w:t>江向阳先生，简历同上。</w:t>
      </w:r>
    </w:p>
    <w:p>
      <w:pPr>
        <w:widowControl/>
        <w:spacing w:line="360" w:lineRule="auto"/>
        <w:ind w:firstLine="420" w:firstLineChars="200"/>
        <w:rPr>
          <w:rFonts w:hint="eastAsia" w:ascii="宋体" w:hAnsi="宋体"/>
          <w:szCs w:val="24"/>
        </w:rPr>
      </w:pPr>
      <w:r>
        <w:rPr>
          <w:rFonts w:hint="eastAsia" w:ascii="宋体" w:hAnsi="宋体"/>
          <w:szCs w:val="24"/>
        </w:rPr>
        <w:t>高阳先生，简历同上。</w:t>
      </w:r>
    </w:p>
    <w:p>
      <w:pPr>
        <w:widowControl/>
        <w:spacing w:line="360" w:lineRule="auto"/>
        <w:ind w:firstLine="420" w:firstLineChars="200"/>
        <w:rPr>
          <w:rFonts w:hint="eastAsia" w:ascii="宋体" w:hAnsi="宋体"/>
          <w:szCs w:val="24"/>
        </w:rPr>
      </w:pPr>
      <w:r>
        <w:rPr>
          <w:rFonts w:hint="eastAsia" w:ascii="宋体" w:hAnsi="宋体"/>
          <w:szCs w:val="24"/>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widowControl/>
        <w:spacing w:line="360" w:lineRule="auto"/>
        <w:ind w:firstLine="420" w:firstLineChars="200"/>
        <w:rPr>
          <w:rFonts w:hint="eastAsia" w:ascii="宋体" w:hAnsi="宋体"/>
          <w:szCs w:val="24"/>
        </w:rPr>
      </w:pPr>
      <w:r>
        <w:rPr>
          <w:rFonts w:hint="eastAsia" w:ascii="宋体" w:hAnsi="宋体"/>
          <w:szCs w:val="24"/>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widowControl/>
        <w:spacing w:line="360" w:lineRule="auto"/>
        <w:ind w:firstLine="420" w:firstLineChars="200"/>
        <w:rPr>
          <w:rFonts w:hint="eastAsia" w:ascii="宋体" w:hAnsi="宋体"/>
          <w:szCs w:val="24"/>
        </w:rPr>
      </w:pPr>
      <w:r>
        <w:rPr>
          <w:rFonts w:hint="eastAsia" w:ascii="宋体" w:hAnsi="宋体"/>
          <w:szCs w:val="24"/>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r>
        <w:rPr>
          <w:rFonts w:hint="eastAsia"/>
          <w:sz w:val="21"/>
          <w:szCs w:val="21"/>
        </w:rPr>
        <w:t xml:space="preserve"> </w:t>
      </w:r>
      <w:bookmarkStart w:id="33" w:name="field_0_managerpersoninfo_1_end"/>
      <w:bookmarkEnd w:id="33"/>
      <w:r>
        <w:rPr>
          <w:rFonts w:hint="eastAsia"/>
          <w:sz w:val="21"/>
          <w:szCs w:val="21"/>
        </w:rPr>
        <w:t xml:space="preserve">  </w:t>
      </w:r>
    </w:p>
    <w:p>
      <w:pPr>
        <w:pStyle w:val="7"/>
        <w:spacing w:before="0" w:beforeAutospacing="0" w:after="0" w:afterAutospacing="0" w:line="360" w:lineRule="auto"/>
        <w:ind w:firstLine="420"/>
        <w:rPr>
          <w:sz w:val="21"/>
          <w:szCs w:val="21"/>
        </w:rPr>
      </w:pPr>
      <w:bookmarkStart w:id="34" w:name="chapter_level1_5_53_section_2"/>
      <w:bookmarkEnd w:id="34"/>
      <w:r>
        <w:rPr>
          <w:rFonts w:hint="eastAsia"/>
          <w:sz w:val="21"/>
          <w:szCs w:val="21"/>
        </w:rPr>
        <w:t xml:space="preserve">4、本基金基金经理 </w:t>
      </w:r>
    </w:p>
    <w:p>
      <w:pPr>
        <w:pStyle w:val="7"/>
        <w:spacing w:before="0" w:beforeAutospacing="0" w:after="0" w:afterAutospacing="0" w:line="360" w:lineRule="auto"/>
        <w:ind w:firstLine="420"/>
        <w:rPr>
          <w:sz w:val="21"/>
          <w:szCs w:val="21"/>
        </w:rPr>
      </w:pPr>
      <w:bookmarkStart w:id="35" w:name="field_0_fundmanagerresume_1_start"/>
      <w:bookmarkEnd w:id="35"/>
      <w:r>
        <w:rPr>
          <w:rFonts w:hint="eastAsia" w:ascii="宋体" w:hAnsi="宋体" w:eastAsiaTheme="minorEastAsia" w:cstheme="minorBidi"/>
          <w:i w:val="0"/>
          <w:iCs w:val="0"/>
          <w:caps w:val="0"/>
          <w:spacing w:val="0"/>
          <w:kern w:val="2"/>
          <w:sz w:val="21"/>
          <w:szCs w:val="24"/>
          <w:shd w:val="clear"/>
        </w:rPr>
        <w:t>于玥女士，硕士。2013年起先后在光大金控资产管理有限公司、中金公司、中金基金工作。2020年加入博时基金管理有限公司。曾任博时研究慧选混合型证券投资基金(2022年2月9日-2023年2月24日)基金经理。现任博时第三产业成长混合型证券投资基金(2022年2月9日—至今)的基金经理。</w:t>
      </w:r>
      <w:bookmarkStart w:id="36" w:name="field_0_fundmanagerresume_1_end"/>
      <w:bookmarkEnd w:id="36"/>
      <w:r>
        <w:rPr>
          <w:rFonts w:hint="eastAsia"/>
          <w:sz w:val="21"/>
          <w:szCs w:val="21"/>
        </w:rPr>
        <w:t xml:space="preserve">  </w:t>
      </w:r>
    </w:p>
    <w:p>
      <w:pPr>
        <w:pStyle w:val="7"/>
        <w:spacing w:before="0" w:beforeAutospacing="0" w:after="0" w:afterAutospacing="0" w:line="360" w:lineRule="auto"/>
        <w:ind w:firstLine="420"/>
        <w:rPr>
          <w:sz w:val="21"/>
          <w:szCs w:val="21"/>
        </w:rPr>
      </w:pPr>
      <w:bookmarkStart w:id="37" w:name="field_0_fundmanagershis_1_start"/>
      <w:bookmarkEnd w:id="37"/>
      <w:r>
        <w:rPr>
          <w:rFonts w:hint="eastAsia"/>
          <w:sz w:val="21"/>
          <w:szCs w:val="21"/>
        </w:rPr>
        <w:t>本基金历任基金经理：邹志新（2007年4月12日-2010年11月11日）、刘彦春（2010年8月4日-2014年6月11日）、王雪峰（2014年2月25日-2015年2月9日）、苏永超（2015年2月9日-2018年4月9日）、韩茂华（2017年3月10日</w:t>
      </w:r>
      <w:bookmarkStart w:id="38" w:name="chapter_level1_5_53_section_2_end"/>
      <w:bookmarkEnd w:id="38"/>
      <w:r>
        <w:rPr>
          <w:rFonts w:hint="eastAsia"/>
          <w:sz w:val="21"/>
          <w:szCs w:val="21"/>
        </w:rPr>
        <w:t>-2020年3月9日）、李佳（2018年7月4日-2022年2月9日）。</w:t>
      </w:r>
      <w:bookmarkStart w:id="39" w:name="field_0_fundmanagershis_1_end"/>
      <w:bookmarkEnd w:id="39"/>
      <w:r>
        <w:rPr>
          <w:rFonts w:hint="eastAsia"/>
          <w:sz w:val="21"/>
          <w:szCs w:val="21"/>
        </w:rPr>
        <w:t xml:space="preserve">  </w:t>
      </w:r>
    </w:p>
    <w:p>
      <w:pPr>
        <w:pStyle w:val="7"/>
        <w:spacing w:before="0" w:beforeAutospacing="0" w:after="0" w:afterAutospacing="0" w:line="360" w:lineRule="auto"/>
        <w:ind w:firstLine="420"/>
        <w:rPr>
          <w:sz w:val="21"/>
          <w:szCs w:val="21"/>
        </w:rPr>
      </w:pPr>
      <w:bookmarkStart w:id="40" w:name="chapter_level1_5_53_section_3"/>
      <w:bookmarkEnd w:id="40"/>
      <w:bookmarkStart w:id="41" w:name="field_0_managerpersoninfo2_1_start"/>
      <w:bookmarkEnd w:id="41"/>
      <w:r>
        <w:rPr>
          <w:rFonts w:hint="eastAsia"/>
          <w:sz w:val="21"/>
          <w:szCs w:val="21"/>
        </w:rPr>
        <w:t xml:space="preserve">5、投资决策委员会成员 </w:t>
      </w:r>
    </w:p>
    <w:p>
      <w:pPr>
        <w:widowControl/>
        <w:spacing w:line="360" w:lineRule="auto"/>
        <w:ind w:firstLine="420" w:firstLineChars="200"/>
        <w:rPr>
          <w:rFonts w:hint="eastAsia" w:ascii="宋体" w:hAnsi="宋体"/>
          <w:szCs w:val="24"/>
        </w:rPr>
      </w:pPr>
      <w:r>
        <w:rPr>
          <w:rFonts w:hint="eastAsia" w:ascii="宋体" w:hAnsi="宋体"/>
          <w:szCs w:val="24"/>
        </w:rPr>
        <w:t>公司总经理高阳先生。</w:t>
      </w:r>
    </w:p>
    <w:p>
      <w:pPr>
        <w:widowControl/>
        <w:spacing w:line="360" w:lineRule="auto"/>
        <w:ind w:firstLine="420" w:firstLineChars="200"/>
        <w:rPr>
          <w:rFonts w:hint="eastAsia" w:ascii="宋体" w:hAnsi="宋体"/>
          <w:szCs w:val="24"/>
        </w:rPr>
      </w:pPr>
      <w:r>
        <w:rPr>
          <w:rFonts w:hint="eastAsia" w:ascii="宋体" w:hAnsi="宋体"/>
          <w:szCs w:val="24"/>
        </w:rPr>
        <w:t>公司首席资产配置官黄健斌先生。</w:t>
      </w:r>
    </w:p>
    <w:p>
      <w:pPr>
        <w:widowControl/>
        <w:spacing w:line="360" w:lineRule="auto"/>
        <w:ind w:firstLine="420" w:firstLineChars="200"/>
        <w:rPr>
          <w:rFonts w:hint="eastAsia" w:ascii="宋体" w:hAnsi="宋体"/>
          <w:szCs w:val="24"/>
        </w:rPr>
      </w:pPr>
      <w:r>
        <w:rPr>
          <w:rFonts w:hint="eastAsia" w:ascii="宋体" w:hAnsi="宋体"/>
          <w:szCs w:val="24"/>
        </w:rPr>
        <w:t>首席基金经理过钧先生。</w:t>
      </w:r>
    </w:p>
    <w:p>
      <w:pPr>
        <w:widowControl/>
        <w:spacing w:line="360" w:lineRule="auto"/>
        <w:ind w:firstLine="420" w:firstLineChars="200"/>
        <w:rPr>
          <w:rFonts w:hint="eastAsia" w:ascii="宋体" w:hAnsi="宋体"/>
          <w:szCs w:val="24"/>
        </w:rPr>
      </w:pPr>
      <w:r>
        <w:rPr>
          <w:rFonts w:hint="eastAsia" w:ascii="宋体" w:hAnsi="宋体"/>
          <w:szCs w:val="24"/>
        </w:rPr>
        <w:t>公司董事总经理兼权益投研一体化总监、权益投资四部总经理、权益投资四部投资总监、境外投资部总经理曾鹏先生。</w:t>
      </w:r>
    </w:p>
    <w:p>
      <w:pPr>
        <w:widowControl/>
        <w:spacing w:line="360" w:lineRule="auto"/>
        <w:ind w:firstLine="420" w:firstLineChars="200"/>
        <w:rPr>
          <w:rFonts w:hint="eastAsia" w:ascii="宋体" w:hAnsi="宋体"/>
          <w:szCs w:val="24"/>
        </w:rPr>
      </w:pPr>
      <w:r>
        <w:rPr>
          <w:rFonts w:hint="eastAsia" w:ascii="宋体" w:hAnsi="宋体"/>
          <w:szCs w:val="24"/>
        </w:rPr>
        <w:t>权益投资三部投资总监蔡滨先生。</w:t>
      </w:r>
    </w:p>
    <w:p>
      <w:pPr>
        <w:widowControl/>
        <w:spacing w:line="360" w:lineRule="auto"/>
        <w:ind w:firstLine="420" w:firstLineChars="200"/>
        <w:rPr>
          <w:rFonts w:hint="eastAsia" w:ascii="宋体" w:hAnsi="宋体"/>
          <w:szCs w:val="24"/>
        </w:rPr>
      </w:pPr>
      <w:r>
        <w:rPr>
          <w:rFonts w:hint="eastAsia" w:ascii="宋体" w:hAnsi="宋体"/>
          <w:szCs w:val="24"/>
        </w:rPr>
        <w:t>公司董事总经理兼年金投资部总经理、投资总监杨帆先生。</w:t>
      </w:r>
    </w:p>
    <w:p>
      <w:pPr>
        <w:widowControl/>
        <w:spacing w:line="360" w:lineRule="auto"/>
        <w:ind w:firstLine="420" w:firstLineChars="200"/>
        <w:rPr>
          <w:rFonts w:hint="eastAsia" w:ascii="宋体" w:hAnsi="宋体"/>
          <w:szCs w:val="24"/>
        </w:rPr>
      </w:pPr>
      <w:r>
        <w:rPr>
          <w:rFonts w:hint="eastAsia" w:ascii="宋体" w:hAnsi="宋体"/>
          <w:szCs w:val="24"/>
        </w:rPr>
        <w:t>指数与量化投资部投资总监赵云阳先生。</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行业研究部研究总监兼副总经理金晟哲先生。</w:t>
      </w:r>
      <w:r>
        <w:rPr>
          <w:rFonts w:hint="eastAsia"/>
          <w:sz w:val="21"/>
          <w:szCs w:val="21"/>
        </w:rPr>
        <w:t xml:space="preserve"> </w:t>
      </w:r>
    </w:p>
    <w:p>
      <w:pPr>
        <w:pStyle w:val="7"/>
        <w:spacing w:before="0" w:beforeAutospacing="0" w:after="0" w:afterAutospacing="0" w:line="360" w:lineRule="auto"/>
        <w:ind w:firstLine="420"/>
        <w:rPr>
          <w:sz w:val="21"/>
          <w:szCs w:val="21"/>
        </w:rPr>
      </w:pPr>
      <w:bookmarkStart w:id="42" w:name="chapter_level1_5_53_section_3_end"/>
      <w:bookmarkEnd w:id="42"/>
      <w:r>
        <w:rPr>
          <w:rFonts w:hint="eastAsia"/>
          <w:sz w:val="21"/>
          <w:szCs w:val="21"/>
        </w:rPr>
        <w:t xml:space="preserve">6、上述人员之间均不存在近亲属关系。 </w:t>
      </w:r>
      <w:bookmarkStart w:id="43" w:name="field_0_managerpersoninfo2_1_end"/>
      <w:bookmarkEnd w:id="43"/>
      <w:r>
        <w:rPr>
          <w:rFonts w:hint="eastAsia"/>
          <w:sz w:val="21"/>
          <w:szCs w:val="21"/>
        </w:rPr>
        <w:t xml:space="preserve">  </w:t>
      </w:r>
    </w:p>
    <w:p>
      <w:pPr>
        <w:pStyle w:val="7"/>
        <w:spacing w:before="0" w:beforeAutospacing="0" w:after="0" w:afterAutospacing="0" w:line="360" w:lineRule="auto"/>
        <w:ind w:firstLine="420"/>
        <w:rPr>
          <w:sz w:val="21"/>
          <w:szCs w:val="21"/>
        </w:rPr>
      </w:pPr>
      <w:bookmarkStart w:id="44" w:name="chapter_level1_5_53_section_4"/>
      <w:bookmarkEnd w:id="44"/>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1、依法申请并募集基金，办理或者委托经中国证监会认定的其他机构代为办理基金份额的发售、申购、赎回和登记事宜；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7、除依据《基金法》、基金合同及其他有关规定外，不得利用基金财产为自己及任何第三人谋取利益，不得委托第三人运作基金财产；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8、进行基金会计核算并编制基金的财务会计报告； </w:t>
      </w:r>
    </w:p>
    <w:p>
      <w:pPr>
        <w:pStyle w:val="7"/>
        <w:spacing w:before="0" w:beforeAutospacing="0" w:after="0" w:afterAutospacing="0" w:line="360" w:lineRule="auto"/>
        <w:ind w:firstLine="420"/>
        <w:rPr>
          <w:sz w:val="21"/>
          <w:szCs w:val="21"/>
        </w:rPr>
      </w:pPr>
      <w:r>
        <w:rPr>
          <w:rFonts w:hint="eastAsia"/>
          <w:sz w:val="21"/>
          <w:szCs w:val="21"/>
        </w:rPr>
        <w:t xml:space="preserve">9、依法接受基金托管人的监督；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11、采取适当合理的措施使计算开放式基金份额认购、申购、赎回和注销价格的方法符合基金合同等法律文件的规定；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12、计算并公告基金净值信息，确定基金份额申购、赎回价格；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16、保存基金财产管理业务活动的记录、账册、报表、代表基金签订的重大合同及其他相关资料； </w:t>
      </w:r>
    </w:p>
    <w:p>
      <w:pPr>
        <w:pStyle w:val="7"/>
        <w:spacing w:before="0" w:beforeAutospacing="0" w:after="0" w:afterAutospacing="0" w:line="360" w:lineRule="auto"/>
        <w:ind w:firstLine="420"/>
        <w:rPr>
          <w:sz w:val="21"/>
          <w:szCs w:val="21"/>
        </w:rPr>
      </w:pPr>
      <w:r>
        <w:rPr>
          <w:rFonts w:hint="eastAsia"/>
          <w:sz w:val="21"/>
          <w:szCs w:val="21"/>
        </w:rPr>
        <w:t xml:space="preserve">17、依据《基金法》、基金合同及其他有关规定召集基金份额持有人大会或配合基金托管人、基金份额持有人依法召集基金份额持有人大会；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20、因违反基金合同导致基金财产的损失或损害基金份额持有人的合法权益，应承担赔偿责任，其赔偿责任不因其退任而免除；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 </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（5）依照法律、行政法规有关规定，由中国证监会规定禁止的其他行为。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1、依照有关法律、法规、规章和基金合同的规定，本着谨慎的原则为基金份额持有人谋取最大利益；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公司设立独立的监察法律部，监察法律部保持高度的独立性和权威性，负责对公司各部门风险控制工作进行稽核和检查。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5" w:name="chapter_level1_5_53_section_4_end"/>
      <w:bookmarkEnd w:id="45"/>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6" w:name="chapter_level1_6_55"/>
      <w:bookmarkStart w:id="47" w:name="_Toc113453351"/>
      <w:r>
        <w:rPr>
          <w:rFonts w:hint="eastAsia" w:ascii="宋体" w:hAnsi="宋体" w:eastAsia="宋体"/>
          <w:sz w:val="30"/>
        </w:rPr>
        <w:t>四、基金托管人</w:t>
      </w:r>
      <w:bookmarkEnd w:id="46"/>
      <w:bookmarkEnd w:id="47"/>
    </w:p>
    <w:p>
      <w:pPr>
        <w:pStyle w:val="7"/>
        <w:spacing w:before="0" w:beforeAutospacing="0" w:after="0" w:afterAutospacing="0" w:line="360" w:lineRule="auto"/>
        <w:ind w:firstLine="420"/>
        <w:rPr>
          <w:sz w:val="21"/>
          <w:szCs w:val="21"/>
        </w:rPr>
      </w:pPr>
      <w:bookmarkStart w:id="48" w:name="chapter_level1_6_55_section_1"/>
      <w:bookmarkEnd w:id="48"/>
      <w:bookmarkStart w:id="49" w:name="field_0_trustcompanyinfo_1_start"/>
      <w:bookmarkEnd w:id="49"/>
      <w:r>
        <w:rPr>
          <w:rFonts w:hint="eastAsia"/>
          <w:sz w:val="21"/>
          <w:szCs w:val="21"/>
        </w:rPr>
        <w:t xml:space="preserve">一、基金托管人基本情况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名称：中国工商银行股份有限公司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法定代表人： 陈四清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联系电话：010-66105799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截至2021年12月，中国工商银行资产托管部共有员工214人，平均年龄34岁，95%以上员工拥有大学本科以上学历，高管人员均拥有研究生以上学历或高级技术职称。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 xml:space="preserve">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12月，中国工商银行共托管证券投资基金1288只。自2003年以来，本行连续十八年获得香港《亚洲货币》、英国《全球托管人》、香港《财资》、美国《环球金融》、内地《证券时报》、《上海证券报》等境内外权威财经媒体评选的80项最佳托管银行大奖；是获得奖项最多的国内托管银行，优良的服务品质获得国内外金融领域的持续认可和广泛好评。 </w:t>
      </w:r>
    </w:p>
    <w:p>
      <w:pPr>
        <w:pStyle w:val="7"/>
        <w:spacing w:before="0" w:beforeAutospacing="0" w:after="0" w:afterAutospacing="0" w:line="360" w:lineRule="auto"/>
        <w:ind w:firstLine="420"/>
        <w:rPr>
          <w:sz w:val="21"/>
          <w:szCs w:val="21"/>
        </w:rPr>
      </w:pPr>
      <w:r>
        <w:rPr>
          <w:rFonts w:hint="eastAsia"/>
          <w:sz w:val="21"/>
          <w:szCs w:val="21"/>
        </w:rPr>
        <w:t xml:space="preserve">四、基金托管人的职责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15、按照规定召集基金份额持有人大会或配合基金管理人、基金份额持有人依法自行召集基金份额持有人大会；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bookmarkStart w:id="50" w:name="chapter_level1_6_55_section_1_end"/>
      <w:bookmarkEnd w:id="50"/>
      <w:r>
        <w:rPr>
          <w:rFonts w:hint="eastAsia"/>
          <w:sz w:val="21"/>
          <w:szCs w:val="21"/>
        </w:rPr>
        <w:t xml:space="preserve">22、法律法规及中国证监会规定的和基金合同约定的其他义务。 </w:t>
      </w:r>
      <w:bookmarkStart w:id="51" w:name="field_0_trustcompanyinfo_1_end"/>
      <w:bookmarkEnd w:id="51"/>
      <w:r>
        <w:rPr>
          <w:rFonts w:hint="eastAsia"/>
          <w:sz w:val="21"/>
          <w:szCs w:val="21"/>
        </w:rPr>
        <w:t xml:space="preserve">  </w:t>
      </w:r>
    </w:p>
    <w:p>
      <w:pPr>
        <w:pStyle w:val="7"/>
        <w:spacing w:before="0" w:beforeAutospacing="0" w:after="0" w:afterAutospacing="0" w:line="360" w:lineRule="auto"/>
        <w:ind w:firstLine="420"/>
        <w:rPr>
          <w:sz w:val="21"/>
          <w:szCs w:val="21"/>
        </w:rPr>
      </w:pPr>
      <w:bookmarkStart w:id="52" w:name="chapter_level1_6_55_section_2"/>
      <w:bookmarkEnd w:id="52"/>
      <w:bookmarkStart w:id="53" w:name="field_0_trustcontrollawinfo_1_start"/>
      <w:bookmarkEnd w:id="53"/>
      <w:r>
        <w:rPr>
          <w:rFonts w:hint="eastAsia"/>
          <w:sz w:val="21"/>
          <w:szCs w:val="21"/>
        </w:rPr>
        <w:t xml:space="preserve">五、基金托管人的内部控制制度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1、内部风险控制目标 </w:t>
      </w:r>
    </w:p>
    <w:p>
      <w:pPr>
        <w:pStyle w:val="7"/>
        <w:spacing w:before="0" w:beforeAutospacing="0" w:after="0" w:afterAutospacing="0" w:line="360" w:lineRule="auto"/>
        <w:ind w:firstLine="420"/>
        <w:rPr>
          <w:sz w:val="21"/>
          <w:szCs w:val="21"/>
        </w:rPr>
      </w:pPr>
      <w:r>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pPr>
        <w:pStyle w:val="7"/>
        <w:spacing w:before="0" w:beforeAutospacing="0" w:after="0" w:afterAutospacing="0" w:line="360" w:lineRule="auto"/>
        <w:ind w:firstLine="420"/>
        <w:rPr>
          <w:sz w:val="21"/>
          <w:szCs w:val="21"/>
        </w:rPr>
      </w:pPr>
      <w:r>
        <w:rPr>
          <w:rFonts w:hint="eastAsia"/>
          <w:sz w:val="21"/>
          <w:szCs w:val="21"/>
        </w:rPr>
        <w:t xml:space="preserve">2、内部风险控制组织结构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pPr>
        <w:pStyle w:val="7"/>
        <w:spacing w:before="0" w:beforeAutospacing="0" w:after="0" w:afterAutospacing="0" w:line="360" w:lineRule="auto"/>
        <w:ind w:firstLine="420"/>
        <w:rPr>
          <w:sz w:val="21"/>
          <w:szCs w:val="21"/>
        </w:rPr>
      </w:pPr>
      <w:r>
        <w:rPr>
          <w:rFonts w:hint="eastAsia"/>
          <w:sz w:val="21"/>
          <w:szCs w:val="21"/>
        </w:rPr>
        <w:t xml:space="preserve">3、内部风险控制原则 </w:t>
      </w:r>
    </w:p>
    <w:p>
      <w:pPr>
        <w:pStyle w:val="7"/>
        <w:spacing w:before="0" w:beforeAutospacing="0" w:after="0" w:afterAutospacing="0" w:line="360" w:lineRule="auto"/>
        <w:ind w:firstLine="420"/>
        <w:rPr>
          <w:sz w:val="21"/>
          <w:szCs w:val="21"/>
        </w:rPr>
      </w:pPr>
      <w:r>
        <w:rPr>
          <w:rFonts w:hint="eastAsia"/>
          <w:sz w:val="21"/>
          <w:szCs w:val="21"/>
        </w:rPr>
        <w:t xml:space="preserve">（1）合法性原则。内控制度应当符合国家法律法规及监管机构的监管要求，并贯穿于托管业务经营管理活动的始终。 </w:t>
      </w:r>
    </w:p>
    <w:p>
      <w:pPr>
        <w:pStyle w:val="7"/>
        <w:spacing w:before="0" w:beforeAutospacing="0" w:after="0" w:afterAutospacing="0" w:line="360" w:lineRule="auto"/>
        <w:ind w:firstLine="420"/>
        <w:rPr>
          <w:sz w:val="21"/>
          <w:szCs w:val="21"/>
        </w:rPr>
      </w:pPr>
      <w:r>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pPr>
        <w:pStyle w:val="7"/>
        <w:spacing w:before="0" w:beforeAutospacing="0" w:after="0" w:afterAutospacing="0" w:line="360" w:lineRule="auto"/>
        <w:ind w:firstLine="420"/>
        <w:rPr>
          <w:sz w:val="21"/>
          <w:szCs w:val="21"/>
        </w:rPr>
      </w:pPr>
      <w:r>
        <w:rPr>
          <w:rFonts w:hint="eastAsia"/>
          <w:sz w:val="21"/>
          <w:szCs w:val="21"/>
        </w:rPr>
        <w:t xml:space="preserve">（3）及时性原则。托管业务经营活动必须在发生时能准确及时地记录；按照“内控优先”的原则，新设机构或新增业务品种时，必须做到已建立相关的规章制度。 </w:t>
      </w:r>
    </w:p>
    <w:p>
      <w:pPr>
        <w:pStyle w:val="7"/>
        <w:spacing w:before="0" w:beforeAutospacing="0" w:after="0" w:afterAutospacing="0" w:line="360" w:lineRule="auto"/>
        <w:ind w:firstLine="420"/>
        <w:rPr>
          <w:sz w:val="21"/>
          <w:szCs w:val="21"/>
        </w:rPr>
      </w:pPr>
      <w:r>
        <w:rPr>
          <w:rFonts w:hint="eastAsia"/>
          <w:sz w:val="21"/>
          <w:szCs w:val="21"/>
        </w:rPr>
        <w:t xml:space="preserve">（4）审慎性原则。各项业务经营活动必须防范风险，审慎经营，保证基金资产和其他委托资产的安全与完整。 </w:t>
      </w:r>
    </w:p>
    <w:p>
      <w:pPr>
        <w:pStyle w:val="7"/>
        <w:spacing w:before="0" w:beforeAutospacing="0" w:after="0" w:afterAutospacing="0" w:line="360" w:lineRule="auto"/>
        <w:ind w:firstLine="420"/>
        <w:rPr>
          <w:sz w:val="21"/>
          <w:szCs w:val="21"/>
        </w:rPr>
      </w:pPr>
      <w:r>
        <w:rPr>
          <w:rFonts w:hint="eastAsia"/>
          <w:sz w:val="21"/>
          <w:szCs w:val="21"/>
        </w:rPr>
        <w:t xml:space="preserve">（5）有效性原则。内控制度应根据国家政策、法律及经营管理的需要适时修改完善，并保证得到全面落实执行，不得有任何空间、时限及人员的例外。 </w:t>
      </w:r>
    </w:p>
    <w:p>
      <w:pPr>
        <w:pStyle w:val="7"/>
        <w:spacing w:before="0" w:beforeAutospacing="0" w:after="0" w:afterAutospacing="0" w:line="360" w:lineRule="auto"/>
        <w:ind w:firstLine="420"/>
        <w:rPr>
          <w:sz w:val="21"/>
          <w:szCs w:val="21"/>
        </w:rPr>
      </w:pPr>
      <w:r>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pPr>
        <w:pStyle w:val="7"/>
        <w:spacing w:before="0" w:beforeAutospacing="0" w:after="0" w:afterAutospacing="0" w:line="360" w:lineRule="auto"/>
        <w:ind w:firstLine="420"/>
        <w:rPr>
          <w:sz w:val="21"/>
          <w:szCs w:val="21"/>
        </w:rPr>
      </w:pPr>
      <w:r>
        <w:rPr>
          <w:rFonts w:hint="eastAsia"/>
          <w:sz w:val="21"/>
          <w:szCs w:val="21"/>
        </w:rPr>
        <w:t xml:space="preserve">4、内部风险控制措施实施 </w:t>
      </w:r>
    </w:p>
    <w:p>
      <w:pPr>
        <w:pStyle w:val="7"/>
        <w:spacing w:before="0" w:beforeAutospacing="0" w:after="0" w:afterAutospacing="0" w:line="360" w:lineRule="auto"/>
        <w:ind w:firstLine="420"/>
        <w:rPr>
          <w:sz w:val="21"/>
          <w:szCs w:val="21"/>
        </w:rPr>
      </w:pPr>
      <w:r>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pPr>
        <w:pStyle w:val="7"/>
        <w:spacing w:before="0" w:beforeAutospacing="0" w:after="0" w:afterAutospacing="0" w:line="360" w:lineRule="auto"/>
        <w:ind w:firstLine="420"/>
        <w:rPr>
          <w:sz w:val="21"/>
          <w:szCs w:val="21"/>
        </w:rPr>
      </w:pPr>
      <w:r>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pPr>
        <w:pStyle w:val="7"/>
        <w:spacing w:before="0" w:beforeAutospacing="0" w:after="0" w:afterAutospacing="0" w:line="360" w:lineRule="auto"/>
        <w:ind w:firstLine="420"/>
        <w:rPr>
          <w:sz w:val="21"/>
          <w:szCs w:val="21"/>
        </w:rPr>
      </w:pPr>
      <w:r>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pPr>
        <w:pStyle w:val="7"/>
        <w:spacing w:before="0" w:beforeAutospacing="0" w:after="0" w:afterAutospacing="0" w:line="360" w:lineRule="auto"/>
        <w:ind w:firstLine="420"/>
        <w:rPr>
          <w:sz w:val="21"/>
          <w:szCs w:val="21"/>
        </w:rPr>
      </w:pPr>
      <w:r>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pPr>
        <w:pStyle w:val="7"/>
        <w:spacing w:before="0" w:beforeAutospacing="0" w:after="0" w:afterAutospacing="0" w:line="360" w:lineRule="auto"/>
        <w:ind w:firstLine="420"/>
        <w:rPr>
          <w:sz w:val="21"/>
          <w:szCs w:val="21"/>
        </w:rPr>
      </w:pPr>
      <w:r>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pPr>
        <w:pStyle w:val="7"/>
        <w:spacing w:before="0" w:beforeAutospacing="0" w:after="0" w:afterAutospacing="0" w:line="360" w:lineRule="auto"/>
        <w:ind w:firstLine="420"/>
        <w:rPr>
          <w:sz w:val="21"/>
          <w:szCs w:val="21"/>
        </w:rPr>
      </w:pPr>
      <w:r>
        <w:rPr>
          <w:rFonts w:hint="eastAsia"/>
          <w:sz w:val="21"/>
          <w:szCs w:val="21"/>
        </w:rPr>
        <w:t xml:space="preserve">（6）数据安全控制。我们通过业务操作区相对独立、数据和传真加密、数据传输线路的冗余备份、监控设施的运用和保障等措施来保障数据安全。 </w:t>
      </w:r>
    </w:p>
    <w:p>
      <w:pPr>
        <w:pStyle w:val="7"/>
        <w:spacing w:before="0" w:beforeAutospacing="0" w:after="0" w:afterAutospacing="0" w:line="360" w:lineRule="auto"/>
        <w:ind w:firstLine="420"/>
        <w:rPr>
          <w:sz w:val="21"/>
          <w:szCs w:val="21"/>
        </w:rPr>
      </w:pPr>
      <w:r>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pPr>
        <w:pStyle w:val="7"/>
        <w:spacing w:before="0" w:beforeAutospacing="0" w:after="0" w:afterAutospacing="0" w:line="360" w:lineRule="auto"/>
        <w:ind w:firstLine="420"/>
        <w:rPr>
          <w:sz w:val="21"/>
          <w:szCs w:val="21"/>
        </w:rPr>
      </w:pPr>
      <w:r>
        <w:rPr>
          <w:rFonts w:hint="eastAsia"/>
          <w:sz w:val="21"/>
          <w:szCs w:val="21"/>
        </w:rPr>
        <w:t xml:space="preserve">5、资产托管部内部风险控制情况 </w:t>
      </w:r>
    </w:p>
    <w:p>
      <w:pPr>
        <w:pStyle w:val="7"/>
        <w:spacing w:before="0" w:beforeAutospacing="0" w:after="0" w:afterAutospacing="0" w:line="360" w:lineRule="auto"/>
        <w:ind w:firstLine="420"/>
        <w:rPr>
          <w:sz w:val="21"/>
          <w:szCs w:val="21"/>
        </w:rPr>
      </w:pPr>
      <w:r>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pPr>
        <w:pStyle w:val="7"/>
        <w:spacing w:before="0" w:beforeAutospacing="0" w:after="0" w:afterAutospacing="0" w:line="360" w:lineRule="auto"/>
        <w:ind w:firstLine="420"/>
        <w:rPr>
          <w:sz w:val="21"/>
          <w:szCs w:val="21"/>
        </w:rPr>
      </w:pPr>
      <w:r>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pPr>
        <w:pStyle w:val="7"/>
        <w:spacing w:before="0" w:beforeAutospacing="0" w:after="0" w:afterAutospacing="0" w:line="360" w:lineRule="auto"/>
        <w:ind w:firstLine="420"/>
        <w:rPr>
          <w:sz w:val="21"/>
          <w:szCs w:val="21"/>
        </w:rPr>
      </w:pPr>
      <w:r>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pPr>
        <w:pStyle w:val="7"/>
        <w:spacing w:before="0" w:beforeAutospacing="0" w:after="0" w:afterAutospacing="0" w:line="360" w:lineRule="auto"/>
        <w:ind w:firstLine="420"/>
        <w:rPr>
          <w:sz w:val="21"/>
          <w:szCs w:val="21"/>
        </w:rPr>
      </w:pPr>
      <w:r>
        <w:rPr>
          <w:rFonts w:hint="eastAsia"/>
          <w:sz w:val="21"/>
          <w:szCs w:val="21"/>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pPr>
        <w:pStyle w:val="7"/>
        <w:spacing w:before="0" w:beforeAutospacing="0" w:after="0" w:afterAutospacing="0" w:line="360" w:lineRule="auto"/>
        <w:ind w:firstLine="420"/>
        <w:rPr>
          <w:sz w:val="21"/>
          <w:szCs w:val="21"/>
        </w:rPr>
      </w:pPr>
      <w:r>
        <w:rPr>
          <w:rFonts w:hint="eastAsia"/>
          <w:sz w:val="21"/>
          <w:szCs w:val="21"/>
        </w:rPr>
        <w:t xml:space="preserve">六、基金托管人对基金管理人运作基金进行监督的方法和程序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基金托管人发现基金管理人有重大违规行为，应立即报告中国证监会，同时通知基金管</w:t>
      </w:r>
      <w:bookmarkStart w:id="54" w:name="chapter_level1_6_55_section_2_end"/>
      <w:bookmarkEnd w:id="54"/>
      <w:r>
        <w:rPr>
          <w:rFonts w:hint="eastAsia"/>
          <w:sz w:val="21"/>
          <w:szCs w:val="21"/>
        </w:rPr>
        <w:t xml:space="preserve">理人限期纠正。 </w:t>
      </w:r>
      <w:bookmarkStart w:id="55" w:name="field_0_trustcontrollawinfo_1_end"/>
      <w:bookmarkEnd w:id="5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6" w:name="chapter_level1_7_56"/>
      <w:bookmarkStart w:id="57" w:name="_Toc113453352"/>
      <w:r>
        <w:rPr>
          <w:rFonts w:hint="eastAsia" w:ascii="宋体" w:hAnsi="宋体" w:eastAsia="宋体"/>
          <w:sz w:val="30"/>
        </w:rPr>
        <w:t>五、相关服务机构</w:t>
      </w:r>
      <w:bookmarkEnd w:id="56"/>
      <w:bookmarkEnd w:id="57"/>
    </w:p>
    <w:p>
      <w:pPr>
        <w:pStyle w:val="7"/>
        <w:spacing w:before="0" w:beforeAutospacing="0" w:after="0" w:afterAutospacing="0" w:line="360" w:lineRule="auto"/>
        <w:ind w:firstLine="420"/>
        <w:rPr>
          <w:sz w:val="21"/>
          <w:szCs w:val="21"/>
        </w:rPr>
      </w:pPr>
      <w:bookmarkStart w:id="58" w:name="chapter_level1_7_56_section_1"/>
      <w:bookmarkEnd w:id="58"/>
      <w:r>
        <w:rPr>
          <w:rStyle w:val="11"/>
          <w:rFonts w:hint="eastAsia"/>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9" w:name="field_0_marketcompanyinfo_1_start"/>
      <w:bookmarkEnd w:id="59"/>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0" w:name="chapter_level1_7_56_section_1_end"/>
      <w:bookmarkEnd w:id="60"/>
      <w:r>
        <w:rPr>
          <w:rFonts w:hint="eastAsia"/>
          <w:sz w:val="21"/>
          <w:szCs w:val="21"/>
        </w:rPr>
        <w:t xml:space="preserve">博时一线通：95105568（免长途话费） </w:t>
      </w:r>
      <w:bookmarkStart w:id="61" w:name="field_0_marketcompanyinfo_1_end"/>
      <w:bookmarkEnd w:id="61"/>
      <w:r>
        <w:rPr>
          <w:rFonts w:hint="eastAsia"/>
          <w:sz w:val="21"/>
          <w:szCs w:val="21"/>
        </w:rPr>
        <w:t xml:space="preserve">  </w:t>
      </w:r>
    </w:p>
    <w:p>
      <w:pPr>
        <w:pStyle w:val="7"/>
        <w:spacing w:before="0" w:beforeAutospacing="0" w:after="0" w:afterAutospacing="0" w:line="360" w:lineRule="auto"/>
        <w:ind w:firstLine="420"/>
        <w:rPr>
          <w:sz w:val="21"/>
          <w:szCs w:val="21"/>
        </w:rPr>
      </w:pPr>
      <w:bookmarkStart w:id="62" w:name="chapter_level1_7_56_section_2"/>
      <w:bookmarkEnd w:id="62"/>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3" w:name="field_0_allproxysaletables_1_start"/>
      <w:bookmarkEnd w:id="63"/>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http://www.abchina.com </w:t>
            </w:r>
          </w:p>
        </w:tc>
      </w:tr>
    </w:tbl>
    <w:p>
      <w:pPr>
        <w:pStyle w:val="7"/>
        <w:spacing w:before="0" w:beforeAutospacing="0" w:after="0" w:afterAutospacing="0" w:line="360" w:lineRule="auto"/>
        <w:ind w:firstLine="420"/>
        <w:rPr>
          <w:sz w:val="21"/>
          <w:szCs w:val="21"/>
        </w:rPr>
      </w:pPr>
      <w:r>
        <w:rPr>
          <w:rFonts w:hint="eastAsia"/>
          <w:b/>
          <w:bCs/>
          <w:sz w:val="21"/>
          <w:szCs w:val="21"/>
        </w:rPr>
        <w:t>(3)中国建设银行股份有限公司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(4)交通银行股份有限公司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(5)招商银行股份有限公司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(6)中信银行股份有限公司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(7)上海浦东发展银行股份有限公司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(8)中国光大银行股份有限公司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(9)中国民生银行股份有限公司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(10)中国邮政储蓄银行股份有限公司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(11)北京银行股份有限公司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http://www.bankofbeijing.com.cn/ </w:t>
            </w:r>
          </w:p>
        </w:tc>
      </w:tr>
    </w:tbl>
    <w:p>
      <w:pPr>
        <w:pStyle w:val="7"/>
        <w:spacing w:before="0" w:beforeAutospacing="0" w:after="0" w:afterAutospacing="0" w:line="360" w:lineRule="auto"/>
        <w:ind w:firstLine="420"/>
        <w:rPr>
          <w:sz w:val="21"/>
          <w:szCs w:val="21"/>
        </w:rPr>
      </w:pPr>
      <w:r>
        <w:rPr>
          <w:rFonts w:hint="eastAsia"/>
          <w:b/>
          <w:bCs/>
          <w:sz w:val="21"/>
          <w:szCs w:val="21"/>
        </w:rPr>
        <w:t>(12)华夏银行股份有限公司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(13)广发银行股份有限公司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(14)平安银行股份有限公司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(15)宁波银行股份有限公司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(16)上海农村商业银行股份有限公司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(17)北京农村商业银行股份有限公司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(18)青岛银行股份有限公司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(19)徽商银行股份有限公司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王晓昕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叶卓伟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0551-2667635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0551-2667857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4008896588(安徽省外)、96588(安徽省内)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http://www.hsbank.com.cn </w:t>
            </w:r>
          </w:p>
        </w:tc>
      </w:tr>
    </w:tbl>
    <w:p>
      <w:pPr>
        <w:pStyle w:val="7"/>
        <w:spacing w:before="0" w:beforeAutospacing="0" w:after="0" w:afterAutospacing="0" w:line="360" w:lineRule="auto"/>
        <w:ind w:firstLine="420"/>
        <w:rPr>
          <w:sz w:val="21"/>
          <w:szCs w:val="21"/>
        </w:rPr>
      </w:pPr>
      <w:r>
        <w:rPr>
          <w:rFonts w:hint="eastAsia"/>
          <w:b/>
          <w:bCs/>
          <w:sz w:val="21"/>
          <w:szCs w:val="21"/>
        </w:rPr>
        <w:t>(20)浙商银行股份有限公司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(21)东莞银行股份有限公司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(22)杭州银行股份有限公司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(23)南京银行股份有限公司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(24)温州银行股份有限公司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邢增福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0577-88990082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0577-88995217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（0577）96699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http://www.wzbank.cn </w:t>
            </w:r>
          </w:p>
        </w:tc>
      </w:tr>
    </w:tbl>
    <w:p>
      <w:pPr>
        <w:pStyle w:val="7"/>
        <w:spacing w:before="0" w:beforeAutospacing="0" w:after="0" w:afterAutospacing="0" w:line="360" w:lineRule="auto"/>
        <w:ind w:firstLine="420"/>
        <w:rPr>
          <w:sz w:val="21"/>
          <w:szCs w:val="21"/>
        </w:rPr>
      </w:pPr>
      <w:r>
        <w:rPr>
          <w:rFonts w:hint="eastAsia"/>
          <w:b/>
          <w:bCs/>
          <w:sz w:val="21"/>
          <w:szCs w:val="21"/>
        </w:rPr>
        <w:t>(25)汉口银行股份有限公司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陈新民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027-82656704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027-82656236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027-96558（武汉）;4006096558（全国）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http://www.hkbchina.com </w:t>
            </w:r>
          </w:p>
        </w:tc>
      </w:tr>
    </w:tbl>
    <w:p>
      <w:pPr>
        <w:pStyle w:val="7"/>
        <w:spacing w:before="0" w:beforeAutospacing="0" w:after="0" w:afterAutospacing="0" w:line="360" w:lineRule="auto"/>
        <w:ind w:firstLine="420"/>
        <w:rPr>
          <w:sz w:val="21"/>
          <w:szCs w:val="21"/>
        </w:rPr>
      </w:pPr>
      <w:r>
        <w:rPr>
          <w:rFonts w:hint="eastAsia"/>
          <w:b/>
          <w:bCs/>
          <w:sz w:val="21"/>
          <w:szCs w:val="21"/>
        </w:rPr>
        <w:t>(26)渤海银行股份有限公司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(27)江苏张家港农村商业银行股份有限公司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王自忠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0512-96065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http://www.zrcbank.com </w:t>
            </w:r>
          </w:p>
        </w:tc>
      </w:tr>
    </w:tbl>
    <w:p>
      <w:pPr>
        <w:pStyle w:val="7"/>
        <w:spacing w:before="0" w:beforeAutospacing="0" w:after="0" w:afterAutospacing="0" w:line="360" w:lineRule="auto"/>
        <w:ind w:firstLine="420"/>
        <w:rPr>
          <w:sz w:val="21"/>
          <w:szCs w:val="21"/>
        </w:rPr>
      </w:pPr>
      <w:r>
        <w:rPr>
          <w:rFonts w:hint="eastAsia"/>
          <w:b/>
          <w:bCs/>
          <w:sz w:val="21"/>
          <w:szCs w:val="21"/>
        </w:rPr>
        <w:t>(28)深圳农村商业银行股份有限公司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(29)烟台银行股份有限公司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叶文君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王淑华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0535-6699660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0535-6699884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4008-311-777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http://www.yantaibank.net/ </w:t>
            </w:r>
          </w:p>
        </w:tc>
      </w:tr>
    </w:tbl>
    <w:p>
      <w:pPr>
        <w:pStyle w:val="7"/>
        <w:spacing w:before="0" w:beforeAutospacing="0" w:after="0" w:afterAutospacing="0" w:line="360" w:lineRule="auto"/>
        <w:ind w:firstLine="420"/>
        <w:rPr>
          <w:sz w:val="21"/>
          <w:szCs w:val="21"/>
        </w:rPr>
      </w:pPr>
      <w:r>
        <w:rPr>
          <w:rFonts w:hint="eastAsia"/>
          <w:b/>
          <w:bCs/>
          <w:sz w:val="21"/>
          <w:szCs w:val="21"/>
        </w:rPr>
        <w:t>(30)齐商银行股份有限公司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杲传勇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肖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0533-2178888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0533-2180303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0533-96588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http://www.qsbank.cc </w:t>
            </w:r>
          </w:p>
        </w:tc>
      </w:tr>
    </w:tbl>
    <w:p>
      <w:pPr>
        <w:pStyle w:val="7"/>
        <w:spacing w:before="0" w:beforeAutospacing="0" w:after="0" w:afterAutospacing="0" w:line="360" w:lineRule="auto"/>
        <w:ind w:firstLine="420"/>
        <w:rPr>
          <w:sz w:val="21"/>
          <w:szCs w:val="21"/>
        </w:rPr>
      </w:pPr>
      <w:r>
        <w:rPr>
          <w:rFonts w:hint="eastAsia"/>
          <w:b/>
          <w:bCs/>
          <w:sz w:val="21"/>
          <w:szCs w:val="21"/>
        </w:rPr>
        <w:t>(31)大连银行股份有限公司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http://www.bankofdl.com </w:t>
            </w:r>
          </w:p>
        </w:tc>
      </w:tr>
    </w:tbl>
    <w:p>
      <w:pPr>
        <w:pStyle w:val="7"/>
        <w:spacing w:before="0" w:beforeAutospacing="0" w:after="0" w:afterAutospacing="0" w:line="360" w:lineRule="auto"/>
        <w:ind w:firstLine="420"/>
        <w:rPr>
          <w:sz w:val="21"/>
          <w:szCs w:val="21"/>
        </w:rPr>
      </w:pPr>
      <w:r>
        <w:rPr>
          <w:rFonts w:hint="eastAsia"/>
          <w:b/>
          <w:bCs/>
          <w:sz w:val="21"/>
          <w:szCs w:val="21"/>
        </w:rPr>
        <w:t>(32)哈尔滨银行股份有限公司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哈尔滨市道里区尚志大街160号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哈尔滨市道里区上江街888号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郭志文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李至北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0451-87792450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0451-87792682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http://www.hrbb.com.cn </w:t>
            </w:r>
          </w:p>
        </w:tc>
      </w:tr>
    </w:tbl>
    <w:p>
      <w:pPr>
        <w:pStyle w:val="7"/>
        <w:spacing w:before="0" w:beforeAutospacing="0" w:after="0" w:afterAutospacing="0" w:line="360" w:lineRule="auto"/>
        <w:ind w:firstLine="420"/>
        <w:rPr>
          <w:sz w:val="21"/>
          <w:szCs w:val="21"/>
        </w:rPr>
      </w:pPr>
      <w:r>
        <w:rPr>
          <w:rFonts w:hint="eastAsia"/>
          <w:b/>
          <w:bCs/>
          <w:sz w:val="21"/>
          <w:szCs w:val="21"/>
        </w:rPr>
        <w:t>(33)重庆银行股份有限公司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(34)浙江稠州商业银行股份有限公司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金子军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董晓岚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0571-87117617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0571-87117616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4008096527、（0571）96527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http://www.czcb.com.cn </w:t>
            </w:r>
          </w:p>
        </w:tc>
      </w:tr>
    </w:tbl>
    <w:p>
      <w:pPr>
        <w:pStyle w:val="7"/>
        <w:spacing w:before="0" w:beforeAutospacing="0" w:after="0" w:afterAutospacing="0" w:line="360" w:lineRule="auto"/>
        <w:ind w:firstLine="420"/>
        <w:rPr>
          <w:sz w:val="21"/>
          <w:szCs w:val="21"/>
        </w:rPr>
      </w:pPr>
      <w:r>
        <w:rPr>
          <w:rFonts w:hint="eastAsia"/>
          <w:b/>
          <w:bCs/>
          <w:sz w:val="21"/>
          <w:szCs w:val="21"/>
        </w:rPr>
        <w:t>(35)东莞农村商业银行股份有限公司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(36)河北银行股份有限公司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(37)嘉兴银行股份有限公司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(38)江苏常熟农村商业银行股份有限公司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(39)广东顺德农村商业银行股份有限公司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(40)江苏苏州农村商业银行股份有限公司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(41)金华银行股份有限公司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(42)江苏江南农村商业银行股份有限公司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(43)江苏江阴农村商业银行股份有限公司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李仁法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陆建生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0510-86823403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0510-86805815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0510-96078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http://www.jybank.com.cn/ </w:t>
            </w:r>
          </w:p>
        </w:tc>
      </w:tr>
    </w:tbl>
    <w:p>
      <w:pPr>
        <w:pStyle w:val="7"/>
        <w:spacing w:before="0" w:beforeAutospacing="0" w:after="0" w:afterAutospacing="0" w:line="360" w:lineRule="auto"/>
        <w:ind w:firstLine="420"/>
        <w:rPr>
          <w:sz w:val="21"/>
          <w:szCs w:val="21"/>
        </w:rPr>
      </w:pPr>
      <w:r>
        <w:rPr>
          <w:rFonts w:hint="eastAsia"/>
          <w:b/>
          <w:bCs/>
          <w:sz w:val="21"/>
          <w:szCs w:val="21"/>
        </w:rPr>
        <w:t>(44)郑州银行股份有限公司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王天宇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焦明飞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0371-67009698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0371-67009097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http://www.zzbank.cn </w:t>
            </w:r>
          </w:p>
        </w:tc>
      </w:tr>
    </w:tbl>
    <w:p>
      <w:pPr>
        <w:pStyle w:val="7"/>
        <w:spacing w:before="0" w:beforeAutospacing="0" w:after="0" w:afterAutospacing="0" w:line="360" w:lineRule="auto"/>
        <w:ind w:firstLine="420"/>
        <w:rPr>
          <w:sz w:val="21"/>
          <w:szCs w:val="21"/>
        </w:rPr>
      </w:pPr>
      <w:r>
        <w:rPr>
          <w:rFonts w:hint="eastAsia"/>
          <w:b/>
          <w:bCs/>
          <w:sz w:val="21"/>
          <w:szCs w:val="21"/>
        </w:rPr>
        <w:t>(45)吉林银行股份有限公司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http://www.jlbank.com.cn </w:t>
            </w:r>
          </w:p>
        </w:tc>
      </w:tr>
    </w:tbl>
    <w:p>
      <w:pPr>
        <w:pStyle w:val="7"/>
        <w:spacing w:before="0" w:beforeAutospacing="0" w:after="0" w:afterAutospacing="0" w:line="360" w:lineRule="auto"/>
        <w:ind w:firstLine="420"/>
        <w:rPr>
          <w:sz w:val="21"/>
          <w:szCs w:val="21"/>
        </w:rPr>
      </w:pPr>
      <w:r>
        <w:rPr>
          <w:rFonts w:hint="eastAsia"/>
          <w:b/>
          <w:bCs/>
          <w:sz w:val="21"/>
          <w:szCs w:val="21"/>
        </w:rPr>
        <w:t>(46)苏州银行股份有限公司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(47)威海市商业银行股份有限公司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威海市宝泉路9号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济南市经十路奥体金融中心d栋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谭先国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0531-68978175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0531-68978176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省内96636、境内4000096636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http://www.whccb.com/ </w:t>
            </w:r>
          </w:p>
        </w:tc>
      </w:tr>
    </w:tbl>
    <w:p>
      <w:pPr>
        <w:pStyle w:val="7"/>
        <w:spacing w:before="0" w:beforeAutospacing="0" w:after="0" w:afterAutospacing="0" w:line="360" w:lineRule="auto"/>
        <w:ind w:firstLine="420"/>
        <w:rPr>
          <w:sz w:val="21"/>
          <w:szCs w:val="21"/>
        </w:rPr>
      </w:pPr>
      <w:r>
        <w:rPr>
          <w:rFonts w:hint="eastAsia"/>
          <w:b/>
          <w:bCs/>
          <w:sz w:val="21"/>
          <w:szCs w:val="21"/>
        </w:rPr>
        <w:t>(48)晋商银行股份有限公司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(49)浙江绍兴瑞丰农村商业银行股份有限公司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(50)天相投资顾问有限公司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http://www.txsec.com </w:t>
            </w:r>
          </w:p>
        </w:tc>
      </w:tr>
    </w:tbl>
    <w:p>
      <w:pPr>
        <w:pStyle w:val="7"/>
        <w:spacing w:before="0" w:beforeAutospacing="0" w:after="0" w:afterAutospacing="0" w:line="360" w:lineRule="auto"/>
        <w:ind w:firstLine="420"/>
        <w:rPr>
          <w:sz w:val="21"/>
          <w:szCs w:val="21"/>
        </w:rPr>
      </w:pPr>
      <w:r>
        <w:rPr>
          <w:rFonts w:hint="eastAsia"/>
          <w:b/>
          <w:bCs/>
          <w:sz w:val="21"/>
          <w:szCs w:val="21"/>
        </w:rPr>
        <w:t>(51)深圳市新兰德证券投资咨询有限公司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(52)和讯信息科技有限公司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(53)厦门市鑫鼎盛控股有限公司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(54)江苏天鼎证券投资咨询有限公司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(55)上海挖财基金销售有限公司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(56)大河财富基金销售有限公司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(57)腾安基金销售（深圳）有限公司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(58)民商基金销售（上海）有限公司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(59)北京度小满基金销售有限公司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(60)博时财富基金销售有限公司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(61)诺亚正行基金销售有限公司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(62)深圳众禄基金销售股份有限公司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(63)上海天天基金销售有限公司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(64)上海好买基金销售有限公司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(65)蚂蚁（杭州）基金销售有限公司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(66)上海长量基金销售有限公司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(67)浙江同花顺基金销售有限公司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(68)北京展恒基金销售股份有限公司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(69)上海利得基金销售有限公司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(70)北京中期时代基金销售有限公司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田宏莉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朱剑林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010-65807159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http://www.cifcofund.com/ </w:t>
            </w:r>
          </w:p>
        </w:tc>
      </w:tr>
    </w:tbl>
    <w:p>
      <w:pPr>
        <w:pStyle w:val="7"/>
        <w:spacing w:before="0" w:beforeAutospacing="0" w:after="0" w:afterAutospacing="0" w:line="360" w:lineRule="auto"/>
        <w:ind w:firstLine="420"/>
        <w:rPr>
          <w:sz w:val="21"/>
          <w:szCs w:val="21"/>
        </w:rPr>
      </w:pPr>
      <w:r>
        <w:rPr>
          <w:rFonts w:hint="eastAsia"/>
          <w:b/>
          <w:bCs/>
          <w:sz w:val="21"/>
          <w:szCs w:val="21"/>
        </w:rPr>
        <w:t>(71)嘉实财富管理有限公司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(72)乾道金融信息服务（北京）有限公司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(73)北京创金启富基金销售有限公司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(74)泛华普益基金销售有限公司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(75)宜信普泽（北京）基金销售有限公司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(76)南京苏宁基金销售有限公司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(77)浦领基金销售有限公司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(78)北京增财基金销售有限公司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http://www.zcvc.com.cn </w:t>
            </w:r>
          </w:p>
        </w:tc>
      </w:tr>
    </w:tbl>
    <w:p>
      <w:pPr>
        <w:pStyle w:val="7"/>
        <w:spacing w:before="0" w:beforeAutospacing="0" w:after="0" w:afterAutospacing="0" w:line="360" w:lineRule="auto"/>
        <w:ind w:firstLine="420"/>
        <w:rPr>
          <w:sz w:val="21"/>
          <w:szCs w:val="21"/>
        </w:rPr>
      </w:pPr>
      <w:r>
        <w:rPr>
          <w:rFonts w:hint="eastAsia"/>
          <w:b/>
          <w:bCs/>
          <w:sz w:val="21"/>
          <w:szCs w:val="21"/>
        </w:rPr>
        <w:t>(79)深圳腾元基金销售有限公司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(80)通华财富（上海）基金销售有限公司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https://www.tonghuafund.com </w:t>
            </w:r>
          </w:p>
        </w:tc>
      </w:tr>
    </w:tbl>
    <w:p>
      <w:pPr>
        <w:pStyle w:val="7"/>
        <w:spacing w:before="0" w:beforeAutospacing="0" w:after="0" w:afterAutospacing="0" w:line="360" w:lineRule="auto"/>
        <w:ind w:firstLine="420"/>
        <w:rPr>
          <w:sz w:val="21"/>
          <w:szCs w:val="21"/>
        </w:rPr>
      </w:pPr>
      <w:r>
        <w:rPr>
          <w:rFonts w:hint="eastAsia"/>
          <w:b/>
          <w:bCs/>
          <w:sz w:val="21"/>
          <w:szCs w:val="21"/>
        </w:rPr>
        <w:t>(81)北京中植基金销售有限公司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(82)北京汇成基金销售有限公司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(83)一路财富（北京）基金销售股份有限公司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(84)北京钱景基金销售有限公司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(85)海银基金销售有限公司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(86)北京广源达信投资管理有限公司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(87)天津国美基金销售有限公司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(88)北京新浪仓石基金销售有限公司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(89)北京加和基金销售有限公司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www.bzfunds.com </w:t>
            </w:r>
          </w:p>
        </w:tc>
      </w:tr>
    </w:tbl>
    <w:p>
      <w:pPr>
        <w:pStyle w:val="7"/>
        <w:spacing w:before="0" w:beforeAutospacing="0" w:after="0" w:afterAutospacing="0" w:line="360" w:lineRule="auto"/>
        <w:ind w:firstLine="420"/>
        <w:rPr>
          <w:sz w:val="21"/>
          <w:szCs w:val="21"/>
        </w:rPr>
      </w:pPr>
      <w:r>
        <w:rPr>
          <w:rFonts w:hint="eastAsia"/>
          <w:b/>
          <w:bCs/>
          <w:sz w:val="21"/>
          <w:szCs w:val="21"/>
        </w:rPr>
        <w:t>(90)北京辉腾汇富基金销售有限公司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北京市东城区建国门内大街18号15层办公楼一座1502室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北京市东城区朝阳门北大街8号富华大厦F座12层B室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65181028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65174782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http://www.htfund.com </w:t>
            </w:r>
          </w:p>
        </w:tc>
      </w:tr>
    </w:tbl>
    <w:p>
      <w:pPr>
        <w:pStyle w:val="7"/>
        <w:spacing w:before="0" w:beforeAutospacing="0" w:after="0" w:afterAutospacing="0" w:line="360" w:lineRule="auto"/>
        <w:ind w:firstLine="420"/>
        <w:rPr>
          <w:sz w:val="21"/>
          <w:szCs w:val="21"/>
        </w:rPr>
      </w:pPr>
      <w:r>
        <w:rPr>
          <w:rFonts w:hint="eastAsia"/>
          <w:b/>
          <w:bCs/>
          <w:sz w:val="21"/>
          <w:szCs w:val="21"/>
        </w:rPr>
        <w:t>(91)上海万得基金销售有限公司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(92)上海联泰基金销售有限公司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(93)深圳市金海九州基金销售有限公司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(94)上海汇付金融服务有限公司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fund.bundtrade.com </w:t>
            </w:r>
          </w:p>
        </w:tc>
      </w:tr>
    </w:tbl>
    <w:p>
      <w:pPr>
        <w:pStyle w:val="7"/>
        <w:spacing w:before="0" w:beforeAutospacing="0" w:after="0" w:afterAutospacing="0" w:line="360" w:lineRule="auto"/>
        <w:ind w:firstLine="420"/>
        <w:rPr>
          <w:sz w:val="21"/>
          <w:szCs w:val="21"/>
        </w:rPr>
      </w:pPr>
      <w:r>
        <w:rPr>
          <w:rFonts w:hint="eastAsia"/>
          <w:b/>
          <w:bCs/>
          <w:sz w:val="21"/>
          <w:szCs w:val="21"/>
        </w:rPr>
        <w:t>(95)北京坤元基金销售有限公司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(96)江西正融基金销售有限公司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(97)上海基煜基金销售有限公司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(98)上海凯石财富基金销售有限公司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www.lingxianfund.com </w:t>
            </w:r>
          </w:p>
        </w:tc>
      </w:tr>
    </w:tbl>
    <w:p>
      <w:pPr>
        <w:pStyle w:val="7"/>
        <w:spacing w:before="0" w:beforeAutospacing="0" w:after="0" w:afterAutospacing="0" w:line="360" w:lineRule="auto"/>
        <w:ind w:firstLine="420"/>
        <w:rPr>
          <w:sz w:val="21"/>
          <w:szCs w:val="21"/>
        </w:rPr>
      </w:pPr>
      <w:r>
        <w:rPr>
          <w:rFonts w:hint="eastAsia"/>
          <w:b/>
          <w:bCs/>
          <w:sz w:val="21"/>
          <w:szCs w:val="21"/>
        </w:rPr>
        <w:t>(99)上海中正达广基金销售有限公司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(100)北京虹点基金销售有限公司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(101)深圳新华信通基金销售有限公司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(102)深圳富济基金销售有限公司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(103)上海陆金所基金销售有限公司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(104)珠海盈米基金销售有限公司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(105)和耕传承基金销售有限公司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(106)南京途牛基金销售有限公司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(107)奕丰基金销售有限公司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www.ifastps.com.cn </w:t>
            </w:r>
          </w:p>
        </w:tc>
      </w:tr>
    </w:tbl>
    <w:p>
      <w:pPr>
        <w:pStyle w:val="7"/>
        <w:spacing w:before="0" w:beforeAutospacing="0" w:after="0" w:afterAutospacing="0" w:line="360" w:lineRule="auto"/>
        <w:ind w:firstLine="420"/>
        <w:rPr>
          <w:sz w:val="21"/>
          <w:szCs w:val="21"/>
        </w:rPr>
      </w:pPr>
      <w:r>
        <w:rPr>
          <w:rFonts w:hint="eastAsia"/>
          <w:b/>
          <w:bCs/>
          <w:sz w:val="21"/>
          <w:szCs w:val="21"/>
        </w:rPr>
        <w:t>(108)中证金牛（北京）基金销售有限公司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(109)北京懒猫基金销售有限公司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www.lanmao.com </w:t>
            </w:r>
          </w:p>
        </w:tc>
      </w:tr>
    </w:tbl>
    <w:p>
      <w:pPr>
        <w:pStyle w:val="7"/>
        <w:spacing w:before="0" w:beforeAutospacing="0" w:after="0" w:afterAutospacing="0" w:line="360" w:lineRule="auto"/>
        <w:ind w:firstLine="420"/>
        <w:rPr>
          <w:sz w:val="21"/>
          <w:szCs w:val="21"/>
        </w:rPr>
      </w:pPr>
      <w:r>
        <w:rPr>
          <w:rFonts w:hint="eastAsia"/>
          <w:b/>
          <w:bCs/>
          <w:sz w:val="21"/>
          <w:szCs w:val="21"/>
        </w:rPr>
        <w:t>(110)京东肯特瑞基金销售有限公司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(111)大连网金基金销售有限公司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(112)深圳市金斧子基金销售有限公司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(113)北京雪球基金销售有限公司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(114)深圳前海欧中联合基金销售有限公司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http://www.ecpefund.com/ </w:t>
            </w:r>
          </w:p>
        </w:tc>
      </w:tr>
    </w:tbl>
    <w:p>
      <w:pPr>
        <w:pStyle w:val="7"/>
        <w:spacing w:before="0" w:beforeAutospacing="0" w:after="0" w:afterAutospacing="0" w:line="360" w:lineRule="auto"/>
        <w:ind w:firstLine="420"/>
        <w:rPr>
          <w:sz w:val="21"/>
          <w:szCs w:val="21"/>
        </w:rPr>
      </w:pPr>
      <w:r>
        <w:rPr>
          <w:rFonts w:hint="eastAsia"/>
          <w:b/>
          <w:bCs/>
          <w:sz w:val="21"/>
          <w:szCs w:val="21"/>
        </w:rPr>
        <w:t>(115)深圳前海财厚基金销售有限公司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(116)万家财富基金销售（天津）有限公司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(117)上海华夏财富投资管理有限公司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(118)洪泰财富（青岛）基金销售有限责任公司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(119)中国国际期货股份有限公司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http://www.cifco.net </w:t>
            </w:r>
          </w:p>
        </w:tc>
      </w:tr>
    </w:tbl>
    <w:p>
      <w:pPr>
        <w:pStyle w:val="7"/>
        <w:spacing w:before="0" w:beforeAutospacing="0" w:after="0" w:afterAutospacing="0" w:line="360" w:lineRule="auto"/>
        <w:ind w:firstLine="420"/>
        <w:rPr>
          <w:sz w:val="21"/>
          <w:szCs w:val="21"/>
        </w:rPr>
      </w:pPr>
      <w:r>
        <w:rPr>
          <w:rFonts w:hint="eastAsia"/>
          <w:b/>
          <w:bCs/>
          <w:sz w:val="21"/>
          <w:szCs w:val="21"/>
        </w:rPr>
        <w:t>(120)中信建投期货有限公司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www.cfc108.com </w:t>
            </w:r>
          </w:p>
        </w:tc>
      </w:tr>
    </w:tbl>
    <w:p>
      <w:pPr>
        <w:pStyle w:val="7"/>
        <w:spacing w:before="0" w:beforeAutospacing="0" w:after="0" w:afterAutospacing="0" w:line="360" w:lineRule="auto"/>
        <w:ind w:firstLine="420"/>
        <w:rPr>
          <w:sz w:val="21"/>
          <w:szCs w:val="21"/>
        </w:rPr>
      </w:pPr>
      <w:r>
        <w:rPr>
          <w:rFonts w:hint="eastAsia"/>
          <w:b/>
          <w:bCs/>
          <w:sz w:val="21"/>
          <w:szCs w:val="21"/>
        </w:rPr>
        <w:t>(121)中信期货有限公司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(122)徽商期货有限责任公司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www.hsqh.net </w:t>
            </w:r>
          </w:p>
        </w:tc>
      </w:tr>
    </w:tbl>
    <w:p>
      <w:pPr>
        <w:pStyle w:val="7"/>
        <w:spacing w:before="0" w:beforeAutospacing="0" w:after="0" w:afterAutospacing="0" w:line="360" w:lineRule="auto"/>
        <w:ind w:firstLine="420"/>
        <w:rPr>
          <w:sz w:val="21"/>
          <w:szCs w:val="21"/>
        </w:rPr>
      </w:pPr>
      <w:r>
        <w:rPr>
          <w:rFonts w:hint="eastAsia"/>
          <w:b/>
          <w:bCs/>
          <w:sz w:val="21"/>
          <w:szCs w:val="21"/>
        </w:rPr>
        <w:t>(123)东海期货有限责任公司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李天雨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www.qh168.com.cn </w:t>
            </w:r>
          </w:p>
        </w:tc>
      </w:tr>
    </w:tbl>
    <w:p>
      <w:pPr>
        <w:pStyle w:val="7"/>
        <w:spacing w:before="0" w:beforeAutospacing="0" w:after="0" w:afterAutospacing="0" w:line="360" w:lineRule="auto"/>
        <w:ind w:firstLine="420"/>
        <w:rPr>
          <w:sz w:val="21"/>
          <w:szCs w:val="21"/>
        </w:rPr>
      </w:pPr>
      <w:r>
        <w:rPr>
          <w:rFonts w:hint="eastAsia"/>
          <w:b/>
          <w:bCs/>
          <w:sz w:val="21"/>
          <w:szCs w:val="21"/>
        </w:rPr>
        <w:t>(124)大有期货有限公司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(125)和合期货有限公司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(126)国泰君安证券股份有限公司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(127)中信建投证券股份有限公司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(128)国信证券股份有限公司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(129)招商证券股份有限公司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(130)广发证券股份有限公司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(131)中信证券股份有限公司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(132)中国银河证券股份有限公司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(133)海通证券股份有限公司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(134)申万宏源证券有限公司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(135)兴业证券股份有限公司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(136)长江证券股份有限公司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(137)安信证券股份有限公司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(138)西南证券股份有限公司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(139)湘财证券股份有限公司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(140)万联证券股份有限公司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(141)国元证券股份有限公司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(142)渤海证券股份有限公司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(143)华泰证券股份有限公司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(144)山西证券股份有限公司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(145)中信证券（山东）有限责任公司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(146)东兴证券股份有限公司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(147)东吴证券股份有限公司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(148)信达证券股份有限公司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(149)东方证券股份有限公司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(150)方正证券股份有限公司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(151)长城证券股份有限公司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(152)光大证券股份有限公司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(153)中信证券华南股份有限公司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(154)东北证券股份有限公司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(155)南京证券股份有限公司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(156)上海证券有限责任公司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(157)诚通证券股份有限公司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(158)大同证券有限责任公司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(159)国联证券股份有限公司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(160)浙商证券股份有限公司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(161)平安证券股份有限公司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(162)华安证券股份有限公司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(163)国海证券股份有限公司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(164)财信证券有限责任公司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http://www.cfzq.com/ </w:t>
            </w:r>
          </w:p>
        </w:tc>
      </w:tr>
    </w:tbl>
    <w:p>
      <w:pPr>
        <w:pStyle w:val="7"/>
        <w:spacing w:before="0" w:beforeAutospacing="0" w:after="0" w:afterAutospacing="0" w:line="360" w:lineRule="auto"/>
        <w:ind w:firstLine="420"/>
        <w:rPr>
          <w:sz w:val="21"/>
          <w:szCs w:val="21"/>
        </w:rPr>
      </w:pPr>
      <w:r>
        <w:rPr>
          <w:rFonts w:hint="eastAsia"/>
          <w:b/>
          <w:bCs/>
          <w:sz w:val="21"/>
          <w:szCs w:val="21"/>
        </w:rPr>
        <w:t>(165)东莞证券有限责任公司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(166)中原证券股份有限公司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(167)东海证券股份有限公司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(168)中银国际证券股份有限公司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(169)恒泰证券股份有限公司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(170)国盛证券有限责任公司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(171)华西证券股份有限公司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(172)申万宏源西部证券有限公司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(173)中泰证券股份有限公司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(174)世纪证券有限责任公司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(175)第一创业证券股份有限公司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(176)中航证券有限公司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http://www.avicsec.com/ </w:t>
            </w:r>
          </w:p>
        </w:tc>
      </w:tr>
    </w:tbl>
    <w:p>
      <w:pPr>
        <w:pStyle w:val="7"/>
        <w:spacing w:before="0" w:beforeAutospacing="0" w:after="0" w:afterAutospacing="0" w:line="360" w:lineRule="auto"/>
        <w:ind w:firstLine="420"/>
        <w:rPr>
          <w:sz w:val="21"/>
          <w:szCs w:val="21"/>
        </w:rPr>
      </w:pPr>
      <w:r>
        <w:rPr>
          <w:rFonts w:hint="eastAsia"/>
          <w:b/>
          <w:bCs/>
          <w:sz w:val="21"/>
          <w:szCs w:val="21"/>
        </w:rPr>
        <w:t>(177)华林证券股份有限公司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(178)德邦证券股份有限公司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(179)西部证券股份有限公司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(180)华福证券有限责任公司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(181)华龙证券股份有限公司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(182)中国国际金融股份有限公司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(183)财通证券股份有限公司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(184)五矿证券有限公司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(185)华鑫证券有限责任公司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(186)中国中金财富证券有限公司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(187)中山证券有限责任公司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(188)东方财富证券股份有限公司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(189)国融证券股份有限公司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陈韦杉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+86 10 83991888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+86 10 88086637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http://www.grzq.com/ </w:t>
            </w:r>
          </w:p>
        </w:tc>
      </w:tr>
    </w:tbl>
    <w:p>
      <w:pPr>
        <w:pStyle w:val="7"/>
        <w:spacing w:before="0" w:beforeAutospacing="0" w:after="0" w:afterAutospacing="0" w:line="360" w:lineRule="auto"/>
        <w:ind w:firstLine="420"/>
        <w:rPr>
          <w:sz w:val="21"/>
          <w:szCs w:val="21"/>
        </w:rPr>
      </w:pPr>
      <w:r>
        <w:rPr>
          <w:rFonts w:hint="eastAsia"/>
          <w:b/>
          <w:bCs/>
          <w:sz w:val="21"/>
          <w:szCs w:val="21"/>
        </w:rPr>
        <w:t>(190)粤开证券股份有限公司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(191)江海证券有限公司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(192)九州证券股份有限公司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(193)国金证券股份有限公司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(194)华宝证券股份有限公司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(195)长城国瑞证券有限公司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(196)爱建证券有限责任公司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(197)英大证券有限责任公司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(198)国新证券股份有限公司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北京市西城区车公庄大街4号2幢1层A2112室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北京市朝阳区朝阳门北大街18号中国人保寿险大厦12层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张海文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孙燕波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010-85556048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http://www.crsec.com.cn </w:t>
            </w:r>
          </w:p>
        </w:tc>
      </w:tr>
    </w:tbl>
    <w:p>
      <w:pPr>
        <w:pStyle w:val="7"/>
        <w:spacing w:before="0" w:beforeAutospacing="0" w:after="0" w:afterAutospacing="0" w:line="360" w:lineRule="auto"/>
        <w:ind w:firstLine="420"/>
        <w:rPr>
          <w:sz w:val="21"/>
          <w:szCs w:val="21"/>
        </w:rPr>
      </w:pPr>
      <w:r>
        <w:rPr>
          <w:rFonts w:hint="eastAsia"/>
          <w:b/>
          <w:bCs/>
          <w:sz w:val="21"/>
          <w:szCs w:val="21"/>
        </w:rPr>
        <w:t>(199)财达证券股份有限公司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(200)大通证券股份有限公司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http://www.daton.com.cn </w:t>
            </w:r>
          </w:p>
        </w:tc>
      </w:tr>
    </w:tbl>
    <w:p>
      <w:pPr>
        <w:pStyle w:val="7"/>
        <w:spacing w:before="0" w:beforeAutospacing="0" w:after="0" w:afterAutospacing="0" w:line="360" w:lineRule="auto"/>
        <w:ind w:firstLine="420"/>
        <w:rPr>
          <w:sz w:val="21"/>
          <w:szCs w:val="21"/>
        </w:rPr>
      </w:pPr>
      <w:r>
        <w:rPr>
          <w:rFonts w:hint="eastAsia"/>
          <w:b/>
          <w:bCs/>
          <w:sz w:val="21"/>
          <w:szCs w:val="21"/>
        </w:rPr>
        <w:t>(201)首创证券股份有限公司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(202)太平洋证券股份有限公司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(203)联储证券有限责任公司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(204)华瑞保险销售有限公司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(205)玄元保险代理有限公司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(206)阳光人寿保险股份有限公司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(207)中国人寿保险股份有限公司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(208)泉州银行股份有限公司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(209)龙江银行股份有限公司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(210)桂林银行股份有限公司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(211)德州银行股份有限公司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www.dzbchina.com </w:t>
            </w:r>
          </w:p>
        </w:tc>
      </w:tr>
    </w:tbl>
    <w:p>
      <w:pPr>
        <w:pStyle w:val="7"/>
        <w:spacing w:before="0" w:beforeAutospacing="0" w:after="0" w:afterAutospacing="0" w:line="360" w:lineRule="auto"/>
        <w:ind w:firstLine="420"/>
        <w:rPr>
          <w:sz w:val="21"/>
          <w:szCs w:val="21"/>
        </w:rPr>
      </w:pPr>
      <w:r>
        <w:rPr>
          <w:rFonts w:hint="eastAsia"/>
          <w:b/>
          <w:bCs/>
          <w:sz w:val="21"/>
          <w:szCs w:val="21"/>
        </w:rPr>
        <w:t>(212)中原银行股份有限公司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徐诺金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田力源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0371-61910219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0371-85519869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www.zybank.com.cn </w:t>
            </w:r>
          </w:p>
        </w:tc>
      </w:tr>
    </w:tbl>
    <w:p>
      <w:pPr>
        <w:pStyle w:val="7"/>
        <w:spacing w:before="0" w:beforeAutospacing="0" w:after="0" w:afterAutospacing="0" w:line="360" w:lineRule="auto"/>
        <w:ind w:firstLine="420"/>
        <w:rPr>
          <w:sz w:val="21"/>
          <w:szCs w:val="21"/>
        </w:rPr>
      </w:pPr>
      <w:r>
        <w:rPr>
          <w:rFonts w:hint="eastAsia"/>
          <w:b/>
          <w:bCs/>
          <w:sz w:val="21"/>
          <w:szCs w:val="21"/>
        </w:rPr>
        <w:t>(213)兰州银行股份有限公司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rPr>
          <w:rFonts w:ascii="宋体" w:hAnsi="宋体" w:eastAsia="宋体"/>
          <w:sz w:val="24"/>
          <w:szCs w:val="24"/>
        </w:rPr>
      </w:pPr>
      <w:bookmarkStart w:id="64" w:name="field_0_allproxysaletables_1_end"/>
      <w:bookmarkEnd w:id="64"/>
      <w:r>
        <w:rPr>
          <w:rFonts w:ascii="宋体" w:hAnsi="宋体" w:eastAsia="宋体"/>
        </w:rPr>
        <w:t xml:space="preserve">  </w:t>
      </w:r>
    </w:p>
    <w:p>
      <w:pPr>
        <w:pStyle w:val="7"/>
        <w:spacing w:before="0" w:beforeAutospacing="0" w:after="0" w:afterAutospacing="0" w:line="360" w:lineRule="auto"/>
        <w:ind w:firstLine="420"/>
        <w:rPr>
          <w:sz w:val="21"/>
          <w:szCs w:val="21"/>
        </w:rPr>
      </w:pPr>
      <w:bookmarkStart w:id="65" w:name="chapter_level1_7_56_section_2_end"/>
      <w:bookmarkEnd w:id="65"/>
    </w:p>
    <w:p>
      <w:pPr>
        <w:pStyle w:val="7"/>
        <w:spacing w:before="0" w:beforeAutospacing="0" w:after="0" w:afterAutospacing="0" w:line="360" w:lineRule="auto"/>
        <w:ind w:firstLine="420"/>
        <w:rPr>
          <w:sz w:val="21"/>
          <w:szCs w:val="21"/>
        </w:rPr>
      </w:pPr>
      <w:bookmarkStart w:id="66" w:name="chapter_level1_7_56_section_3"/>
      <w:bookmarkEnd w:id="66"/>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67" w:name="field_0_registercompanyinfo_1_start"/>
      <w:bookmarkEnd w:id="67"/>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8" w:name="field_0_registercompanyinfo_1_end"/>
      <w:bookmarkEnd w:id="6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机构名称：上海源泰律师事务所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办公地址：上海浦东新区浦东南路256号华夏银行大厦14楼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负责人：廖海 </w:t>
      </w:r>
    </w:p>
    <w:p>
      <w:pPr>
        <w:pStyle w:val="7"/>
        <w:spacing w:before="0" w:beforeAutospacing="0" w:after="0" w:afterAutospacing="0" w:line="360" w:lineRule="auto"/>
        <w:ind w:firstLine="420"/>
        <w:rPr>
          <w:sz w:val="21"/>
          <w:szCs w:val="21"/>
        </w:rPr>
      </w:pPr>
      <w:r>
        <w:rPr>
          <w:rFonts w:hint="eastAsia"/>
          <w:sz w:val="21"/>
          <w:szCs w:val="21"/>
        </w:rPr>
        <w:t xml:space="preserve">电话：021－51150298 </w:t>
      </w:r>
    </w:p>
    <w:p>
      <w:pPr>
        <w:pStyle w:val="7"/>
        <w:spacing w:before="0" w:beforeAutospacing="0" w:after="0" w:afterAutospacing="0" w:line="360" w:lineRule="auto"/>
        <w:ind w:firstLine="420"/>
        <w:rPr>
          <w:sz w:val="21"/>
          <w:szCs w:val="21"/>
        </w:rPr>
      </w:pPr>
      <w:r>
        <w:rPr>
          <w:rFonts w:hint="eastAsia"/>
          <w:sz w:val="21"/>
          <w:szCs w:val="21"/>
        </w:rPr>
        <w:t xml:space="preserve">传真：021－51150398 </w:t>
      </w:r>
    </w:p>
    <w:p>
      <w:pPr>
        <w:pStyle w:val="7"/>
        <w:spacing w:before="0" w:beforeAutospacing="0" w:after="0" w:afterAutospacing="0" w:line="360" w:lineRule="auto"/>
        <w:ind w:firstLine="420"/>
        <w:rPr>
          <w:sz w:val="21"/>
          <w:szCs w:val="21"/>
        </w:rPr>
      </w:pPr>
      <w:r>
        <w:rPr>
          <w:rFonts w:hint="eastAsia"/>
          <w:sz w:val="21"/>
          <w:szCs w:val="21"/>
        </w:rPr>
        <w:t xml:space="preserve">联系人：廖海 </w:t>
      </w:r>
    </w:p>
    <w:p>
      <w:pPr>
        <w:pStyle w:val="7"/>
        <w:spacing w:before="0" w:beforeAutospacing="0" w:after="0" w:afterAutospacing="0" w:line="360" w:lineRule="auto"/>
        <w:ind w:firstLine="420"/>
        <w:rPr>
          <w:sz w:val="21"/>
          <w:szCs w:val="21"/>
        </w:rPr>
      </w:pPr>
      <w:r>
        <w:rPr>
          <w:rFonts w:hint="eastAsia"/>
          <w:sz w:val="21"/>
          <w:szCs w:val="21"/>
        </w:rPr>
        <w:t xml:space="preserve">经办律师：廖海、吕红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69" w:name="field_0_accountingcompanyinfo_1_start"/>
      <w:bookmarkEnd w:id="69"/>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0" w:name="chapter_level1_7_56_section_3_end"/>
      <w:bookmarkEnd w:id="70"/>
      <w:r>
        <w:rPr>
          <w:rFonts w:hint="eastAsia"/>
          <w:sz w:val="21"/>
          <w:szCs w:val="21"/>
        </w:rPr>
        <w:t xml:space="preserve">经办注册会计师：薛竞、沈兆杰 </w:t>
      </w:r>
      <w:bookmarkStart w:id="71" w:name="field_0_accountingcompanyinfo_1_end"/>
      <w:bookmarkEnd w:id="7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2" w:name="chapter_level1_8_29719"/>
      <w:bookmarkStart w:id="73" w:name="_Toc113453353"/>
      <w:r>
        <w:rPr>
          <w:rFonts w:hint="eastAsia" w:ascii="宋体" w:hAnsi="宋体" w:eastAsia="宋体"/>
          <w:sz w:val="30"/>
        </w:rPr>
        <w:t>六、 基金的历史变革</w:t>
      </w:r>
      <w:bookmarkEnd w:id="72"/>
      <w:bookmarkEnd w:id="73"/>
    </w:p>
    <w:p>
      <w:pPr>
        <w:pStyle w:val="7"/>
        <w:spacing w:before="0" w:beforeAutospacing="0" w:after="0" w:afterAutospacing="0" w:line="360" w:lineRule="auto"/>
        <w:ind w:firstLine="420"/>
        <w:rPr>
          <w:sz w:val="21"/>
          <w:szCs w:val="21"/>
        </w:rPr>
      </w:pPr>
      <w:bookmarkStart w:id="74" w:name="chapter_level1_8_29719_section_1"/>
      <w:bookmarkEnd w:id="74"/>
      <w:r>
        <w:rPr>
          <w:rFonts w:hint="eastAsia"/>
          <w:sz w:val="21"/>
          <w:szCs w:val="21"/>
        </w:rPr>
        <w:t>博时第三产业成长股票型证券投资基金由裕元证券投资基金转型而成。2015年8月7日，博时第三产业成长股票型证券投资基金更名为“</w:t>
      </w:r>
      <w:bookmarkStart w:id="75" w:name="field_0_productfullname_10"/>
      <w:r>
        <w:rPr>
          <w:rFonts w:hint="eastAsia"/>
          <w:sz w:val="21"/>
          <w:szCs w:val="21"/>
        </w:rPr>
        <w:t>博时第三产业成长混合型证券投资基金</w:t>
      </w:r>
      <w:bookmarkEnd w:id="7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裕元证券投资基金的前身为湖南证券股份有限公司投资受益证券，由湖南证券基金管理部管理。1999年8月，中国证监会证监基金字[1999]24号文要求湘证基金进行清理规范。  </w:t>
      </w:r>
    </w:p>
    <w:p>
      <w:pPr>
        <w:pStyle w:val="7"/>
        <w:spacing w:before="0" w:beforeAutospacing="0" w:after="0" w:afterAutospacing="0" w:line="360" w:lineRule="auto"/>
        <w:ind w:firstLine="420"/>
        <w:rPr>
          <w:sz w:val="21"/>
          <w:szCs w:val="21"/>
        </w:rPr>
      </w:pPr>
      <w:r>
        <w:rPr>
          <w:rFonts w:hint="eastAsia"/>
          <w:sz w:val="21"/>
          <w:szCs w:val="21"/>
        </w:rPr>
        <w:t xml:space="preserve">1999年10月，经中国证监会基金监管部[1999]21号文件批准，原湘证基金经清理规范后更名为湘证证券投资基金，博时公司为湘证证券投资基金发起人，湖南证券为原发起人，博时公司为湘证证券投资基金管理人，中国工商银行为基金托管人，湘证证券投资基金存续期调整为10年，自1992年6月1日至2002年5月31日，确认湘证证券投资基金募集规模为2亿份基金单位。  </w:t>
      </w:r>
    </w:p>
    <w:p>
      <w:pPr>
        <w:pStyle w:val="7"/>
        <w:spacing w:before="0" w:beforeAutospacing="0" w:after="0" w:afterAutospacing="0" w:line="360" w:lineRule="auto"/>
        <w:ind w:firstLine="420"/>
        <w:rPr>
          <w:sz w:val="21"/>
          <w:szCs w:val="21"/>
        </w:rPr>
      </w:pPr>
      <w:r>
        <w:rPr>
          <w:rFonts w:hint="eastAsia"/>
          <w:sz w:val="21"/>
          <w:szCs w:val="21"/>
        </w:rPr>
        <w:t xml:space="preserve">1999年10月28日，湘证证券投资基金在上海证券交易所上市。  </w:t>
      </w:r>
    </w:p>
    <w:p>
      <w:pPr>
        <w:pStyle w:val="7"/>
        <w:spacing w:before="0" w:beforeAutospacing="0" w:after="0" w:afterAutospacing="0" w:line="360" w:lineRule="auto"/>
        <w:ind w:firstLine="420"/>
        <w:rPr>
          <w:sz w:val="21"/>
          <w:szCs w:val="21"/>
        </w:rPr>
      </w:pPr>
      <w:r>
        <w:rPr>
          <w:rFonts w:hint="eastAsia"/>
          <w:sz w:val="21"/>
          <w:szCs w:val="21"/>
        </w:rPr>
        <w:t xml:space="preserve">1999年11月，根据中国证监会证监基金字[1999]31号文件，湘证证券投资基金规模由2亿份基金份额扩募至15亿份基金份额。扩募后可流通份额于1999年11月15日在上海证券交易所上市交易。  </w:t>
      </w:r>
    </w:p>
    <w:p>
      <w:pPr>
        <w:pStyle w:val="7"/>
        <w:spacing w:before="0" w:beforeAutospacing="0" w:after="0" w:afterAutospacing="0" w:line="360" w:lineRule="auto"/>
        <w:ind w:firstLine="420"/>
        <w:rPr>
          <w:sz w:val="21"/>
          <w:szCs w:val="21"/>
        </w:rPr>
      </w:pPr>
      <w:r>
        <w:rPr>
          <w:rFonts w:hint="eastAsia"/>
          <w:sz w:val="21"/>
          <w:szCs w:val="21"/>
        </w:rPr>
        <w:t>1999年11月17日，湘证证券投资基金更名为“裕元证券投资基金”，简称“基金裕元”。基金存续期延长五年，由1992年6月1日至2002年5月31日续期为1992年6月1</w:t>
      </w:r>
      <w:bookmarkStart w:id="76" w:name="chapter_level1_8_29719_section_1_end"/>
      <w:bookmarkEnd w:id="76"/>
      <w:r>
        <w:rPr>
          <w:rFonts w:hint="eastAsia"/>
          <w:sz w:val="21"/>
          <w:szCs w:val="21"/>
        </w:rPr>
        <w:t xml:space="preserve">日至2007年5月31日。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7" w:name="_Toc113453354"/>
      <w:bookmarkStart w:id="78" w:name="chapter_level1_10_58"/>
      <w:r>
        <w:rPr>
          <w:rFonts w:hint="eastAsia" w:ascii="宋体" w:hAnsi="宋体" w:eastAsia="宋体"/>
          <w:sz w:val="30"/>
        </w:rPr>
        <w:t>七、基金的存续</w:t>
      </w:r>
      <w:bookmarkEnd w:id="77"/>
      <w:bookmarkEnd w:id="78"/>
    </w:p>
    <w:p>
      <w:pPr>
        <w:pStyle w:val="7"/>
        <w:spacing w:before="0" w:beforeAutospacing="0" w:after="0" w:afterAutospacing="0" w:line="360" w:lineRule="auto"/>
        <w:ind w:firstLine="420"/>
        <w:rPr>
          <w:sz w:val="21"/>
          <w:szCs w:val="21"/>
        </w:rPr>
      </w:pPr>
      <w:bookmarkStart w:id="79" w:name="chapter_level1_10_58_section_1"/>
      <w:bookmarkEnd w:id="79"/>
      <w:r>
        <w:rPr>
          <w:rStyle w:val="11"/>
          <w:rFonts w:hint="eastAsia"/>
          <w:sz w:val="21"/>
          <w:szCs w:val="21"/>
        </w:rPr>
        <w:t>（一）基金份额的变更登记</w:t>
      </w:r>
    </w:p>
    <w:p>
      <w:pPr>
        <w:pStyle w:val="7"/>
        <w:spacing w:before="0" w:beforeAutospacing="0" w:after="0" w:afterAutospacing="0" w:line="360" w:lineRule="auto"/>
        <w:ind w:firstLine="420"/>
        <w:rPr>
          <w:sz w:val="21"/>
          <w:szCs w:val="21"/>
        </w:rPr>
      </w:pPr>
      <w:r>
        <w:rPr>
          <w:rFonts w:hint="eastAsia"/>
          <w:sz w:val="21"/>
          <w:szCs w:val="21"/>
        </w:rPr>
        <w:t>自裕元基金终止上市之日起2日内，基金管理人将向中国证券登记结算有限责任公司申请办理基金份额的变更登记。基金管理人向中国证券登记结算有限责任公司上海分公司取得终止上市权益登记日的基金份额持有人名册之后，将投资者权益数据转登记到</w:t>
      </w:r>
      <w:bookmarkStart w:id="80" w:name="field_0_managerorgfullname_4"/>
      <w:r>
        <w:rPr>
          <w:rFonts w:hint="eastAsia"/>
          <w:sz w:val="21"/>
          <w:szCs w:val="21"/>
        </w:rPr>
        <w:t>博时基金管理有限公司</w:t>
      </w:r>
      <w:bookmarkEnd w:id="80"/>
      <w:r>
        <w:rPr>
          <w:rFonts w:hint="eastAsia"/>
          <w:sz w:val="21"/>
          <w:szCs w:val="21"/>
        </w:rPr>
        <w:t>的注册登记系统，进行投资者持有基金份</w:t>
      </w:r>
      <w:bookmarkStart w:id="81" w:name="chapter_level1_10_58_section_1_end"/>
      <w:bookmarkEnd w:id="81"/>
      <w:r>
        <w:rPr>
          <w:rFonts w:hint="eastAsia"/>
          <w:sz w:val="21"/>
          <w:szCs w:val="21"/>
        </w:rPr>
        <w:t xml:space="preserve">额的初始登记。并进行基金份额更名以及必要的信息变更。 </w:t>
      </w:r>
    </w:p>
    <w:p>
      <w:pPr>
        <w:pStyle w:val="7"/>
        <w:spacing w:before="0" w:beforeAutospacing="0" w:after="0" w:afterAutospacing="0" w:line="360" w:lineRule="auto"/>
        <w:ind w:firstLine="420"/>
        <w:rPr>
          <w:sz w:val="21"/>
          <w:szCs w:val="21"/>
        </w:rPr>
      </w:pPr>
      <w:bookmarkStart w:id="82" w:name="chapter_level1_10_58_section_2"/>
      <w:bookmarkEnd w:id="82"/>
      <w:r>
        <w:rPr>
          <w:rStyle w:val="11"/>
          <w:rFonts w:hint="eastAsia"/>
          <w:sz w:val="21"/>
          <w:szCs w:val="21"/>
        </w:rPr>
        <w:t>（二）基金存续期内的基金份额持有人数量和资产规模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 xml:space="preserve">基金存续期内，基金份额持有人数量不满200人或者基金资产净值低于5,000万元的，基金管理人应当及时报告中国证监会；连续20个工作日出现前述情形的，基金管理人应当向中国证监会说明原因并报送解决方案。 </w:t>
      </w:r>
    </w:p>
    <w:p>
      <w:pPr>
        <w:pStyle w:val="7"/>
        <w:spacing w:before="0" w:beforeAutospacing="0" w:after="0" w:afterAutospacing="0" w:line="360" w:lineRule="auto"/>
        <w:ind w:firstLine="420"/>
        <w:rPr>
          <w:sz w:val="21"/>
          <w:szCs w:val="21"/>
        </w:rPr>
      </w:pPr>
      <w:bookmarkStart w:id="83" w:name="chapter_level1_10_58_section_2_end"/>
      <w:bookmarkEnd w:id="83"/>
      <w:r>
        <w:rPr>
          <w:rFonts w:hint="eastAsia"/>
          <w:sz w:val="21"/>
          <w:szCs w:val="21"/>
        </w:rPr>
        <w:t xml:space="preserve">法律法规另有规定时，从其规定。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4" w:name="_Toc113453355"/>
      <w:bookmarkStart w:id="85" w:name="chapter_level1_11_29727"/>
      <w:r>
        <w:rPr>
          <w:rFonts w:hint="eastAsia" w:ascii="宋体" w:hAnsi="宋体" w:eastAsia="宋体"/>
          <w:sz w:val="30"/>
        </w:rPr>
        <w:t>八、 基金的集中申购</w:t>
      </w:r>
      <w:bookmarkEnd w:id="84"/>
      <w:bookmarkEnd w:id="85"/>
    </w:p>
    <w:p>
      <w:pPr>
        <w:pStyle w:val="7"/>
        <w:spacing w:before="0" w:beforeAutospacing="0" w:after="0" w:afterAutospacing="0" w:line="360" w:lineRule="auto"/>
        <w:ind w:firstLine="420"/>
        <w:rPr>
          <w:sz w:val="21"/>
          <w:szCs w:val="21"/>
        </w:rPr>
      </w:pPr>
      <w:bookmarkStart w:id="86" w:name="chapter_level1_11_29727_section_1"/>
      <w:bookmarkEnd w:id="86"/>
      <w:r>
        <w:rPr>
          <w:rStyle w:val="11"/>
          <w:rFonts w:hint="eastAsia"/>
          <w:sz w:val="21"/>
          <w:szCs w:val="21"/>
        </w:rPr>
        <w:t>（一）集中申购期</w:t>
      </w:r>
    </w:p>
    <w:p>
      <w:pPr>
        <w:pStyle w:val="7"/>
        <w:spacing w:before="0" w:beforeAutospacing="0" w:after="0" w:afterAutospacing="0" w:line="360" w:lineRule="auto"/>
        <w:ind w:firstLine="420"/>
        <w:rPr>
          <w:sz w:val="21"/>
          <w:szCs w:val="21"/>
        </w:rPr>
      </w:pPr>
      <w:r>
        <w:rPr>
          <w:rFonts w:hint="eastAsia"/>
          <w:sz w:val="21"/>
          <w:szCs w:val="21"/>
        </w:rPr>
        <w:t xml:space="preserve">本基金自2007年4月24日至2007年5月11日开放申购，期间不开放赎回，称为“集中申购期”。 </w:t>
      </w:r>
    </w:p>
    <w:p>
      <w:pPr>
        <w:pStyle w:val="7"/>
        <w:spacing w:before="0" w:beforeAutospacing="0" w:after="0" w:afterAutospacing="0" w:line="360" w:lineRule="auto"/>
        <w:ind w:firstLine="420"/>
        <w:rPr>
          <w:sz w:val="21"/>
          <w:szCs w:val="21"/>
        </w:rPr>
      </w:pPr>
      <w:r>
        <w:rPr>
          <w:rFonts w:hint="eastAsia"/>
          <w:sz w:val="21"/>
          <w:szCs w:val="21"/>
        </w:rPr>
        <w:t xml:space="preserve">基金管理人可根据基金销售情况适当延长或缩短集中申购期，但最长不超过1个月。 </w:t>
      </w:r>
    </w:p>
    <w:p>
      <w:pPr>
        <w:pStyle w:val="7"/>
        <w:spacing w:before="0" w:beforeAutospacing="0" w:after="0" w:afterAutospacing="0" w:line="360" w:lineRule="auto"/>
        <w:ind w:firstLine="420"/>
        <w:rPr>
          <w:sz w:val="21"/>
          <w:szCs w:val="21"/>
        </w:rPr>
      </w:pPr>
      <w:r>
        <w:rPr>
          <w:rStyle w:val="11"/>
          <w:rFonts w:hint="eastAsia"/>
          <w:sz w:val="21"/>
          <w:szCs w:val="21"/>
        </w:rPr>
        <w:t>（二）销售方式</w:t>
      </w:r>
    </w:p>
    <w:p>
      <w:pPr>
        <w:pStyle w:val="7"/>
        <w:spacing w:before="0" w:beforeAutospacing="0" w:after="0" w:afterAutospacing="0" w:line="360" w:lineRule="auto"/>
        <w:ind w:firstLine="420"/>
        <w:rPr>
          <w:sz w:val="21"/>
          <w:szCs w:val="21"/>
        </w:rPr>
      </w:pPr>
      <w:r>
        <w:rPr>
          <w:rFonts w:hint="eastAsia"/>
          <w:sz w:val="21"/>
          <w:szCs w:val="21"/>
        </w:rPr>
        <w:t xml:space="preserve">本基金通过各销售机构的基金销售网点向投资者公开发售。 </w:t>
      </w:r>
    </w:p>
    <w:p>
      <w:pPr>
        <w:pStyle w:val="7"/>
        <w:spacing w:before="0" w:beforeAutospacing="0" w:after="0" w:afterAutospacing="0" w:line="360" w:lineRule="auto"/>
        <w:ind w:firstLine="420"/>
        <w:rPr>
          <w:sz w:val="21"/>
          <w:szCs w:val="21"/>
        </w:rPr>
      </w:pPr>
      <w:r>
        <w:rPr>
          <w:rStyle w:val="11"/>
          <w:rFonts w:hint="eastAsia"/>
          <w:sz w:val="21"/>
          <w:szCs w:val="21"/>
        </w:rPr>
        <w:t>（三）销售对象</w:t>
      </w:r>
    </w:p>
    <w:p>
      <w:pPr>
        <w:pStyle w:val="7"/>
        <w:spacing w:before="0" w:beforeAutospacing="0" w:after="0" w:afterAutospacing="0" w:line="360" w:lineRule="auto"/>
        <w:ind w:firstLine="420"/>
        <w:rPr>
          <w:sz w:val="21"/>
          <w:szCs w:val="21"/>
        </w:rPr>
      </w:pPr>
      <w:r>
        <w:rPr>
          <w:rFonts w:hint="eastAsia"/>
          <w:sz w:val="21"/>
          <w:szCs w:val="21"/>
        </w:rPr>
        <w:t xml:space="preserve">中华人民共和国境内的自然人、法人及其他组织（法律法规禁止购买证券投资基金者除外），合格境外机构投资者，以及法律法规或中国证监会允许购买证券投资基金的其他投资者。 </w:t>
      </w:r>
    </w:p>
    <w:p>
      <w:pPr>
        <w:pStyle w:val="7"/>
        <w:spacing w:before="0" w:beforeAutospacing="0" w:after="0" w:afterAutospacing="0" w:line="360" w:lineRule="auto"/>
        <w:ind w:firstLine="420"/>
        <w:rPr>
          <w:sz w:val="21"/>
          <w:szCs w:val="21"/>
        </w:rPr>
      </w:pPr>
      <w:r>
        <w:rPr>
          <w:rStyle w:val="11"/>
          <w:rFonts w:hint="eastAsia"/>
          <w:sz w:val="21"/>
          <w:szCs w:val="21"/>
        </w:rPr>
        <w:t>（四）销售场所</w:t>
      </w:r>
    </w:p>
    <w:p>
      <w:pPr>
        <w:pStyle w:val="7"/>
        <w:spacing w:before="0" w:beforeAutospacing="0" w:after="0" w:afterAutospacing="0" w:line="360" w:lineRule="auto"/>
        <w:ind w:firstLine="420"/>
        <w:rPr>
          <w:sz w:val="21"/>
          <w:szCs w:val="21"/>
        </w:rPr>
      </w:pPr>
      <w:r>
        <w:rPr>
          <w:rFonts w:hint="eastAsia"/>
          <w:sz w:val="21"/>
          <w:szCs w:val="21"/>
        </w:rPr>
        <w:t xml:space="preserve">投资者应当在基金管理人、代销机构办理基金销售业务的营业场所或按基金管理人、代销机构提供的其他方式办理基金的集中申购。 </w:t>
      </w:r>
    </w:p>
    <w:p>
      <w:pPr>
        <w:pStyle w:val="7"/>
        <w:spacing w:before="0" w:beforeAutospacing="0" w:after="0" w:afterAutospacing="0" w:line="360" w:lineRule="auto"/>
        <w:ind w:firstLine="420"/>
        <w:rPr>
          <w:sz w:val="21"/>
          <w:szCs w:val="21"/>
        </w:rPr>
      </w:pPr>
      <w:r>
        <w:rPr>
          <w:rFonts w:hint="eastAsia"/>
          <w:sz w:val="21"/>
          <w:szCs w:val="21"/>
        </w:rPr>
        <w:t xml:space="preserve">基金管理人、代销机构办理基金集中申购业务的地区、网点的具体情况和联系方法，请参见本基金集中申购公告以及当地销售机构的公告。 </w:t>
      </w:r>
    </w:p>
    <w:p>
      <w:pPr>
        <w:pStyle w:val="7"/>
        <w:spacing w:before="0" w:beforeAutospacing="0" w:after="0" w:afterAutospacing="0" w:line="360" w:lineRule="auto"/>
        <w:ind w:firstLine="420"/>
        <w:rPr>
          <w:sz w:val="21"/>
          <w:szCs w:val="21"/>
        </w:rPr>
      </w:pPr>
      <w:r>
        <w:rPr>
          <w:rFonts w:hint="eastAsia"/>
          <w:sz w:val="21"/>
          <w:szCs w:val="21"/>
        </w:rPr>
        <w:t xml:space="preserve">基金管理人可以根据情况增加其他代销机构，并在基金管理人网站公示。 </w:t>
      </w:r>
    </w:p>
    <w:p>
      <w:pPr>
        <w:pStyle w:val="7"/>
        <w:spacing w:before="0" w:beforeAutospacing="0" w:after="0" w:afterAutospacing="0" w:line="360" w:lineRule="auto"/>
        <w:ind w:firstLine="420"/>
        <w:rPr>
          <w:sz w:val="21"/>
          <w:szCs w:val="21"/>
        </w:rPr>
      </w:pPr>
      <w:r>
        <w:rPr>
          <w:rStyle w:val="11"/>
          <w:rFonts w:hint="eastAsia"/>
          <w:sz w:val="21"/>
          <w:szCs w:val="21"/>
        </w:rPr>
        <w:t>（五）集中申购安排</w:t>
      </w:r>
    </w:p>
    <w:p>
      <w:pPr>
        <w:pStyle w:val="7"/>
        <w:spacing w:before="0" w:beforeAutospacing="0" w:after="0" w:afterAutospacing="0" w:line="360" w:lineRule="auto"/>
        <w:ind w:firstLine="420"/>
        <w:rPr>
          <w:sz w:val="21"/>
          <w:szCs w:val="21"/>
        </w:rPr>
      </w:pPr>
      <w:r>
        <w:rPr>
          <w:rFonts w:hint="eastAsia"/>
          <w:sz w:val="21"/>
          <w:szCs w:val="21"/>
        </w:rPr>
        <w:t xml:space="preserve">1、集中申购时间：2007年4月24日至2007年5月11日。具体业务办理时间以各销售机构的规定为准。 </w:t>
      </w:r>
    </w:p>
    <w:p>
      <w:pPr>
        <w:pStyle w:val="7"/>
        <w:spacing w:before="0" w:beforeAutospacing="0" w:after="0" w:afterAutospacing="0" w:line="360" w:lineRule="auto"/>
        <w:ind w:firstLine="420"/>
        <w:rPr>
          <w:sz w:val="21"/>
          <w:szCs w:val="21"/>
        </w:rPr>
      </w:pPr>
      <w:r>
        <w:rPr>
          <w:rFonts w:hint="eastAsia"/>
          <w:sz w:val="21"/>
          <w:szCs w:val="21"/>
        </w:rPr>
        <w:t>2、集中申购开户：投资者办理基金集中申购时，需开立本公司基金账户。已开立有</w:t>
      </w:r>
      <w:bookmarkStart w:id="87" w:name="field_0_managerorgfullname_5"/>
      <w:r>
        <w:rPr>
          <w:rFonts w:hint="eastAsia"/>
          <w:sz w:val="21"/>
          <w:szCs w:val="21"/>
        </w:rPr>
        <w:t>博时基金管理有限公司</w:t>
      </w:r>
      <w:bookmarkEnd w:id="87"/>
      <w:r>
        <w:rPr>
          <w:rFonts w:hint="eastAsia"/>
          <w:sz w:val="21"/>
          <w:szCs w:val="21"/>
        </w:rPr>
        <w:t xml:space="preserve">基金账户的投资人不需再办理开户手续。 </w:t>
      </w:r>
    </w:p>
    <w:p>
      <w:pPr>
        <w:pStyle w:val="7"/>
        <w:spacing w:before="0" w:beforeAutospacing="0" w:after="0" w:afterAutospacing="0" w:line="360" w:lineRule="auto"/>
        <w:ind w:firstLine="420"/>
        <w:rPr>
          <w:sz w:val="21"/>
          <w:szCs w:val="21"/>
        </w:rPr>
      </w:pPr>
      <w:r>
        <w:rPr>
          <w:rFonts w:hint="eastAsia"/>
          <w:sz w:val="21"/>
          <w:szCs w:val="21"/>
        </w:rPr>
        <w:t xml:space="preserve">3、集中申购价格：依据集中申购最后一日拆分后的基金份额净值1.000元加对应申购费计算。 </w:t>
      </w:r>
    </w:p>
    <w:p>
      <w:pPr>
        <w:pStyle w:val="7"/>
        <w:spacing w:before="0" w:beforeAutospacing="0" w:after="0" w:afterAutospacing="0" w:line="360" w:lineRule="auto"/>
        <w:ind w:firstLine="420"/>
        <w:rPr>
          <w:sz w:val="21"/>
          <w:szCs w:val="21"/>
        </w:rPr>
      </w:pPr>
      <w:r>
        <w:rPr>
          <w:rFonts w:hint="eastAsia"/>
          <w:sz w:val="21"/>
          <w:szCs w:val="21"/>
        </w:rPr>
        <w:t xml:space="preserve">4、集中申购申请确认：对于T日交易时间内受理的集中申购申请，注册登记机构将在T+1日就申请的有效性进行确认。但对申请有效性的确认仅代表确实接受了投资者的集中申购申请，集中申购份额的计算需按下述程序进行，由注册登记机构在集中申购期结束后确认，投资者可以在基金集中申购期结束后，到其办理集中申购业务的销售网点打印确认单。 </w:t>
      </w:r>
    </w:p>
    <w:p>
      <w:pPr>
        <w:pStyle w:val="7"/>
        <w:spacing w:before="0" w:beforeAutospacing="0" w:after="0" w:afterAutospacing="0" w:line="360" w:lineRule="auto"/>
        <w:ind w:firstLine="420"/>
        <w:rPr>
          <w:sz w:val="21"/>
          <w:szCs w:val="21"/>
        </w:rPr>
      </w:pPr>
      <w:r>
        <w:rPr>
          <w:rFonts w:hint="eastAsia"/>
          <w:sz w:val="21"/>
          <w:szCs w:val="21"/>
        </w:rPr>
        <w:t xml:space="preserve">投资者集中申购所需提交的文件和办理的具体手续由基金管理人和销售机构约定，请投资者参阅本基金集中申购公告。 </w:t>
      </w:r>
    </w:p>
    <w:p>
      <w:pPr>
        <w:pStyle w:val="7"/>
        <w:spacing w:before="0" w:beforeAutospacing="0" w:after="0" w:afterAutospacing="0" w:line="360" w:lineRule="auto"/>
        <w:ind w:firstLine="420"/>
        <w:rPr>
          <w:sz w:val="21"/>
          <w:szCs w:val="21"/>
        </w:rPr>
      </w:pPr>
      <w:r>
        <w:rPr>
          <w:rFonts w:hint="eastAsia"/>
          <w:sz w:val="21"/>
          <w:szCs w:val="21"/>
        </w:rPr>
        <w:t xml:space="preserve">5、集中申购期基金份额的申购限制 </w:t>
      </w:r>
    </w:p>
    <w:p>
      <w:pPr>
        <w:pStyle w:val="7"/>
        <w:spacing w:before="0" w:beforeAutospacing="0" w:after="0" w:afterAutospacing="0" w:line="360" w:lineRule="auto"/>
        <w:ind w:firstLine="420"/>
        <w:rPr>
          <w:sz w:val="21"/>
          <w:szCs w:val="21"/>
        </w:rPr>
      </w:pPr>
      <w:r>
        <w:rPr>
          <w:rFonts w:hint="eastAsia"/>
          <w:sz w:val="21"/>
          <w:szCs w:val="21"/>
        </w:rPr>
        <w:t xml:space="preserve">（1）投资人申购基金份额，需按销售机构规定的方式备足申购款项。 </w:t>
      </w:r>
    </w:p>
    <w:p>
      <w:pPr>
        <w:pStyle w:val="7"/>
        <w:spacing w:before="0" w:beforeAutospacing="0" w:after="0" w:afterAutospacing="0" w:line="360" w:lineRule="auto"/>
        <w:ind w:firstLine="420"/>
        <w:rPr>
          <w:sz w:val="21"/>
          <w:szCs w:val="21"/>
        </w:rPr>
      </w:pPr>
      <w:r>
        <w:rPr>
          <w:rFonts w:hint="eastAsia"/>
          <w:sz w:val="21"/>
          <w:szCs w:val="21"/>
        </w:rPr>
        <w:t xml:space="preserve">（2）投资者首次单笔最低购买金额不低于500元，追加购买最低金额为100元。各代销机构可根据自己的情况调整首次最低申购金额和最低追加申购金额限制。详情请见当地销售机构公告。投资者可以多次申购，累计申购金额不设上限。 </w:t>
      </w:r>
    </w:p>
    <w:p>
      <w:pPr>
        <w:pStyle w:val="7"/>
        <w:spacing w:before="0" w:beforeAutospacing="0" w:after="0" w:afterAutospacing="0" w:line="360" w:lineRule="auto"/>
        <w:ind w:firstLine="420"/>
        <w:rPr>
          <w:sz w:val="21"/>
          <w:szCs w:val="21"/>
        </w:rPr>
      </w:pPr>
      <w:r>
        <w:rPr>
          <w:rFonts w:hint="eastAsia"/>
          <w:sz w:val="21"/>
          <w:szCs w:val="21"/>
        </w:rPr>
        <w:t xml:space="preserve">（3）集中申购期内，对投资人申购金额不设上限限制。 </w:t>
      </w:r>
    </w:p>
    <w:p>
      <w:pPr>
        <w:pStyle w:val="7"/>
        <w:spacing w:before="0" w:beforeAutospacing="0" w:after="0" w:afterAutospacing="0" w:line="360" w:lineRule="auto"/>
        <w:ind w:firstLine="420"/>
        <w:rPr>
          <w:sz w:val="21"/>
          <w:szCs w:val="21"/>
        </w:rPr>
      </w:pPr>
      <w:r>
        <w:rPr>
          <w:rFonts w:hint="eastAsia"/>
          <w:sz w:val="21"/>
          <w:szCs w:val="21"/>
        </w:rPr>
        <w:t xml:space="preserve">（4）集中申购期内，投资人可多次申购本基金的基金份额，已受理的申购申请不允许撤销。 </w:t>
      </w:r>
    </w:p>
    <w:p>
      <w:pPr>
        <w:pStyle w:val="7"/>
        <w:spacing w:before="0" w:beforeAutospacing="0" w:after="0" w:afterAutospacing="0" w:line="360" w:lineRule="auto"/>
        <w:ind w:firstLine="420"/>
        <w:rPr>
          <w:sz w:val="21"/>
          <w:szCs w:val="21"/>
        </w:rPr>
      </w:pPr>
      <w:r>
        <w:rPr>
          <w:rFonts w:hint="eastAsia"/>
          <w:sz w:val="21"/>
          <w:szCs w:val="21"/>
        </w:rPr>
        <w:t xml:space="preserve">6、基金申购费用、申购价格及计算公式 </w:t>
      </w:r>
    </w:p>
    <w:p>
      <w:pPr>
        <w:pStyle w:val="7"/>
        <w:spacing w:before="0" w:beforeAutospacing="0" w:after="0" w:afterAutospacing="0" w:line="360" w:lineRule="auto"/>
        <w:ind w:firstLine="420"/>
        <w:rPr>
          <w:sz w:val="21"/>
          <w:szCs w:val="21"/>
        </w:rPr>
      </w:pPr>
      <w:r>
        <w:rPr>
          <w:rFonts w:hint="eastAsia"/>
          <w:sz w:val="21"/>
          <w:szCs w:val="21"/>
        </w:rPr>
        <w:t xml:space="preserve">（1）对集中申购期内提交的申购申请，享有如下优惠费率：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100万≤M &lt;500万元 </w:t>
            </w:r>
          </w:p>
        </w:tc>
        <w:tc>
          <w:tcPr>
            <w:tcW w:w="0" w:type="auto"/>
            <w:shd w:val="clear" w:color="auto" w:fill="auto"/>
          </w:tcPr>
          <w:p>
            <w:pPr>
              <w:pStyle w:val="7"/>
            </w:pPr>
            <w:r>
              <w:rPr>
                <w:rFonts w:hint="eastAsia"/>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（2）基金申购采用金额申购的方式，投资者在申购时支付申购费用，申购费率随申购金额的不同而有所不同。 </w:t>
      </w:r>
    </w:p>
    <w:p>
      <w:pPr>
        <w:pStyle w:val="7"/>
        <w:spacing w:before="0" w:beforeAutospacing="0" w:after="0" w:afterAutospacing="0" w:line="360" w:lineRule="auto"/>
        <w:ind w:firstLine="420"/>
        <w:rPr>
          <w:sz w:val="21"/>
          <w:szCs w:val="21"/>
        </w:rPr>
      </w:pPr>
      <w:r>
        <w:rPr>
          <w:rFonts w:hint="eastAsia"/>
          <w:sz w:val="21"/>
          <w:szCs w:val="21"/>
        </w:rPr>
        <w:t xml:space="preserve">计算公式为： </w:t>
      </w:r>
    </w:p>
    <w:p>
      <w:pPr>
        <w:pStyle w:val="7"/>
        <w:spacing w:before="0" w:beforeAutospacing="0" w:after="0" w:afterAutospacing="0" w:line="360" w:lineRule="auto"/>
        <w:ind w:firstLine="420"/>
        <w:rPr>
          <w:sz w:val="21"/>
          <w:szCs w:val="21"/>
        </w:rPr>
      </w:pPr>
      <w:r>
        <w:rPr>
          <w:rFonts w:hint="eastAsia"/>
          <w:sz w:val="21"/>
          <w:szCs w:val="21"/>
        </w:rPr>
        <w:t xml:space="preserve">基金份额申购价格＝基金份额净值×（1＋申购费率）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申购份额=申购金额/基金份额申购价格 </w:t>
      </w:r>
    </w:p>
    <w:p>
      <w:pPr>
        <w:pStyle w:val="7"/>
        <w:spacing w:before="0" w:beforeAutospacing="0" w:after="0" w:afterAutospacing="0" w:line="360" w:lineRule="auto"/>
        <w:ind w:firstLine="420"/>
        <w:rPr>
          <w:sz w:val="21"/>
          <w:szCs w:val="21"/>
        </w:rPr>
      </w:pPr>
      <w:r>
        <w:rPr>
          <w:rFonts w:hint="eastAsia"/>
          <w:sz w:val="21"/>
          <w:szCs w:val="21"/>
        </w:rPr>
        <w:t xml:space="preserve">申购费用计算结果、申购份额计算结果保留到小数点后两位，小数点后第三位四舍五入。由此产生的误差计入基金资产。 </w:t>
      </w:r>
    </w:p>
    <w:p>
      <w:pPr>
        <w:pStyle w:val="7"/>
        <w:spacing w:before="0" w:beforeAutospacing="0" w:after="0" w:afterAutospacing="0" w:line="360" w:lineRule="auto"/>
        <w:ind w:firstLine="420"/>
        <w:rPr>
          <w:sz w:val="21"/>
          <w:szCs w:val="21"/>
        </w:rPr>
      </w:pPr>
      <w:r>
        <w:rPr>
          <w:rFonts w:hint="eastAsia"/>
          <w:sz w:val="21"/>
          <w:szCs w:val="21"/>
        </w:rPr>
        <w:t xml:space="preserve">例1：某投资者在集中申购期申购本基金10000元，申购费率为1.2％，假设申购期利息为3元，基金份额净值为1.000元，则其可得到的申购份额为：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基金份额申购价格＝1.000×(1+1.2%)＝1.012元 </w:t>
      </w:r>
    </w:p>
    <w:p>
      <w:pPr>
        <w:pStyle w:val="7"/>
        <w:spacing w:before="0" w:beforeAutospacing="0" w:after="0" w:afterAutospacing="0" w:line="360" w:lineRule="auto"/>
        <w:ind w:firstLine="420"/>
        <w:rPr>
          <w:sz w:val="21"/>
          <w:szCs w:val="21"/>
        </w:rPr>
      </w:pPr>
      <w:r>
        <w:rPr>
          <w:rFonts w:hint="eastAsia"/>
          <w:sz w:val="21"/>
          <w:szCs w:val="21"/>
        </w:rPr>
        <w:t xml:space="preserve">申购份额数 ＝(10000+3)/1.012＝9884.39份 </w:t>
      </w:r>
    </w:p>
    <w:p>
      <w:pPr>
        <w:pStyle w:val="7"/>
        <w:spacing w:before="0" w:beforeAutospacing="0" w:after="0" w:afterAutospacing="0" w:line="360" w:lineRule="auto"/>
        <w:ind w:firstLine="420"/>
        <w:rPr>
          <w:sz w:val="21"/>
          <w:szCs w:val="21"/>
        </w:rPr>
      </w:pPr>
      <w:r>
        <w:rPr>
          <w:rFonts w:hint="eastAsia"/>
          <w:sz w:val="21"/>
          <w:szCs w:val="21"/>
        </w:rPr>
        <w:t xml:space="preserve">即：该投资者在集中申购期投资10000元申购本基金，则可得到9884.39份基金份额。 </w:t>
      </w:r>
    </w:p>
    <w:p>
      <w:pPr>
        <w:pStyle w:val="7"/>
        <w:spacing w:before="0" w:beforeAutospacing="0" w:after="0" w:afterAutospacing="0" w:line="360" w:lineRule="auto"/>
        <w:ind w:firstLine="420"/>
        <w:rPr>
          <w:sz w:val="21"/>
          <w:szCs w:val="21"/>
        </w:rPr>
      </w:pPr>
      <w:r>
        <w:rPr>
          <w:rFonts w:hint="eastAsia"/>
          <w:sz w:val="21"/>
          <w:szCs w:val="21"/>
        </w:rPr>
        <w:t xml:space="preserve">（3）集中申购期间产生的利息在集中申购份额清算登记日折算为基金份额归基金份额持有人所有，其中利息以注册登记机构的记录为准。 </w:t>
      </w:r>
    </w:p>
    <w:p>
      <w:pPr>
        <w:pStyle w:val="7"/>
        <w:spacing w:before="0" w:beforeAutospacing="0" w:after="0" w:afterAutospacing="0" w:line="360" w:lineRule="auto"/>
        <w:ind w:firstLine="420"/>
        <w:rPr>
          <w:sz w:val="21"/>
          <w:szCs w:val="21"/>
        </w:rPr>
      </w:pPr>
      <w:r>
        <w:rPr>
          <w:rFonts w:hint="eastAsia"/>
          <w:sz w:val="21"/>
          <w:szCs w:val="21"/>
        </w:rPr>
        <w:t xml:space="preserve">7、集中申购的程序 </w:t>
      </w:r>
    </w:p>
    <w:p>
      <w:pPr>
        <w:pStyle w:val="7"/>
        <w:spacing w:before="0" w:beforeAutospacing="0" w:after="0" w:afterAutospacing="0" w:line="360" w:lineRule="auto"/>
        <w:ind w:firstLine="420"/>
        <w:rPr>
          <w:sz w:val="21"/>
          <w:szCs w:val="21"/>
        </w:rPr>
      </w:pPr>
      <w:r>
        <w:rPr>
          <w:rFonts w:hint="eastAsia"/>
          <w:sz w:val="21"/>
          <w:szCs w:val="21"/>
        </w:rPr>
        <w:t xml:space="preserve">（1）申请方式：书面申请或管理人及各销售人公布的其他方式。 </w:t>
      </w:r>
    </w:p>
    <w:p>
      <w:pPr>
        <w:pStyle w:val="7"/>
        <w:spacing w:before="0" w:beforeAutospacing="0" w:after="0" w:afterAutospacing="0" w:line="360" w:lineRule="auto"/>
        <w:ind w:firstLine="420"/>
        <w:rPr>
          <w:sz w:val="21"/>
          <w:szCs w:val="21"/>
        </w:rPr>
      </w:pPr>
      <w:r>
        <w:rPr>
          <w:rFonts w:hint="eastAsia"/>
          <w:sz w:val="21"/>
          <w:szCs w:val="21"/>
        </w:rPr>
        <w:t xml:space="preserve">（2）申购款项支付：基金投资者申购时，采用全额缴款方式。 </w:t>
      </w:r>
    </w:p>
    <w:p>
      <w:pPr>
        <w:pStyle w:val="7"/>
        <w:spacing w:before="0" w:beforeAutospacing="0" w:after="0" w:afterAutospacing="0" w:line="360" w:lineRule="auto"/>
        <w:ind w:firstLine="420"/>
        <w:rPr>
          <w:sz w:val="21"/>
          <w:szCs w:val="21"/>
        </w:rPr>
      </w:pPr>
      <w:r>
        <w:rPr>
          <w:rFonts w:hint="eastAsia"/>
          <w:sz w:val="21"/>
          <w:szCs w:val="21"/>
        </w:rPr>
        <w:t xml:space="preserve">8、集中申购申请的确认 </w:t>
      </w:r>
    </w:p>
    <w:p>
      <w:pPr>
        <w:pStyle w:val="7"/>
        <w:spacing w:before="0" w:beforeAutospacing="0" w:after="0" w:afterAutospacing="0" w:line="360" w:lineRule="auto"/>
        <w:ind w:firstLine="420"/>
        <w:rPr>
          <w:sz w:val="21"/>
          <w:szCs w:val="21"/>
        </w:rPr>
      </w:pPr>
      <w:r>
        <w:rPr>
          <w:rFonts w:hint="eastAsia"/>
          <w:sz w:val="21"/>
          <w:szCs w:val="21"/>
        </w:rPr>
        <w:t xml:space="preserve">集中申购期的申购申请将按基金拆分日份额净值确认和清算登记，拆分日基金份额净值为每份1元。拆分日为T日，投资者通常可在T+2日到网点查询交易确认情况。 </w:t>
      </w:r>
    </w:p>
    <w:p>
      <w:pPr>
        <w:pStyle w:val="7"/>
        <w:spacing w:before="0" w:beforeAutospacing="0" w:after="0" w:afterAutospacing="0" w:line="360" w:lineRule="auto"/>
        <w:ind w:firstLine="420"/>
        <w:rPr>
          <w:sz w:val="21"/>
          <w:szCs w:val="21"/>
        </w:rPr>
      </w:pPr>
      <w:r>
        <w:rPr>
          <w:rFonts w:hint="eastAsia"/>
          <w:sz w:val="21"/>
          <w:szCs w:val="21"/>
        </w:rPr>
        <w:t>集中申购款项在集中申购期间存入专门账户，在集中申购期结束前任何人不得动用，期间产生的利息在集中申购期结束后折算为基金份额归投资者所有。集中申购期结束后，基金管理人应在3个工作日内聘请会计师事务所进行集中申购款项的审验。基金管理人将对集中</w:t>
      </w:r>
      <w:bookmarkStart w:id="88" w:name="chapter_level1_11_29727_section_1_end"/>
      <w:bookmarkEnd w:id="88"/>
      <w:r>
        <w:rPr>
          <w:rFonts w:hint="eastAsia"/>
          <w:sz w:val="21"/>
          <w:szCs w:val="21"/>
        </w:rPr>
        <w:t xml:space="preserve">申购款项的审验和份额确认情况进行公告。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9" w:name="_Toc113453356"/>
      <w:bookmarkStart w:id="90" w:name="chapter_level1_12_59"/>
      <w:r>
        <w:rPr>
          <w:rFonts w:hint="eastAsia" w:ascii="宋体" w:hAnsi="宋体" w:eastAsia="宋体"/>
          <w:sz w:val="30"/>
        </w:rPr>
        <w:t>九、基金份额的申购与赎回</w:t>
      </w:r>
      <w:bookmarkEnd w:id="89"/>
      <w:bookmarkEnd w:id="90"/>
    </w:p>
    <w:p>
      <w:pPr>
        <w:pStyle w:val="7"/>
        <w:spacing w:before="0" w:beforeAutospacing="0" w:after="0" w:afterAutospacing="0" w:line="360" w:lineRule="auto"/>
        <w:ind w:firstLine="420"/>
        <w:rPr>
          <w:sz w:val="21"/>
          <w:szCs w:val="21"/>
        </w:rPr>
      </w:pPr>
      <w:bookmarkStart w:id="91" w:name="chapter_level1_12_59_section_1"/>
      <w:bookmarkEnd w:id="91"/>
      <w:r>
        <w:rPr>
          <w:rFonts w:hint="eastAsia"/>
          <w:sz w:val="21"/>
          <w:szCs w:val="21"/>
        </w:rPr>
        <w:t xml:space="preserve">集中申购结束后，本基金可暂停办理基金的申购和赎回，暂停期间不超过1个月。暂停申购、赎回期间结束后，本基金将开放日常申购、赎回。  </w:t>
      </w:r>
    </w:p>
    <w:p>
      <w:pPr>
        <w:pStyle w:val="7"/>
        <w:spacing w:before="0" w:beforeAutospacing="0" w:after="0" w:afterAutospacing="0" w:line="360" w:lineRule="auto"/>
        <w:ind w:firstLine="420"/>
        <w:rPr>
          <w:sz w:val="21"/>
          <w:szCs w:val="21"/>
        </w:rPr>
      </w:pPr>
      <w:r>
        <w:rPr>
          <w:rStyle w:val="11"/>
          <w:rFonts w:hint="eastAsia"/>
          <w:sz w:val="21"/>
          <w:szCs w:val="21"/>
        </w:rPr>
        <w:t>（一）申购赎回的场所</w:t>
      </w:r>
    </w:p>
    <w:p>
      <w:pPr>
        <w:pStyle w:val="7"/>
        <w:spacing w:before="0" w:beforeAutospacing="0" w:after="0" w:afterAutospacing="0" w:line="360" w:lineRule="auto"/>
        <w:ind w:firstLine="420"/>
        <w:rPr>
          <w:sz w:val="21"/>
          <w:szCs w:val="21"/>
        </w:rPr>
      </w:pPr>
      <w:r>
        <w:rPr>
          <w:rFonts w:hint="eastAsia"/>
          <w:sz w:val="21"/>
          <w:szCs w:val="21"/>
        </w:rPr>
        <w:t xml:space="preserve">本基金的销售机构包括基金管理人和基金管理人委托的代销机构。 </w:t>
      </w:r>
    </w:p>
    <w:p>
      <w:pPr>
        <w:pStyle w:val="7"/>
        <w:spacing w:before="0" w:beforeAutospacing="0" w:after="0" w:afterAutospacing="0" w:line="360" w:lineRule="auto"/>
        <w:ind w:firstLine="420"/>
        <w:rPr>
          <w:sz w:val="21"/>
          <w:szCs w:val="21"/>
        </w:rPr>
      </w:pPr>
      <w:r>
        <w:rPr>
          <w:rFonts w:hint="eastAsia"/>
          <w:sz w:val="21"/>
          <w:szCs w:val="21"/>
        </w:rPr>
        <w:t>基金投资者应当在销售机构办理基金销售业务的营业场所或按销售机构提供的其他方式办理基金份额的申购与赎回。基金管理人可根据情况变更或增减基金代销机构，并在基金</w:t>
      </w:r>
      <w:bookmarkStart w:id="92" w:name="chapter_level1_12_59_section_1_end"/>
      <w:bookmarkEnd w:id="92"/>
      <w:r>
        <w:rPr>
          <w:rFonts w:hint="eastAsia"/>
          <w:sz w:val="21"/>
          <w:szCs w:val="21"/>
        </w:rPr>
        <w:t xml:space="preserve">管理人网站公示。 </w:t>
      </w:r>
    </w:p>
    <w:p>
      <w:pPr>
        <w:pStyle w:val="7"/>
        <w:spacing w:before="0" w:beforeAutospacing="0" w:after="0" w:afterAutospacing="0" w:line="360" w:lineRule="auto"/>
        <w:ind w:firstLine="420"/>
        <w:rPr>
          <w:sz w:val="21"/>
          <w:szCs w:val="21"/>
        </w:rPr>
      </w:pPr>
      <w:bookmarkStart w:id="93" w:name="chapter_level1_12_59_section_2"/>
      <w:bookmarkEnd w:id="93"/>
      <w:r>
        <w:rPr>
          <w:rStyle w:val="11"/>
          <w:rFonts w:hint="eastAsia"/>
          <w:sz w:val="21"/>
          <w:szCs w:val="21"/>
        </w:rPr>
        <w:t>（二）申购和赎回的办理时间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投资者可办理申购、赎回等业务的开放日为上海证券交易所、深圳证券交易所的交易日。申购、赎回业务的开放时间为9:30-11:30和13:00-15:00。 </w:t>
      </w:r>
    </w:p>
    <w:p>
      <w:pPr>
        <w:pStyle w:val="7"/>
        <w:spacing w:before="0" w:beforeAutospacing="0" w:after="0" w:afterAutospacing="0" w:line="360" w:lineRule="auto"/>
        <w:ind w:firstLine="420"/>
        <w:rPr>
          <w:sz w:val="21"/>
          <w:szCs w:val="21"/>
        </w:rPr>
      </w:pPr>
      <w:r>
        <w:rPr>
          <w:rFonts w:hint="eastAsia"/>
          <w:sz w:val="21"/>
          <w:szCs w:val="21"/>
        </w:rPr>
        <w:t xml:space="preserve">若出现新的证券交易市场、证券交易所交易时间变更或其他特殊情况，基金管理人将视情况对前述开放日及开放时间进行相应的调整并公告。 </w:t>
      </w:r>
    </w:p>
    <w:p>
      <w:pPr>
        <w:pStyle w:val="7"/>
        <w:spacing w:before="0" w:beforeAutospacing="0" w:after="0" w:afterAutospacing="0" w:line="360" w:lineRule="auto"/>
        <w:ind w:firstLine="420"/>
        <w:rPr>
          <w:sz w:val="21"/>
          <w:szCs w:val="21"/>
        </w:rPr>
      </w:pPr>
      <w:r>
        <w:rPr>
          <w:rFonts w:hint="eastAsia"/>
          <w:sz w:val="21"/>
          <w:szCs w:val="21"/>
        </w:rPr>
        <w:t xml:space="preserve">2、申购、赎回的开始时间 </w:t>
      </w:r>
    </w:p>
    <w:p>
      <w:pPr>
        <w:pStyle w:val="7"/>
        <w:spacing w:before="0" w:beforeAutospacing="0" w:after="0" w:afterAutospacing="0" w:line="360" w:lineRule="auto"/>
        <w:ind w:firstLine="420"/>
        <w:rPr>
          <w:sz w:val="21"/>
          <w:szCs w:val="21"/>
        </w:rPr>
      </w:pPr>
      <w:r>
        <w:rPr>
          <w:rFonts w:hint="eastAsia"/>
          <w:sz w:val="21"/>
          <w:szCs w:val="21"/>
        </w:rPr>
        <w:t xml:space="preserve">本基金自基金份额变更登记完成后开始办理集中申购，暂不开放赎回，集中申购期不超过1个月。 </w:t>
      </w:r>
    </w:p>
    <w:p>
      <w:pPr>
        <w:pStyle w:val="7"/>
        <w:spacing w:before="0" w:beforeAutospacing="0" w:after="0" w:afterAutospacing="0" w:line="360" w:lineRule="auto"/>
        <w:ind w:firstLine="420"/>
        <w:rPr>
          <w:sz w:val="21"/>
          <w:szCs w:val="21"/>
        </w:rPr>
      </w:pPr>
      <w:r>
        <w:rPr>
          <w:rFonts w:hint="eastAsia"/>
          <w:sz w:val="21"/>
          <w:szCs w:val="21"/>
        </w:rPr>
        <w:t xml:space="preserve">集中申购期结束后，本基金可暂停办理申购和赎回，暂停期间不超过1个月。暂停期间结束后，本基金将开放申购、赎回。 </w:t>
      </w:r>
    </w:p>
    <w:p>
      <w:pPr>
        <w:pStyle w:val="7"/>
        <w:spacing w:before="0" w:beforeAutospacing="0" w:after="0" w:afterAutospacing="0" w:line="360" w:lineRule="auto"/>
        <w:ind w:firstLine="420"/>
        <w:rPr>
          <w:sz w:val="21"/>
          <w:szCs w:val="21"/>
        </w:rPr>
      </w:pPr>
      <w:bookmarkStart w:id="94" w:name="chapter_level1_12_59_section_2_end"/>
      <w:bookmarkEnd w:id="94"/>
      <w:r>
        <w:rPr>
          <w:rFonts w:hint="eastAsia"/>
          <w:sz w:val="21"/>
          <w:szCs w:val="21"/>
        </w:rPr>
        <w:t xml:space="preserve">基金管理人应于申购开始日、赎回开始日前至少2日在指定媒介公告。 </w:t>
      </w:r>
    </w:p>
    <w:p>
      <w:pPr>
        <w:pStyle w:val="7"/>
        <w:spacing w:before="0" w:beforeAutospacing="0" w:after="0" w:afterAutospacing="0" w:line="360" w:lineRule="auto"/>
        <w:ind w:firstLine="420"/>
        <w:rPr>
          <w:sz w:val="21"/>
          <w:szCs w:val="21"/>
        </w:rPr>
      </w:pPr>
      <w:bookmarkStart w:id="95" w:name="chapter_level1_12_59_section_3"/>
      <w:bookmarkEnd w:id="95"/>
      <w:r>
        <w:rPr>
          <w:rStyle w:val="11"/>
          <w:rFonts w:hint="eastAsia"/>
          <w:sz w:val="21"/>
          <w:szCs w:val="21"/>
        </w:rPr>
        <w:t>（三）申购和赎回的原则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3、基金份额持有人在赎回基金份额时，基金管理人按先进先出的原则，即先认购、申购的份额先赎回，按照份额持有期确定适用的赎回费率； </w:t>
      </w:r>
    </w:p>
    <w:p>
      <w:pPr>
        <w:pStyle w:val="7"/>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4、当日的申购与赎回申请可以在基金管理人规定的时间以内按约定方式撤销； </w:t>
      </w:r>
    </w:p>
    <w:p>
      <w:pPr>
        <w:pStyle w:val="7"/>
        <w:spacing w:before="0" w:beforeAutospacing="0" w:after="0" w:afterAutospacing="0" w:line="360" w:lineRule="auto"/>
        <w:ind w:firstLine="420"/>
        <w:rPr>
          <w:sz w:val="21"/>
          <w:szCs w:val="21"/>
        </w:rPr>
      </w:pPr>
      <w:r>
        <w:rPr>
          <w:rFonts w:hint="eastAsia"/>
          <w:sz w:val="21"/>
          <w:szCs w:val="21"/>
        </w:rPr>
        <w:t xml:space="preserve">5、基金管理人可根据基金运作的实际情况并在不影响基金份额持有人实质利益的前提下调整上述原则。基金管理人必须在新规则开始实施前按照《信息披露办法》的有关规定在指定媒介公告。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（四）申购和赎回的数额限制</w:t>
      </w:r>
    </w:p>
    <w:p>
      <w:pPr>
        <w:pStyle w:val="7"/>
        <w:spacing w:before="0" w:beforeAutospacing="0" w:after="0" w:afterAutospacing="0" w:line="360" w:lineRule="auto"/>
        <w:ind w:firstLine="420"/>
        <w:rPr>
          <w:sz w:val="21"/>
          <w:szCs w:val="21"/>
        </w:rPr>
      </w:pPr>
      <w:r>
        <w:rPr>
          <w:rFonts w:hint="eastAsia"/>
          <w:sz w:val="21"/>
          <w:szCs w:val="21"/>
        </w:rPr>
        <w:t>1、投资者通过代销机构购买的，首次单笔最低购买金额不低于</w:t>
      </w:r>
      <w:bookmarkStart w:id="96" w:name="field_59_dealerfirstpurminamount_1"/>
      <w:r>
        <w:rPr>
          <w:sz w:val="21"/>
          <w:szCs w:val="21"/>
        </w:rPr>
        <w:t>1</w:t>
      </w:r>
      <w:r>
        <w:rPr>
          <w:rFonts w:hint="eastAsia"/>
          <w:sz w:val="21"/>
          <w:szCs w:val="21"/>
          <w:lang w:val="en-US" w:eastAsia="zh-CN"/>
        </w:rPr>
        <w:t>.0</w:t>
      </w:r>
      <w:r>
        <w:rPr>
          <w:sz w:val="21"/>
          <w:szCs w:val="21"/>
        </w:rPr>
        <w:t>0</w:t>
      </w:r>
      <w:bookmarkEnd w:id="96"/>
      <w:r>
        <w:rPr>
          <w:rFonts w:hint="eastAsia"/>
          <w:sz w:val="21"/>
          <w:szCs w:val="21"/>
        </w:rPr>
        <w:t>元，追加购买最低金额为</w:t>
      </w:r>
      <w:bookmarkStart w:id="97" w:name="field_59_dealerlaterpurminamount_1"/>
      <w:r>
        <w:rPr>
          <w:sz w:val="21"/>
          <w:szCs w:val="21"/>
        </w:rPr>
        <w:t>1</w:t>
      </w:r>
      <w:r>
        <w:rPr>
          <w:rFonts w:hint="eastAsia"/>
          <w:sz w:val="21"/>
          <w:szCs w:val="21"/>
          <w:lang w:val="en-US" w:eastAsia="zh-CN"/>
        </w:rPr>
        <w:t>.0</w:t>
      </w:r>
      <w:r>
        <w:rPr>
          <w:sz w:val="21"/>
          <w:szCs w:val="21"/>
        </w:rPr>
        <w:t>0</w:t>
      </w:r>
      <w:bookmarkEnd w:id="97"/>
      <w:r>
        <w:rPr>
          <w:rFonts w:hint="eastAsia"/>
          <w:sz w:val="21"/>
          <w:szCs w:val="21"/>
        </w:rPr>
        <w:t>元；通过直销机构首次申购基金份额的最低金额为</w:t>
      </w:r>
      <w:bookmarkStart w:id="98" w:name="field_59_directfirstpurminamount_1"/>
      <w:r>
        <w:rPr>
          <w:sz w:val="21"/>
          <w:szCs w:val="21"/>
        </w:rPr>
        <w:t>1</w:t>
      </w:r>
      <w:r>
        <w:rPr>
          <w:rFonts w:hint="eastAsia"/>
          <w:sz w:val="21"/>
          <w:szCs w:val="21"/>
          <w:lang w:val="en-US" w:eastAsia="zh-CN"/>
        </w:rPr>
        <w:t>.0</w:t>
      </w:r>
      <w:r>
        <w:rPr>
          <w:sz w:val="21"/>
          <w:szCs w:val="21"/>
        </w:rPr>
        <w:t>0</w:t>
      </w:r>
      <w:bookmarkEnd w:id="98"/>
      <w:r>
        <w:rPr>
          <w:rFonts w:hint="eastAsia"/>
          <w:sz w:val="21"/>
          <w:szCs w:val="21"/>
        </w:rPr>
        <w:t>元，追加申购最低金额为</w:t>
      </w:r>
      <w:bookmarkStart w:id="99" w:name="field_59_directlaterpurminamount_1"/>
      <w:r>
        <w:rPr>
          <w:sz w:val="21"/>
          <w:szCs w:val="21"/>
        </w:rPr>
        <w:t>1</w:t>
      </w:r>
      <w:r>
        <w:rPr>
          <w:rFonts w:hint="eastAsia"/>
          <w:sz w:val="21"/>
          <w:szCs w:val="21"/>
          <w:lang w:val="en-US" w:eastAsia="zh-CN"/>
        </w:rPr>
        <w:t>.0</w:t>
      </w:r>
      <w:r>
        <w:rPr>
          <w:sz w:val="21"/>
          <w:szCs w:val="21"/>
        </w:rPr>
        <w:t>0</w:t>
      </w:r>
      <w:bookmarkEnd w:id="99"/>
      <w:r>
        <w:rPr>
          <w:rFonts w:hint="eastAsia"/>
          <w:sz w:val="21"/>
          <w:szCs w:val="21"/>
        </w:rPr>
        <w:t xml:space="preserve">元。各代销机构可根据自己的情况调整首次最低申购金额和最低追加申购金额限制，详情请见当地销售机构公告。投资者可以多次申购，累计申购金额不设上限，但法律法规、监管机构另有规定或基金合同另有约定的除外；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0" w:name="field_59_minholdshare_1"/>
      <w:r>
        <w:rPr>
          <w:sz w:val="21"/>
          <w:szCs w:val="21"/>
        </w:rPr>
        <w:t>1</w:t>
      </w:r>
      <w:bookmarkEnd w:id="100"/>
      <w:r>
        <w:rPr>
          <w:rFonts w:hint="eastAsia"/>
          <w:sz w:val="21"/>
          <w:szCs w:val="21"/>
        </w:rPr>
        <w:t>份，若某笔赎回导致单个交易账户的基金份额余额少于</w:t>
      </w:r>
      <w:bookmarkStart w:id="101" w:name="field_59_minholdshare_2"/>
      <w:r>
        <w:rPr>
          <w:sz w:val="21"/>
          <w:szCs w:val="21"/>
        </w:rPr>
        <w:t>1</w:t>
      </w:r>
      <w:bookmarkEnd w:id="101"/>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4、基金管理人可根据有关法律规定和市场情况，调整申购金额、赎回份额和账户最低持有余额的数量限制，基金管理人必须在调整生效前依照《信息披露办法》的有关规定在指定媒介公告。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（五）申购和赎回的程序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基金投资者必须根据基金销售机构规定的程序，在开放日的业务办理时间向基金销售机构提出申购或赎回的申请。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投资者在申购本基金时须按销售机构规定的方式备足申购资金,投资者在提交赎回申请时，必须有足够的基金份额余额，否则所提交的申购、赎回的申请无效而不予成交。 </w:t>
      </w:r>
    </w:p>
    <w:p>
      <w:pPr>
        <w:pStyle w:val="7"/>
        <w:spacing w:before="0" w:beforeAutospacing="0" w:after="0" w:afterAutospacing="0" w:line="360" w:lineRule="auto"/>
        <w:ind w:firstLine="420"/>
        <w:rPr>
          <w:sz w:val="21"/>
          <w:szCs w:val="21"/>
        </w:rPr>
      </w:pPr>
      <w:r>
        <w:rPr>
          <w:rFonts w:hint="eastAsia"/>
          <w:sz w:val="21"/>
          <w:szCs w:val="21"/>
        </w:rPr>
        <w:t xml:space="preserve">2、申购和赎回申请的确认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T日规定时间受理的申请，正常情况下，登记机构在T+1日内对交易的有效性进行确认，在T＋2日后（包括该日）投资者可向销售机构或以销售机构规定的其他方式查询申购与赎回的确认情况。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pPr>
        <w:pStyle w:val="7"/>
        <w:spacing w:before="0" w:beforeAutospacing="0" w:after="0" w:afterAutospacing="0" w:line="360" w:lineRule="auto"/>
        <w:ind w:firstLine="420"/>
        <w:rPr>
          <w:sz w:val="21"/>
          <w:szCs w:val="21"/>
        </w:rPr>
      </w:pPr>
      <w:r>
        <w:rPr>
          <w:rFonts w:hint="eastAsia"/>
          <w:sz w:val="21"/>
          <w:szCs w:val="21"/>
        </w:rPr>
        <w:t xml:space="preserve">3、申购和赎回的款项支付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申购采用全额缴款方式。投资者T日赎回申请成功后，基金管理人将通过登记机构及其相关基金销售机构在T＋7日（包括该日）内将赎回款项划往基金份额持有人账户。在发生巨额赎回的情形时，款项的支付办法参照《基金合同》的有关条款处理。 </w:t>
      </w:r>
    </w:p>
    <w:p>
      <w:pPr>
        <w:pStyle w:val="7"/>
        <w:spacing w:before="0" w:beforeAutospacing="0" w:after="0" w:afterAutospacing="0" w:line="360" w:lineRule="auto"/>
        <w:ind w:firstLine="420"/>
        <w:rPr>
          <w:sz w:val="21"/>
          <w:szCs w:val="21"/>
        </w:rPr>
      </w:pPr>
      <w:r>
        <w:rPr>
          <w:rStyle w:val="11"/>
          <w:rFonts w:hint="eastAsia"/>
          <w:sz w:val="21"/>
          <w:szCs w:val="21"/>
        </w:rPr>
        <w:t>（六）申购和赎回的数额和价格</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（1）日常申购费率 </w:t>
      </w:r>
    </w:p>
    <w:p>
      <w:pPr>
        <w:pStyle w:val="7"/>
        <w:spacing w:before="0" w:beforeAutospacing="0" w:after="0" w:afterAutospacing="0" w:line="360" w:lineRule="auto"/>
        <w:ind w:firstLine="420"/>
        <w:rPr>
          <w:sz w:val="21"/>
          <w:szCs w:val="21"/>
        </w:rPr>
      </w:pPr>
      <w:r>
        <w:rPr>
          <w:rFonts w:hint="eastAsia"/>
          <w:sz w:val="21"/>
          <w:szCs w:val="21"/>
        </w:rPr>
        <w:t xml:space="preserve">本基金的申购费率最高不超过5.0%，本次公告的本基金申购费率具体为：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100万≤M &lt;500万元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（2）日常赎回费率 </w:t>
      </w:r>
    </w:p>
    <w:p>
      <w:pPr>
        <w:pStyle w:val="7"/>
        <w:spacing w:before="0" w:beforeAutospacing="0" w:after="0" w:afterAutospacing="0" w:line="360" w:lineRule="auto"/>
        <w:ind w:firstLine="420"/>
        <w:rPr>
          <w:sz w:val="21"/>
          <w:szCs w:val="21"/>
        </w:rPr>
      </w:pPr>
      <w:r>
        <w:rPr>
          <w:rFonts w:hint="eastAsia"/>
          <w:sz w:val="21"/>
          <w:szCs w:val="21"/>
        </w:rPr>
        <w:t xml:space="preserve">本基金的赎回费率最高不超过5.0%，本次公告的本基金赎回费率具体为：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3"/>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持有基金时间(Y)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Y&lt;7日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7日≤Y&lt;1年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1年≤Y&lt;2年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Y≥2年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2、本基金的申购费用由投资者承担，不列入基金资产，申购费主要用于本基金的市场推广和销售、注册登记等各项费用。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3、本基金的赎回费用在投资人赎回本基金份额时收取，对持续持有期少于7日的基金份额投资人收取的赎回费全额计入基金财产，对持续持有期大于等于7日的基金份额投资人收取的赎回费的25%归基金资产。 </w:t>
      </w:r>
    </w:p>
    <w:p>
      <w:pPr>
        <w:pStyle w:val="7"/>
        <w:spacing w:before="0" w:beforeAutospacing="0" w:after="0" w:afterAutospacing="0" w:line="360" w:lineRule="auto"/>
        <w:ind w:firstLine="420"/>
        <w:rPr>
          <w:sz w:val="21"/>
          <w:szCs w:val="21"/>
        </w:rPr>
      </w:pPr>
      <w:r>
        <w:rPr>
          <w:rFonts w:hint="eastAsia"/>
          <w:sz w:val="21"/>
          <w:szCs w:val="21"/>
        </w:rPr>
        <w:t xml:space="preserve">4、基金管理人可以根据情况调整申购费率，但最高不超过5.0％。基金管理人可以决定对不同持有期限的基金份额等实行差别化的赎回费率，并予公告，而无须召开基金份额持有人大会。赎回费率模式需公告并公平地对待同类投资人。基金管理人必须最迟于新的费率实施日前2日内在指定媒介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1、基金申购份额的计算 </w:t>
      </w:r>
    </w:p>
    <w:p>
      <w:pPr>
        <w:pStyle w:val="7"/>
        <w:spacing w:before="0" w:beforeAutospacing="0" w:after="0" w:afterAutospacing="0" w:line="360" w:lineRule="auto"/>
        <w:ind w:firstLine="420"/>
        <w:rPr>
          <w:sz w:val="21"/>
          <w:szCs w:val="21"/>
        </w:rPr>
      </w:pPr>
      <w:r>
        <w:rPr>
          <w:rFonts w:hint="eastAsia"/>
          <w:sz w:val="21"/>
          <w:szCs w:val="21"/>
        </w:rPr>
        <w:t xml:space="preserve">基金申购采用金额申购的方式，投资者在申购时支付申购费用，申购费率随申购金额的不同而有所不同。计算公式为： </w:t>
      </w:r>
    </w:p>
    <w:p>
      <w:pPr>
        <w:pStyle w:val="7"/>
        <w:spacing w:before="0" w:beforeAutospacing="0" w:after="0" w:afterAutospacing="0" w:line="360" w:lineRule="auto"/>
        <w:ind w:firstLine="420"/>
        <w:rPr>
          <w:sz w:val="21"/>
          <w:szCs w:val="21"/>
        </w:rPr>
      </w:pPr>
      <w:r>
        <w:rPr>
          <w:rFonts w:hint="eastAsia"/>
          <w:sz w:val="21"/>
          <w:szCs w:val="21"/>
        </w:rPr>
        <w:t xml:space="preserve">基金份额申购价格＝基金份额净值×（1＋申购费率）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申购份额=申购金额/基金份额申购价格 </w:t>
      </w:r>
    </w:p>
    <w:p>
      <w:pPr>
        <w:pStyle w:val="7"/>
        <w:spacing w:before="0" w:beforeAutospacing="0" w:after="0" w:afterAutospacing="0" w:line="360" w:lineRule="auto"/>
        <w:ind w:firstLine="420"/>
        <w:rPr>
          <w:sz w:val="21"/>
          <w:szCs w:val="21"/>
        </w:rPr>
      </w:pPr>
      <w:r>
        <w:rPr>
          <w:rFonts w:hint="eastAsia"/>
          <w:sz w:val="21"/>
          <w:szCs w:val="21"/>
        </w:rPr>
        <w:t xml:space="preserve">申购费用计算结果、申购份额计算结果保留到小数点后两位，小数点后第三位四舍五入，由此产生的误差计入基金资产。 </w:t>
      </w:r>
    </w:p>
    <w:p>
      <w:pPr>
        <w:pStyle w:val="7"/>
        <w:spacing w:before="0" w:beforeAutospacing="0" w:after="0" w:afterAutospacing="0" w:line="360" w:lineRule="auto"/>
        <w:ind w:firstLine="420"/>
        <w:rPr>
          <w:sz w:val="21"/>
          <w:szCs w:val="21"/>
        </w:rPr>
      </w:pPr>
      <w:r>
        <w:rPr>
          <w:rFonts w:hint="eastAsia"/>
          <w:sz w:val="21"/>
          <w:szCs w:val="21"/>
        </w:rPr>
        <w:t xml:space="preserve">例：某投资者申购本基金100000元，申购费率为1.5％，假设申购当日基金份额净值为1.045元，则其可得到的申购份额为：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申购价格＝1.045×（1+1.5％）＝1.060675元 </w:t>
      </w:r>
    </w:p>
    <w:p>
      <w:pPr>
        <w:pStyle w:val="7"/>
        <w:spacing w:before="0" w:beforeAutospacing="0" w:after="0" w:afterAutospacing="0" w:line="360" w:lineRule="auto"/>
        <w:ind w:firstLine="420"/>
        <w:rPr>
          <w:sz w:val="21"/>
          <w:szCs w:val="21"/>
        </w:rPr>
      </w:pPr>
      <w:r>
        <w:rPr>
          <w:rFonts w:hint="eastAsia"/>
          <w:sz w:val="21"/>
          <w:szCs w:val="21"/>
        </w:rPr>
        <w:t xml:space="preserve">申购份额数 ＝100,000/1.0607＝94,279.59份 </w:t>
      </w:r>
    </w:p>
    <w:p>
      <w:pPr>
        <w:pStyle w:val="7"/>
        <w:spacing w:before="0" w:beforeAutospacing="0" w:after="0" w:afterAutospacing="0" w:line="360" w:lineRule="auto"/>
        <w:ind w:firstLine="420"/>
        <w:rPr>
          <w:sz w:val="21"/>
          <w:szCs w:val="21"/>
        </w:rPr>
      </w:pPr>
      <w:r>
        <w:rPr>
          <w:rFonts w:hint="eastAsia"/>
          <w:sz w:val="21"/>
          <w:szCs w:val="21"/>
        </w:rPr>
        <w:t xml:space="preserve">即：该投资者投资100,000元申购本基金，假设申购当日基金份额净值为1.045元，则可得到94,279.59份基金份额。 </w:t>
      </w:r>
    </w:p>
    <w:p>
      <w:pPr>
        <w:pStyle w:val="7"/>
        <w:spacing w:before="0" w:beforeAutospacing="0" w:after="0" w:afterAutospacing="0" w:line="360" w:lineRule="auto"/>
        <w:ind w:firstLine="420"/>
        <w:rPr>
          <w:sz w:val="21"/>
          <w:szCs w:val="21"/>
        </w:rPr>
      </w:pPr>
      <w:r>
        <w:rPr>
          <w:rFonts w:hint="eastAsia"/>
          <w:sz w:val="21"/>
          <w:szCs w:val="21"/>
        </w:rPr>
        <w:t xml:space="preserve">2、基金赎回金额的计算 </w:t>
      </w:r>
    </w:p>
    <w:p>
      <w:pPr>
        <w:pStyle w:val="7"/>
        <w:spacing w:before="0" w:beforeAutospacing="0" w:after="0" w:afterAutospacing="0" w:line="360" w:lineRule="auto"/>
        <w:ind w:firstLine="420"/>
        <w:rPr>
          <w:sz w:val="21"/>
          <w:szCs w:val="21"/>
        </w:rPr>
      </w:pPr>
      <w:r>
        <w:rPr>
          <w:rFonts w:hint="eastAsia"/>
          <w:sz w:val="21"/>
          <w:szCs w:val="21"/>
        </w:rPr>
        <w:t xml:space="preserve">赎回金额为按实际确认的有效赎回份额乘以以当日基金份额净值为基准计算的赎回价格，赎回金额单位为“元”，计算结果保留到小数点后两位，小数点后第三位四舍五入。由此产生的误差计入基金资产。本基金采用“份额赎回”方式，赎回价格以T日的基金份额净值为基准进行计算，计算公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赎回总金额=赎回份额′赎回当日基金份额净值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例：某投资者赎回10万份基金份额，持有期大于7日小于1年，对应的赎回费率为0.5%，假设赎回当日基金份额净值是1.016元，则其可得到的赎回金额为：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 100,000×1.016＝101,600.00元 </w:t>
      </w:r>
    </w:p>
    <w:p>
      <w:pPr>
        <w:pStyle w:val="7"/>
        <w:spacing w:before="0" w:beforeAutospacing="0" w:after="0" w:afterAutospacing="0" w:line="360" w:lineRule="auto"/>
        <w:ind w:firstLine="420"/>
        <w:rPr>
          <w:sz w:val="21"/>
          <w:szCs w:val="21"/>
        </w:rPr>
      </w:pPr>
      <w:r>
        <w:rPr>
          <w:rFonts w:hint="eastAsia"/>
          <w:sz w:val="21"/>
          <w:szCs w:val="21"/>
        </w:rPr>
        <w:t xml:space="preserve">赎回费用= 101,600× 0.5% =508.00元 </w:t>
      </w:r>
    </w:p>
    <w:p>
      <w:pPr>
        <w:pStyle w:val="7"/>
        <w:spacing w:before="0" w:beforeAutospacing="0" w:after="0" w:afterAutospacing="0" w:line="360" w:lineRule="auto"/>
        <w:ind w:firstLine="420"/>
        <w:rPr>
          <w:sz w:val="21"/>
          <w:szCs w:val="21"/>
        </w:rPr>
      </w:pPr>
      <w:r>
        <w:rPr>
          <w:rFonts w:hint="eastAsia"/>
          <w:sz w:val="21"/>
          <w:szCs w:val="21"/>
        </w:rPr>
        <w:t xml:space="preserve">净赎回金额= 101,600 -508.00＝101,092.00元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即：投资者赎回本基金10万份基金份额，持有期大于7日小于1年，假设赎回当日基金份额净值是1.016元，则其可得到的赎回金额为101,092.00元。 </w:t>
      </w:r>
    </w:p>
    <w:p>
      <w:pPr>
        <w:pStyle w:val="7"/>
        <w:spacing w:before="0" w:beforeAutospacing="0" w:after="0" w:afterAutospacing="0" w:line="360" w:lineRule="auto"/>
        <w:ind w:firstLine="420"/>
        <w:rPr>
          <w:sz w:val="21"/>
          <w:szCs w:val="21"/>
        </w:rPr>
      </w:pPr>
      <w:r>
        <w:rPr>
          <w:rFonts w:hint="eastAsia"/>
          <w:sz w:val="21"/>
          <w:szCs w:val="21"/>
        </w:rPr>
        <w:t xml:space="preserve">3、基金份额净值的计算公式 </w:t>
      </w:r>
    </w:p>
    <w:p>
      <w:pPr>
        <w:pStyle w:val="7"/>
        <w:spacing w:before="0" w:beforeAutospacing="0" w:after="0" w:afterAutospacing="0" w:line="360" w:lineRule="auto"/>
        <w:ind w:firstLine="420"/>
        <w:rPr>
          <w:sz w:val="21"/>
          <w:szCs w:val="21"/>
        </w:rPr>
      </w:pPr>
      <w:r>
        <w:rPr>
          <w:rFonts w:hint="eastAsia"/>
          <w:sz w:val="21"/>
          <w:szCs w:val="21"/>
        </w:rPr>
        <w:t xml:space="preserve">基金份额净值=开放日收市后基金资产净值/当日基金份额的余额数量 </w:t>
      </w:r>
    </w:p>
    <w:p>
      <w:pPr>
        <w:pStyle w:val="7"/>
        <w:spacing w:before="0" w:beforeAutospacing="0" w:after="0" w:afterAutospacing="0" w:line="360" w:lineRule="auto"/>
        <w:ind w:firstLine="420"/>
        <w:rPr>
          <w:sz w:val="21"/>
          <w:szCs w:val="21"/>
        </w:rPr>
      </w:pPr>
      <w:r>
        <w:rPr>
          <w:rFonts w:hint="eastAsia"/>
          <w:sz w:val="21"/>
          <w:szCs w:val="21"/>
        </w:rPr>
        <w:t xml:space="preserve">基金份额净值的计算，精确到小数点后第三位，小数点后第四位四舍五入，国家另有规定的，从其规定。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4、本基金基金份额净值的计算： </w:t>
      </w:r>
    </w:p>
    <w:p>
      <w:pPr>
        <w:pStyle w:val="7"/>
        <w:spacing w:before="0" w:beforeAutospacing="0" w:after="0" w:afterAutospacing="0" w:line="360" w:lineRule="auto"/>
        <w:ind w:firstLine="420"/>
        <w:rPr>
          <w:sz w:val="21"/>
          <w:szCs w:val="21"/>
        </w:rPr>
      </w:pPr>
      <w:r>
        <w:rPr>
          <w:rFonts w:hint="eastAsia"/>
          <w:sz w:val="21"/>
          <w:szCs w:val="21"/>
        </w:rPr>
        <w:t xml:space="preserve">T日的基金份额净值在当天收市后计算，并按照基金合同约定公告。遇特殊情况，经中国证监会同意，可以适当顺延计算或公告。本基金基金份额净值的计算，保留到小数点后3位，小数点后第4位四舍五入，由此产生的误差计入基金财产。 </w:t>
      </w:r>
    </w:p>
    <w:p>
      <w:pPr>
        <w:pStyle w:val="7"/>
        <w:spacing w:before="0" w:beforeAutospacing="0" w:after="0" w:afterAutospacing="0" w:line="360" w:lineRule="auto"/>
        <w:ind w:firstLine="420"/>
        <w:rPr>
          <w:sz w:val="21"/>
          <w:szCs w:val="21"/>
        </w:rPr>
      </w:pPr>
      <w:r>
        <w:rPr>
          <w:rFonts w:hint="eastAsia"/>
          <w:sz w:val="21"/>
          <w:szCs w:val="21"/>
        </w:rPr>
        <w:t xml:space="preserve">5、申购份额、余额的处理方式： </w:t>
      </w:r>
    </w:p>
    <w:p>
      <w:pPr>
        <w:pStyle w:val="7"/>
        <w:spacing w:before="0" w:beforeAutospacing="0" w:after="0" w:afterAutospacing="0" w:line="360" w:lineRule="auto"/>
        <w:ind w:firstLine="420"/>
        <w:rPr>
          <w:sz w:val="21"/>
          <w:szCs w:val="21"/>
        </w:rPr>
      </w:pPr>
      <w:r>
        <w:rPr>
          <w:rFonts w:hint="eastAsia"/>
          <w:sz w:val="21"/>
          <w:szCs w:val="21"/>
        </w:rPr>
        <w:t xml:space="preserve">申购的有效份额为按实际确认的申购金额在扣除相应的费用后，以当日基金份额净值为基准计算，计算结果保留到小数点后2位，小数点后第三位四舍五入，由此产生的误差计入基金财产。 </w:t>
      </w:r>
    </w:p>
    <w:p>
      <w:pPr>
        <w:pStyle w:val="7"/>
        <w:spacing w:before="0" w:beforeAutospacing="0" w:after="0" w:afterAutospacing="0" w:line="360" w:lineRule="auto"/>
        <w:ind w:firstLine="420"/>
        <w:rPr>
          <w:sz w:val="21"/>
          <w:szCs w:val="21"/>
        </w:rPr>
      </w:pPr>
      <w:r>
        <w:rPr>
          <w:rFonts w:hint="eastAsia"/>
          <w:sz w:val="21"/>
          <w:szCs w:val="21"/>
        </w:rPr>
        <w:t xml:space="preserve">6、赎回金额的处理方式： </w:t>
      </w:r>
    </w:p>
    <w:p>
      <w:pPr>
        <w:pStyle w:val="7"/>
        <w:spacing w:before="0" w:beforeAutospacing="0" w:after="0" w:afterAutospacing="0" w:line="360" w:lineRule="auto"/>
        <w:ind w:firstLine="420"/>
        <w:rPr>
          <w:sz w:val="21"/>
          <w:szCs w:val="21"/>
        </w:rPr>
      </w:pPr>
      <w:r>
        <w:rPr>
          <w:rFonts w:hint="eastAsia"/>
          <w:sz w:val="21"/>
          <w:szCs w:val="21"/>
        </w:rPr>
        <w:t xml:space="preserve">赎回金额为按实际确认的有效赎回份额以当日基金份额净值为基准并扣除相应的费用，计算结果保留到小数点后2位，小数点后第三位四舍五入，由此产生的误差计入基金财产。 </w:t>
      </w:r>
    </w:p>
    <w:p>
      <w:pPr>
        <w:pStyle w:val="7"/>
        <w:spacing w:before="0" w:beforeAutospacing="0" w:after="0" w:afterAutospacing="0" w:line="360" w:lineRule="auto"/>
        <w:ind w:firstLine="420"/>
        <w:rPr>
          <w:sz w:val="21"/>
          <w:szCs w:val="21"/>
        </w:rPr>
      </w:pPr>
      <w:r>
        <w:rPr>
          <w:rStyle w:val="11"/>
          <w:rFonts w:hint="eastAsia"/>
          <w:sz w:val="21"/>
          <w:szCs w:val="21"/>
        </w:rPr>
        <w:t>（八）申购和赎回的注册登记</w:t>
      </w:r>
    </w:p>
    <w:p>
      <w:pPr>
        <w:pStyle w:val="7"/>
        <w:spacing w:before="0" w:beforeAutospacing="0" w:after="0" w:afterAutospacing="0" w:line="360" w:lineRule="auto"/>
        <w:ind w:firstLine="420"/>
        <w:rPr>
          <w:sz w:val="21"/>
          <w:szCs w:val="21"/>
        </w:rPr>
      </w:pPr>
      <w:r>
        <w:rPr>
          <w:rFonts w:hint="eastAsia"/>
          <w:sz w:val="21"/>
          <w:szCs w:val="21"/>
        </w:rPr>
        <w:t xml:space="preserve">投资者申购基金成功后，登记机构在T+1日为投资者登记权益并办理注册登记手续，投资者自T+2日（含该日）后有权赎回该部分基金份额。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投资者赎回基金成功后，登记机构在T+1日为投资者办理扣除权益的注册登记手续。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基金管理人可以在法律法规允许的范围内，对上述注册登记办理时间进行调整，但不得实质影响投资者的合法权益，并最迟于开始实施前按规定在指定媒介公告。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（九）拒绝或暂停申购的情形及处理方式</w:t>
      </w:r>
    </w:p>
    <w:p>
      <w:pPr>
        <w:pStyle w:val="7"/>
        <w:spacing w:before="0" w:beforeAutospacing="0" w:after="0" w:afterAutospacing="0" w:line="360" w:lineRule="auto"/>
        <w:ind w:firstLine="420"/>
        <w:rPr>
          <w:sz w:val="21"/>
          <w:szCs w:val="21"/>
        </w:rPr>
      </w:pPr>
      <w:r>
        <w:rPr>
          <w:rFonts w:hint="eastAsia"/>
          <w:sz w:val="21"/>
          <w:szCs w:val="21"/>
        </w:rPr>
        <w:t xml:space="preserve">除非出现如下情形，基金管理人不得暂停或拒绝基金投资者的申购申请： </w:t>
      </w:r>
    </w:p>
    <w:p>
      <w:pPr>
        <w:pStyle w:val="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2、证券交易场所在交易时间非正常停市，导致当日基金资产净值无法计算； </w:t>
      </w:r>
    </w:p>
    <w:p>
      <w:pPr>
        <w:pStyle w:val="7"/>
        <w:spacing w:before="0" w:beforeAutospacing="0" w:after="0" w:afterAutospacing="0" w:line="360" w:lineRule="auto"/>
        <w:ind w:firstLine="420"/>
        <w:rPr>
          <w:sz w:val="21"/>
          <w:szCs w:val="21"/>
        </w:rPr>
      </w:pPr>
      <w:r>
        <w:rPr>
          <w:rFonts w:hint="eastAsia"/>
          <w:sz w:val="21"/>
          <w:szCs w:val="21"/>
        </w:rPr>
        <w:t xml:space="preserve">3、基金资产规模过大，使基金管理人无法找到合适的投资品种，或可能对基金业绩产生负面影响，从而损害现有基金份额持有人的利益；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5、法律法规规定或中国证监会认定的其他可暂停申购的情形；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6、基金管理人认为会有损于现有基金份额持有人利益的或对存量基金份额持有人利益构成潜在重大不利影响某笔申购。 </w:t>
      </w:r>
    </w:p>
    <w:p>
      <w:pPr>
        <w:pStyle w:val="7"/>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的，申购款项将全额退还投资者。发生上述1到5项暂停申购情形时，基金管理人应当在指定媒介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（十）暂停赎回或者延缓支付赎回款项的情形及处理方式</w:t>
      </w:r>
    </w:p>
    <w:p>
      <w:pPr>
        <w:pStyle w:val="7"/>
        <w:spacing w:before="0" w:beforeAutospacing="0" w:after="0" w:afterAutospacing="0" w:line="360" w:lineRule="auto"/>
        <w:ind w:firstLine="420"/>
        <w:rPr>
          <w:sz w:val="21"/>
          <w:szCs w:val="21"/>
        </w:rPr>
      </w:pPr>
      <w:r>
        <w:rPr>
          <w:rFonts w:hint="eastAsia"/>
          <w:sz w:val="21"/>
          <w:szCs w:val="21"/>
        </w:rPr>
        <w:t xml:space="preserve">除非出现如下情形，基金管理人不得拒绝接受或暂停基金份额持有人的赎回申请或者延缓支付赎回款项：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1、不可抗力的原因导致基金管理人不能支付赎回款项；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2、证券交易场所依法决定临时停市，导致基金管理人无法计算当日基金资产净值；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3、因市场剧烈波动或其他原因而出现连续2个或2个以上开放日巨额赎回，导致本基金的现金支付出现困难；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5、法律法规规定或中国证监会认定的其他情形。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的，基金管理人应按规定报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 </w:t>
      </w:r>
    </w:p>
    <w:p>
      <w:pPr>
        <w:pStyle w:val="7"/>
        <w:spacing w:before="0" w:beforeAutospacing="0" w:after="0" w:afterAutospacing="0" w:line="360" w:lineRule="auto"/>
        <w:ind w:firstLine="420"/>
        <w:rPr>
          <w:sz w:val="21"/>
          <w:szCs w:val="21"/>
        </w:rPr>
      </w:pPr>
      <w:r>
        <w:rPr>
          <w:rFonts w:hint="eastAsia"/>
          <w:sz w:val="21"/>
          <w:szCs w:val="21"/>
        </w:rPr>
        <w:t xml:space="preserve">同时，在出现上述第3款的情形时，对已接受的赎回申请可延期支付赎回款项，最长不超过20个工作日，并在指定媒介公告。投资者在申请赎回时可事先选择将当日可能未获受理部分予以撤销。 </w:t>
      </w:r>
    </w:p>
    <w:p>
      <w:pPr>
        <w:pStyle w:val="7"/>
        <w:spacing w:before="0" w:beforeAutospacing="0" w:after="0" w:afterAutospacing="0" w:line="360" w:lineRule="auto"/>
        <w:ind w:firstLine="420"/>
        <w:rPr>
          <w:sz w:val="21"/>
          <w:szCs w:val="21"/>
        </w:rPr>
      </w:pPr>
      <w:r>
        <w:rPr>
          <w:rFonts w:hint="eastAsia"/>
          <w:sz w:val="21"/>
          <w:szCs w:val="21"/>
        </w:rPr>
        <w:t xml:space="preserve">暂停基金的赎回，基金管理人应及时在指定媒介上刊登暂停赎回公告。 </w:t>
      </w:r>
    </w:p>
    <w:p>
      <w:pPr>
        <w:pStyle w:val="7"/>
        <w:spacing w:before="0" w:beforeAutospacing="0" w:after="0" w:afterAutospacing="0" w:line="360" w:lineRule="auto"/>
        <w:ind w:firstLine="420"/>
        <w:rPr>
          <w:sz w:val="21"/>
          <w:szCs w:val="21"/>
        </w:rPr>
      </w:pPr>
      <w:r>
        <w:rPr>
          <w:rFonts w:hint="eastAsia"/>
          <w:sz w:val="21"/>
          <w:szCs w:val="21"/>
        </w:rPr>
        <w:t xml:space="preserve">在暂停赎回的情况消除时，基金管理人应及时恢复赎回业务的办理，并依照有关规定在指定媒介上公告。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2" w:name="field_49_mintredeemscale_1"/>
      <w:r>
        <w:rPr>
          <w:sz w:val="21"/>
          <w:szCs w:val="21"/>
        </w:rPr>
        <w:t>10</w:t>
      </w:r>
      <w:bookmarkEnd w:id="102"/>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出现巨额赎回时，基金管理人可以根据本基金当时的资产组合状况决定接受全额赎回或部分延期赎回。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（1）全额赎回：当基金管理人认为有能力兑付投资者的全部赎回申请时，按正常赎回程序执行；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103" w:name="field_49_mintredeemscale_2"/>
      <w:r>
        <w:rPr>
          <w:sz w:val="21"/>
          <w:szCs w:val="21"/>
        </w:rPr>
        <w:t>10</w:t>
      </w:r>
      <w:bookmarkEnd w:id="103"/>
      <w:r>
        <w:rPr>
          <w:rFonts w:hint="eastAsia"/>
          <w:sz w:val="21"/>
          <w:szCs w:val="21"/>
        </w:rPr>
        <w:t xml:space="preserve">％的前提下，对其余赎回申请延期办理。对于单个基金份额持有人的赎回申请，应当按单个基金份额持有人申请赎回份额占当日申请赎回总份额的比例，确定该单个基金份额持有人当日受理的赎回份额；投资者未能赎回部分除投资者在提交赎回申请时选择将当日未获受理部分予以撤销者外，延迟至下一开放日办理，赎回价格为下一个开放日的价格。依照上述规定转入下一开放日的赎回申请不享有赎回优先权，以此类推，直到全部赎回为止，部分顺延赎回不受单笔赎回最低份额的限制。 </w:t>
      </w:r>
    </w:p>
    <w:p>
      <w:pPr>
        <w:pStyle w:val="7"/>
        <w:spacing w:before="0" w:beforeAutospacing="0" w:after="0" w:afterAutospacing="0" w:line="360" w:lineRule="auto"/>
        <w:ind w:firstLine="420"/>
        <w:rPr>
          <w:sz w:val="21"/>
          <w:szCs w:val="21"/>
        </w:rPr>
      </w:pPr>
      <w:r>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（4）巨额赎回的公告：当发生巨额赎回并顺延赎回时，基金管理人应在2日内通过指定媒介刊登公告。同时以邮寄、传真或《招募说明书》规定的其他方式通知基金份额持有人，并说明有关处理方法。 </w:t>
      </w:r>
    </w:p>
    <w:p>
      <w:pPr>
        <w:pStyle w:val="7"/>
        <w:spacing w:before="0" w:beforeAutospacing="0" w:after="0" w:afterAutospacing="0" w:line="360" w:lineRule="auto"/>
        <w:ind w:firstLine="420"/>
        <w:rPr>
          <w:sz w:val="21"/>
          <w:szCs w:val="21"/>
        </w:rPr>
      </w:pPr>
      <w:r>
        <w:rPr>
          <w:rFonts w:hint="eastAsia"/>
          <w:sz w:val="21"/>
          <w:szCs w:val="21"/>
        </w:rPr>
        <w:t xml:space="preserve">本基金连续2个开放日以上发生巨额赎回，如基金管理人认为有必要，可暂停接受赎回申请；已经接受的赎回申请可以延缓支付赎回款项，但不得超过20个工作日，并应当在指定媒介公告。 </w:t>
      </w:r>
    </w:p>
    <w:p>
      <w:pPr>
        <w:pStyle w:val="7"/>
        <w:spacing w:before="0" w:beforeAutospacing="0" w:after="0" w:afterAutospacing="0" w:line="360" w:lineRule="auto"/>
        <w:ind w:firstLine="420"/>
        <w:rPr>
          <w:sz w:val="21"/>
          <w:szCs w:val="21"/>
        </w:rPr>
      </w:pPr>
      <w:r>
        <w:rPr>
          <w:rStyle w:val="11"/>
          <w:rFonts w:hint="eastAsia"/>
          <w:sz w:val="21"/>
          <w:szCs w:val="21"/>
        </w:rPr>
        <w:t>（十二）其他暂停申购和赎回的情形及处理方式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发生《基金合同》或《招募说明书》中未予载明的事项，但基金管理人有正当理由认为需要暂停基金申购、赎回的，可以经届时有效的合法程序宣布暂停接受投资者的申购、赎回申请。 </w:t>
      </w:r>
    </w:p>
    <w:p>
      <w:pPr>
        <w:pStyle w:val="7"/>
        <w:spacing w:before="0" w:beforeAutospacing="0" w:after="0" w:afterAutospacing="0" w:line="360" w:lineRule="auto"/>
        <w:ind w:firstLine="420"/>
        <w:rPr>
          <w:sz w:val="21"/>
          <w:szCs w:val="21"/>
        </w:rPr>
      </w:pPr>
      <w:r>
        <w:rPr>
          <w:rStyle w:val="11"/>
          <w:rFonts w:hint="eastAsia"/>
          <w:sz w:val="21"/>
          <w:szCs w:val="21"/>
        </w:rPr>
        <w:t>（十三）重新开放申购或赎回的公告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如果发生暂停的时间为一天，基金管理人应于重新开放日在指定媒介刊登基金重新开放申购或赎回的公告并公布最近一个开放日的基金份额净值。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如果发生暂停的时间超过一天但少于两周，暂停结束基金重新开放申购或赎回时，基金管理人应提前2日在指定媒介刊登基金重新开放申购或赎回的公告，并在重新开始办理申购或赎回的开放日公告最近一个开放日的基金份额净值。 </w:t>
      </w:r>
    </w:p>
    <w:p>
      <w:pPr>
        <w:pStyle w:val="7"/>
        <w:spacing w:before="0" w:beforeAutospacing="0" w:after="0" w:afterAutospacing="0" w:line="360" w:lineRule="auto"/>
        <w:ind w:firstLine="420"/>
        <w:rPr>
          <w:sz w:val="21"/>
          <w:szCs w:val="21"/>
        </w:rPr>
      </w:pPr>
      <w:r>
        <w:rPr>
          <w:rFonts w:hint="eastAsia"/>
          <w:sz w:val="21"/>
          <w:szCs w:val="21"/>
        </w:rPr>
        <w:t>如果发生暂停的时间超过两周，暂停期间，基金管理人应每两周至少重复刊登暂停公告一次。暂停结束基金重新开放申购或赎回时，基金管理人应提前2日在指定媒介连续刊登基金重新开放申购或赎回的公告，并在重新开放申购或赎回日公告最近一个开放日的基金份额</w:t>
      </w:r>
      <w:bookmarkStart w:id="104" w:name="chapter_level1_12_59_section_3_end"/>
      <w:bookmarkEnd w:id="104"/>
      <w:r>
        <w:rPr>
          <w:rFonts w:hint="eastAsia"/>
          <w:sz w:val="21"/>
          <w:szCs w:val="21"/>
        </w:rPr>
        <w:t xml:space="preserve">净值。 </w:t>
      </w:r>
    </w:p>
    <w:p>
      <w:pPr>
        <w:pStyle w:val="7"/>
        <w:spacing w:before="0" w:beforeAutospacing="0" w:after="0" w:afterAutospacing="0" w:line="360" w:lineRule="auto"/>
        <w:ind w:firstLine="420"/>
        <w:rPr>
          <w:sz w:val="21"/>
          <w:szCs w:val="21"/>
        </w:rPr>
      </w:pPr>
      <w:bookmarkStart w:id="105" w:name="chapter_level1_12_59_section_4"/>
      <w:bookmarkEnd w:id="105"/>
      <w:r>
        <w:rPr>
          <w:rStyle w:val="11"/>
          <w:rFonts w:hint="eastAsia"/>
          <w:sz w:val="21"/>
          <w:szCs w:val="21"/>
        </w:rPr>
        <w:t>（十四）基金的转换</w:t>
      </w:r>
    </w:p>
    <w:p>
      <w:pPr>
        <w:pStyle w:val="7"/>
        <w:spacing w:before="0" w:beforeAutospacing="0" w:after="0" w:afterAutospacing="0" w:line="360" w:lineRule="auto"/>
        <w:ind w:firstLine="420"/>
        <w:rPr>
          <w:sz w:val="21"/>
          <w:szCs w:val="21"/>
        </w:rPr>
      </w:pPr>
      <w:r>
        <w:rPr>
          <w:rFonts w:hint="eastAsia"/>
          <w:sz w:val="21"/>
          <w:szCs w:val="21"/>
        </w:rPr>
        <w:t xml:space="preserve">自2007年5月24日起，本基金管理人和销售机构共同推出本基金的基金转换业务。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基金转换费用由申购费补差和转出基金赎回费两部分构成，具体收取情况视每次转换时两只基金的申购费率的差异情况而定。基金转换费用由基金持有人承担。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2、业务规则 </w:t>
      </w:r>
    </w:p>
    <w:p>
      <w:pPr>
        <w:pStyle w:val="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（1）基金转换只能在同一销售机构进行。转换的两只基金必须都是该销售人代理的同一基金管理人管理的、在同一登记机构处注册登记的基金。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和QDII基金进行互转。 </w:t>
      </w:r>
    </w:p>
    <w:p>
      <w:pPr>
        <w:pStyle w:val="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3、暂停基金转换的情形及处理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本基金转换业务适用于可以销售包括</w:t>
      </w:r>
      <w:bookmarkStart w:id="106" w:name="field_0_productfullname_11"/>
      <w:r>
        <w:rPr>
          <w:rFonts w:hint="eastAsia"/>
          <w:sz w:val="21"/>
          <w:szCs w:val="21"/>
        </w:rPr>
        <w:t>博时第三产业成长混合型证券投资基金</w:t>
      </w:r>
      <w:bookmarkEnd w:id="106"/>
      <w:r>
        <w:rPr>
          <w:rFonts w:hint="eastAsia"/>
          <w:sz w:val="21"/>
          <w:szCs w:val="21"/>
        </w:rPr>
        <w:t xml:space="preserve">在内的两只以上（含两只）的博时旗下基金的销售机构。 </w:t>
      </w:r>
    </w:p>
    <w:p>
      <w:pPr>
        <w:pStyle w:val="7"/>
        <w:spacing w:before="0" w:beforeAutospacing="0" w:after="0" w:afterAutospacing="0" w:line="360" w:lineRule="auto"/>
        <w:ind w:firstLine="420"/>
        <w:rPr>
          <w:sz w:val="21"/>
          <w:szCs w:val="21"/>
        </w:rPr>
      </w:pPr>
      <w:r>
        <w:rPr>
          <w:rFonts w:hint="eastAsia"/>
          <w:sz w:val="21"/>
          <w:szCs w:val="21"/>
        </w:rPr>
        <w:t>转换业务的收费计算公式及举例参见2010年3月16日刊登于本公司网站的《</w:t>
      </w:r>
      <w:bookmarkStart w:id="107" w:name="field_0_managerorgfullname_6"/>
      <w:r>
        <w:rPr>
          <w:rFonts w:hint="eastAsia"/>
          <w:sz w:val="21"/>
          <w:szCs w:val="21"/>
        </w:rPr>
        <w:t>博时基金管理有限公司</w:t>
      </w:r>
      <w:bookmarkEnd w:id="107"/>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r>
        <w:rPr>
          <w:rFonts w:hint="eastAsia"/>
          <w:sz w:val="21"/>
          <w:szCs w:val="21"/>
        </w:rPr>
        <w:t xml:space="preserve">转换业务适用基金详见相关公告。 </w:t>
      </w:r>
    </w:p>
    <w:p>
      <w:pPr>
        <w:pStyle w:val="7"/>
        <w:spacing w:before="0" w:beforeAutospacing="0" w:after="0" w:afterAutospacing="0" w:line="360" w:lineRule="auto"/>
        <w:ind w:firstLine="420"/>
        <w:rPr>
          <w:sz w:val="21"/>
          <w:szCs w:val="21"/>
        </w:rPr>
      </w:pPr>
      <w:bookmarkStart w:id="108" w:name="chapter_level1_12_59_section_4_end"/>
      <w:bookmarkEnd w:id="108"/>
      <w:r>
        <w:rPr>
          <w:rFonts w:hint="eastAsia"/>
          <w:sz w:val="21"/>
          <w:szCs w:val="21"/>
        </w:rPr>
        <w:t xml:space="preserve">本公司管理基金的转换业务的解释权归本公司。 </w:t>
      </w:r>
    </w:p>
    <w:p>
      <w:pPr>
        <w:pStyle w:val="7"/>
        <w:spacing w:before="0" w:beforeAutospacing="0" w:after="0" w:afterAutospacing="0" w:line="360" w:lineRule="auto"/>
        <w:ind w:firstLine="420"/>
        <w:rPr>
          <w:sz w:val="21"/>
          <w:szCs w:val="21"/>
        </w:rPr>
      </w:pPr>
      <w:bookmarkStart w:id="109" w:name="chapter_level1_12_59_section_5"/>
      <w:bookmarkEnd w:id="109"/>
      <w:r>
        <w:rPr>
          <w:rStyle w:val="11"/>
          <w:rFonts w:hint="eastAsia"/>
          <w:sz w:val="21"/>
          <w:szCs w:val="21"/>
        </w:rPr>
        <w:t>（十五）转托管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0" w:name="chapter_level1_12_59_section_5_end"/>
      <w:bookmarkEnd w:id="110"/>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1" w:name="chapter_level1_12_59_section_6"/>
      <w:bookmarkEnd w:id="111"/>
      <w:r>
        <w:rPr>
          <w:rStyle w:val="11"/>
          <w:rFonts w:hint="eastAsia"/>
          <w:sz w:val="21"/>
          <w:szCs w:val="21"/>
        </w:rPr>
        <w:t>（十六）定期定额投资计划</w:t>
      </w:r>
    </w:p>
    <w:p>
      <w:pPr>
        <w:pStyle w:val="7"/>
        <w:spacing w:before="0" w:beforeAutospacing="0" w:after="0" w:afterAutospacing="0" w:line="360" w:lineRule="auto"/>
        <w:ind w:firstLine="420"/>
        <w:rPr>
          <w:sz w:val="21"/>
          <w:szCs w:val="21"/>
        </w:rPr>
      </w:pPr>
      <w:r>
        <w:rPr>
          <w:rFonts w:hint="eastAsia"/>
          <w:sz w:val="21"/>
          <w:szCs w:val="21"/>
        </w:rPr>
        <w:t xml:space="preserve">自2007年5月24日起，本基金管理人和销售机构共同推出本基金的定期定额计划投资业务。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依法可以投资证券投资基金的个人投资者、机构投资者及合格境外机构投资者。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本基金申购费率具体为：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100万≤M &lt;500万元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投资者须遵循各销售机构有关扣款日期和最低限额的规定，并与销售机构约定每期扣款金额,但最低每次不少于人民币1</w:t>
      </w:r>
      <w:r>
        <w:rPr>
          <w:rFonts w:hint="eastAsia"/>
          <w:sz w:val="21"/>
          <w:szCs w:val="21"/>
          <w:lang w:val="en-US" w:eastAsia="zh-CN"/>
        </w:rPr>
        <w:t>.0</w:t>
      </w:r>
      <w:r>
        <w:rPr>
          <w:rFonts w:hint="eastAsia"/>
          <w:sz w:val="21"/>
          <w:szCs w:val="21"/>
        </w:rPr>
        <w:t>0元(含1</w:t>
      </w:r>
      <w:r>
        <w:rPr>
          <w:rFonts w:hint="eastAsia"/>
          <w:sz w:val="21"/>
          <w:szCs w:val="21"/>
          <w:lang w:val="en-US" w:eastAsia="zh-CN"/>
        </w:rPr>
        <w:t>.0</w:t>
      </w:r>
      <w:r>
        <w:rPr>
          <w:rFonts w:hint="eastAsia"/>
          <w:sz w:val="21"/>
          <w:szCs w:val="21"/>
        </w:rPr>
        <w:t xml:space="preserve">0元)。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 xml:space="preserve">（2）本基金定期定额投资计划的每期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pPr>
        <w:pStyle w:val="7"/>
        <w:spacing w:before="0" w:beforeAutospacing="0" w:after="0" w:afterAutospacing="0" w:line="360" w:lineRule="auto"/>
        <w:ind w:firstLine="420"/>
        <w:rPr>
          <w:sz w:val="21"/>
          <w:szCs w:val="21"/>
        </w:rPr>
      </w:pPr>
      <w:r>
        <w:rPr>
          <w:rFonts w:hint="eastAsia"/>
          <w:sz w:val="21"/>
          <w:szCs w:val="21"/>
        </w:rPr>
        <w:t xml:space="preserve">（3）各机构办理业务情况见本公司发布的相关公告。 </w:t>
      </w:r>
    </w:p>
    <w:p>
      <w:pPr>
        <w:pStyle w:val="7"/>
        <w:spacing w:before="0" w:beforeAutospacing="0" w:after="0" w:afterAutospacing="0" w:line="360" w:lineRule="auto"/>
        <w:ind w:firstLine="420"/>
        <w:rPr>
          <w:sz w:val="21"/>
          <w:szCs w:val="21"/>
        </w:rPr>
      </w:pPr>
      <w:r>
        <w:rPr>
          <w:rFonts w:hint="eastAsia"/>
          <w:sz w:val="21"/>
          <w:szCs w:val="21"/>
        </w:rPr>
        <w:t>5、本公司网上直销交易已开通本基金的定期投资业务，详情可登录本公司网站www.bosera.com参阅《</w:t>
      </w:r>
      <w:bookmarkStart w:id="112" w:name="field_0_managerorgfullname_7"/>
      <w:r>
        <w:rPr>
          <w:rFonts w:hint="eastAsia"/>
          <w:sz w:val="21"/>
          <w:szCs w:val="21"/>
        </w:rPr>
        <w:t>博时基金管理有限公司</w:t>
      </w:r>
      <w:bookmarkEnd w:id="112"/>
      <w:r>
        <w:rPr>
          <w:rFonts w:hint="eastAsia"/>
          <w:sz w:val="21"/>
          <w:szCs w:val="21"/>
        </w:rPr>
        <w:t>直销定期投资业务</w:t>
      </w:r>
      <w:bookmarkStart w:id="113" w:name="chapter_level1_12_59_section_6_end"/>
      <w:bookmarkEnd w:id="113"/>
      <w:r>
        <w:rPr>
          <w:rFonts w:hint="eastAsia"/>
          <w:sz w:val="21"/>
          <w:szCs w:val="21"/>
        </w:rPr>
        <w:t xml:space="preserve">规则》，也可拨打客户服务电话：95105568（免长途费）了解或咨询相关情况。 </w:t>
      </w:r>
    </w:p>
    <w:p>
      <w:pPr>
        <w:pStyle w:val="7"/>
        <w:spacing w:before="0" w:beforeAutospacing="0" w:after="0" w:afterAutospacing="0" w:line="360" w:lineRule="auto"/>
        <w:ind w:firstLine="420"/>
        <w:rPr>
          <w:sz w:val="21"/>
          <w:szCs w:val="21"/>
        </w:rPr>
      </w:pPr>
      <w:bookmarkStart w:id="114" w:name="chapter_level1_12_59_section_7"/>
      <w:bookmarkEnd w:id="114"/>
      <w:r>
        <w:rPr>
          <w:rStyle w:val="11"/>
          <w:rFonts w:hint="eastAsia"/>
          <w:sz w:val="21"/>
          <w:szCs w:val="21"/>
        </w:rPr>
        <w:t>（十七）基金的非交易过户</w:t>
      </w:r>
    </w:p>
    <w:p>
      <w:pPr>
        <w:pStyle w:val="7"/>
        <w:spacing w:before="0" w:beforeAutospacing="0" w:after="0" w:afterAutospacing="0" w:line="360" w:lineRule="auto"/>
        <w:ind w:firstLine="420"/>
        <w:rPr>
          <w:sz w:val="21"/>
          <w:szCs w:val="21"/>
        </w:rPr>
      </w:pPr>
      <w:r>
        <w:rPr>
          <w:rFonts w:hint="eastAsia"/>
          <w:sz w:val="21"/>
          <w:szCs w:val="21"/>
        </w:rPr>
        <w:t xml:space="preserve">非交易过户是指不采用申购、赎回等基金交易方式，将一定数量的基金份额按照一定规则从某一投资者基金账户转移到另一投资者基金账户的行为。 </w:t>
      </w:r>
    </w:p>
    <w:p>
      <w:pPr>
        <w:pStyle w:val="7"/>
        <w:spacing w:before="0" w:beforeAutospacing="0" w:after="0" w:afterAutospacing="0" w:line="360" w:lineRule="auto"/>
        <w:ind w:firstLine="420"/>
        <w:rPr>
          <w:sz w:val="21"/>
          <w:szCs w:val="21"/>
        </w:rPr>
      </w:pPr>
      <w:r>
        <w:rPr>
          <w:rFonts w:hint="eastAsia"/>
          <w:sz w:val="21"/>
          <w:szCs w:val="21"/>
        </w:rPr>
        <w:t xml:space="preserve">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登记机构要求提供的相关资料。 </w:t>
      </w:r>
    </w:p>
    <w:p>
      <w:pPr>
        <w:pStyle w:val="7"/>
        <w:spacing w:before="0" w:beforeAutospacing="0" w:after="0" w:afterAutospacing="0" w:line="360" w:lineRule="auto"/>
        <w:ind w:firstLine="420"/>
        <w:rPr>
          <w:sz w:val="21"/>
          <w:szCs w:val="21"/>
        </w:rPr>
      </w:pPr>
      <w:r>
        <w:rPr>
          <w:rFonts w:hint="eastAsia"/>
          <w:sz w:val="21"/>
          <w:szCs w:val="21"/>
        </w:rPr>
        <w:t xml:space="preserve">登记机构及其指定的销售机构受理上述情况下的非交易过户，其他销售机构不得办理该项业务。 </w:t>
      </w:r>
    </w:p>
    <w:p>
      <w:pPr>
        <w:pStyle w:val="7"/>
        <w:spacing w:before="0" w:beforeAutospacing="0" w:after="0" w:afterAutospacing="0" w:line="360" w:lineRule="auto"/>
        <w:ind w:firstLine="420"/>
        <w:rPr>
          <w:sz w:val="21"/>
          <w:szCs w:val="21"/>
        </w:rPr>
      </w:pPr>
      <w:r>
        <w:rPr>
          <w:rFonts w:hint="eastAsia"/>
          <w:sz w:val="21"/>
          <w:szCs w:val="21"/>
        </w:rPr>
        <w:t xml:space="preserve">对于符合条件的非交易过户申请按《业务规则》的有关规定办理。 </w:t>
      </w:r>
    </w:p>
    <w:p>
      <w:pPr>
        <w:pStyle w:val="7"/>
        <w:spacing w:before="0" w:beforeAutospacing="0" w:after="0" w:afterAutospacing="0" w:line="360" w:lineRule="auto"/>
        <w:ind w:firstLine="420"/>
        <w:rPr>
          <w:sz w:val="21"/>
          <w:szCs w:val="21"/>
        </w:rPr>
      </w:pPr>
      <w:r>
        <w:rPr>
          <w:rStyle w:val="11"/>
          <w:rFonts w:hint="eastAsia"/>
          <w:sz w:val="21"/>
          <w:szCs w:val="21"/>
        </w:rPr>
        <w:t>（十八）基金的冻结与解冻</w:t>
      </w:r>
    </w:p>
    <w:p>
      <w:pPr>
        <w:pStyle w:val="7"/>
        <w:spacing w:before="0" w:beforeAutospacing="0" w:after="0" w:afterAutospacing="0" w:line="360" w:lineRule="auto"/>
        <w:ind w:firstLine="420"/>
        <w:rPr>
          <w:sz w:val="21"/>
          <w:szCs w:val="21"/>
        </w:rPr>
      </w:pPr>
      <w:r>
        <w:rPr>
          <w:rFonts w:hint="eastAsia"/>
          <w:sz w:val="21"/>
          <w:szCs w:val="21"/>
        </w:rPr>
        <w:t>登记机构只受理国家有权机关依法要求的基金份额的冻结与解冻，以及注册登记机构认</w:t>
      </w:r>
      <w:bookmarkStart w:id="115" w:name="chapter_level1_12_59_section_7_end"/>
      <w:bookmarkEnd w:id="115"/>
      <w:r>
        <w:rPr>
          <w:rFonts w:hint="eastAsia"/>
          <w:sz w:val="21"/>
          <w:szCs w:val="21"/>
        </w:rPr>
        <w:t xml:space="preserve">可的其他情况下的冻结与解冻。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6" w:name="chapter_level1_13_60"/>
      <w:bookmarkStart w:id="117" w:name="_Toc113453357"/>
      <w:r>
        <w:rPr>
          <w:rFonts w:hint="eastAsia" w:ascii="宋体" w:hAnsi="宋体" w:eastAsia="宋体"/>
          <w:sz w:val="30"/>
        </w:rPr>
        <w:t>十、基金的投资</w:t>
      </w:r>
      <w:bookmarkEnd w:id="116"/>
      <w:bookmarkEnd w:id="117"/>
    </w:p>
    <w:p>
      <w:pPr>
        <w:pStyle w:val="7"/>
        <w:spacing w:before="0" w:beforeAutospacing="0" w:after="0" w:afterAutospacing="0" w:line="360" w:lineRule="auto"/>
        <w:ind w:firstLine="420"/>
        <w:rPr>
          <w:sz w:val="21"/>
          <w:szCs w:val="21"/>
        </w:rPr>
      </w:pPr>
      <w:bookmarkStart w:id="118" w:name="chapter_level1_13_60_section_1"/>
      <w:bookmarkEnd w:id="118"/>
      <w:r>
        <w:rPr>
          <w:rStyle w:val="11"/>
          <w:rFonts w:hint="eastAsia"/>
          <w:sz w:val="21"/>
          <w:szCs w:val="21"/>
        </w:rPr>
        <w:t>（一）投资理念</w:t>
      </w:r>
    </w:p>
    <w:p>
      <w:pPr>
        <w:pStyle w:val="7"/>
        <w:spacing w:before="0" w:beforeAutospacing="0" w:after="0" w:afterAutospacing="0" w:line="360" w:lineRule="auto"/>
        <w:ind w:firstLine="420"/>
        <w:rPr>
          <w:sz w:val="21"/>
          <w:szCs w:val="21"/>
        </w:rPr>
      </w:pPr>
      <w:r>
        <w:rPr>
          <w:rFonts w:hint="eastAsia"/>
          <w:sz w:val="21"/>
          <w:szCs w:val="21"/>
        </w:rPr>
        <w:t xml:space="preserve">积极投资高速增长的第三产业集群企业，与快速发展中的中国经济共成长。 </w:t>
      </w:r>
    </w:p>
    <w:p>
      <w:pPr>
        <w:pStyle w:val="7"/>
        <w:spacing w:before="0" w:beforeAutospacing="0" w:after="0" w:afterAutospacing="0" w:line="360" w:lineRule="auto"/>
        <w:ind w:firstLine="420"/>
        <w:rPr>
          <w:sz w:val="21"/>
          <w:szCs w:val="21"/>
        </w:rPr>
      </w:pPr>
      <w:r>
        <w:rPr>
          <w:rStyle w:val="11"/>
          <w:rFonts w:hint="eastAsia"/>
          <w:sz w:val="21"/>
          <w:szCs w:val="21"/>
        </w:rPr>
        <w:t>（二）投资目标</w:t>
      </w:r>
    </w:p>
    <w:p>
      <w:pPr>
        <w:pStyle w:val="7"/>
        <w:spacing w:before="0" w:beforeAutospacing="0" w:after="0" w:afterAutospacing="0" w:line="360" w:lineRule="auto"/>
        <w:ind w:firstLine="420"/>
        <w:rPr>
          <w:sz w:val="21"/>
          <w:szCs w:val="21"/>
        </w:rPr>
      </w:pPr>
      <w:bookmarkStart w:id="119" w:name="field_60_investmenttarget_1_start"/>
      <w:bookmarkEnd w:id="119"/>
      <w:r>
        <w:rPr>
          <w:rFonts w:hint="eastAsia"/>
          <w:sz w:val="21"/>
          <w:szCs w:val="21"/>
        </w:rPr>
        <w:t>基于我国第三产业的快速发展壮大及其战略地位，本基金以高速增长的第三产业集群企业为主要投资对象，通过深入研究并积极投资，力争为基金持有人获</w:t>
      </w:r>
      <w:bookmarkStart w:id="120" w:name="chapter_level1_13_60_section_1_end"/>
      <w:bookmarkEnd w:id="120"/>
      <w:r>
        <w:rPr>
          <w:rFonts w:hint="eastAsia"/>
          <w:sz w:val="21"/>
          <w:szCs w:val="21"/>
        </w:rPr>
        <w:t xml:space="preserve">得超越于业绩比较基准的投资回报。  </w:t>
      </w:r>
      <w:bookmarkStart w:id="121" w:name="field_60_investmenttarget_1_end"/>
      <w:bookmarkEnd w:id="121"/>
      <w:r>
        <w:rPr>
          <w:rFonts w:hint="eastAsia"/>
          <w:sz w:val="21"/>
          <w:szCs w:val="21"/>
        </w:rPr>
        <w:t xml:space="preserve">  </w:t>
      </w:r>
    </w:p>
    <w:p>
      <w:pPr>
        <w:pStyle w:val="7"/>
        <w:spacing w:before="0" w:beforeAutospacing="0" w:after="0" w:afterAutospacing="0" w:line="360" w:lineRule="auto"/>
        <w:ind w:firstLine="420"/>
        <w:rPr>
          <w:sz w:val="21"/>
          <w:szCs w:val="21"/>
        </w:rPr>
      </w:pPr>
      <w:bookmarkStart w:id="122" w:name="chapter_level1_13_60_section_2_end"/>
      <w:bookmarkEnd w:id="122"/>
      <w:bookmarkStart w:id="123" w:name="chapter_level1_13_60_section_2"/>
      <w:bookmarkEnd w:id="123"/>
      <w:r>
        <w:rPr>
          <w:rStyle w:val="11"/>
          <w:rFonts w:hint="eastAsia"/>
          <w:sz w:val="21"/>
          <w:szCs w:val="21"/>
        </w:rPr>
        <w:t>（三）业绩比较基准</w:t>
      </w:r>
    </w:p>
    <w:p>
      <w:pPr>
        <w:pStyle w:val="7"/>
        <w:spacing w:before="0" w:beforeAutospacing="0" w:after="0" w:afterAutospacing="0" w:line="360" w:lineRule="auto"/>
        <w:ind w:firstLine="420"/>
        <w:rPr>
          <w:sz w:val="21"/>
          <w:szCs w:val="21"/>
        </w:rPr>
      </w:pPr>
      <w:bookmarkStart w:id="124" w:name="chapter_level1_13_60_section_3"/>
      <w:bookmarkEnd w:id="124"/>
      <w:r>
        <w:rPr>
          <w:rFonts w:hint="eastAsia"/>
          <w:sz w:val="21"/>
          <w:szCs w:val="21"/>
        </w:rPr>
        <w:t>本基金业绩比较基准：</w:t>
      </w:r>
      <w:bookmarkStart w:id="125" w:name="field_60_benchmark_1_start"/>
      <w:bookmarkEnd w:id="125"/>
      <w:r>
        <w:rPr>
          <w:rFonts w:hint="eastAsia"/>
          <w:sz w:val="21"/>
          <w:szCs w:val="21"/>
        </w:rPr>
        <w:t xml:space="preserve">沪深300指数收益率×80%＋中国债券总指数收益率×20%  </w:t>
      </w:r>
      <w:bookmarkStart w:id="126" w:name="field_60_benchmark_1_end"/>
      <w:bookmarkEnd w:id="12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如果今后法律法规发生变化，或者有更权威的、更能为市场普遍接受的业绩比较基准推出，或者是市场上出现更加适合用于本基金的业绩基准的股票指数时，本基金可以在报中国</w:t>
      </w:r>
      <w:bookmarkStart w:id="127" w:name="chapter_level1_13_60_section_3_end"/>
      <w:bookmarkEnd w:id="127"/>
      <w:r>
        <w:rPr>
          <w:rFonts w:hint="eastAsia"/>
          <w:sz w:val="21"/>
          <w:szCs w:val="21"/>
        </w:rPr>
        <w:t xml:space="preserve">证监会备案后变更业绩比较基准并及时公告。 </w:t>
      </w:r>
    </w:p>
    <w:p>
      <w:pPr>
        <w:pStyle w:val="7"/>
        <w:spacing w:before="0" w:beforeAutospacing="0" w:after="0" w:afterAutospacing="0" w:line="360" w:lineRule="auto"/>
        <w:ind w:firstLine="420"/>
        <w:rPr>
          <w:sz w:val="21"/>
          <w:szCs w:val="21"/>
        </w:rPr>
      </w:pPr>
      <w:bookmarkStart w:id="128" w:name="chapter_level1_13_60_section_4"/>
      <w:bookmarkEnd w:id="128"/>
      <w:r>
        <w:rPr>
          <w:rStyle w:val="11"/>
          <w:rFonts w:hint="eastAsia"/>
          <w:sz w:val="21"/>
          <w:szCs w:val="21"/>
        </w:rPr>
        <w:t>（四）风险收益特征</w:t>
      </w:r>
    </w:p>
    <w:p>
      <w:pPr>
        <w:pStyle w:val="7"/>
        <w:spacing w:before="0" w:beforeAutospacing="0" w:after="0" w:afterAutospacing="0" w:line="360" w:lineRule="auto"/>
        <w:ind w:firstLine="420"/>
        <w:rPr>
          <w:sz w:val="21"/>
          <w:szCs w:val="21"/>
        </w:rPr>
      </w:pPr>
      <w:bookmarkStart w:id="129" w:name="field_60_riskyield_1_start"/>
      <w:bookmarkEnd w:id="129"/>
      <w:r>
        <w:rPr>
          <w:rFonts w:hint="eastAsia"/>
          <w:sz w:val="21"/>
          <w:szCs w:val="21"/>
        </w:rPr>
        <w:t xml:space="preserve">本基金为混合型基金，预期风险和预期收益高于货币市场基金、债券型基金，低于股票型基金，属于证券投资基金中的中高风险/收益品种。  </w:t>
      </w:r>
      <w:bookmarkStart w:id="130" w:name="field_60_riskyield_1_end"/>
      <w:bookmarkEnd w:id="13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（五）投资范围</w:t>
      </w:r>
    </w:p>
    <w:p>
      <w:pPr>
        <w:pStyle w:val="7"/>
        <w:spacing w:before="0" w:beforeAutospacing="0" w:after="0" w:afterAutospacing="0" w:line="360" w:lineRule="auto"/>
        <w:ind w:firstLine="420"/>
        <w:rPr>
          <w:sz w:val="21"/>
          <w:szCs w:val="21"/>
        </w:rPr>
      </w:pPr>
      <w:bookmarkStart w:id="131" w:name="field_60_investmentrange_1_start"/>
      <w:bookmarkEnd w:id="131"/>
      <w:r>
        <w:rPr>
          <w:rFonts w:hint="eastAsia"/>
          <w:sz w:val="21"/>
          <w:szCs w:val="21"/>
        </w:rPr>
        <w:t xml:space="preserve">本基金主要投资于具有良好流动性的金融工具，包括国内依法发行上市的股票（含存托凭证）、债券以及法律法规允许基金投资的其他金融工具或金融衍生工具。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60-95%，股票资产中的80%以上投资于第三产业集群所覆盖的行业；债券投资比例为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 因基金规模或市场变化等因素导致本基金投资组合不符合上述规定的，基金管理人将在合理期限内做出调整以符合上述规定。法律、法规另有规定的，从其规定。  </w:t>
      </w:r>
      <w:bookmarkStart w:id="132" w:name="field_60_investmentrange_1_end"/>
      <w:bookmarkEnd w:id="13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（六）投资风格</w:t>
      </w:r>
    </w:p>
    <w:p>
      <w:pPr>
        <w:pStyle w:val="7"/>
        <w:spacing w:before="0" w:beforeAutospacing="0" w:after="0" w:afterAutospacing="0" w:line="360" w:lineRule="auto"/>
        <w:ind w:firstLine="420"/>
        <w:rPr>
          <w:sz w:val="21"/>
          <w:szCs w:val="21"/>
        </w:rPr>
      </w:pPr>
      <w:r>
        <w:rPr>
          <w:rFonts w:hint="eastAsia"/>
          <w:sz w:val="21"/>
          <w:szCs w:val="21"/>
        </w:rPr>
        <w:t xml:space="preserve">本基金是一只主动式管理基金。 </w:t>
      </w:r>
    </w:p>
    <w:p>
      <w:pPr>
        <w:pStyle w:val="7"/>
        <w:spacing w:before="0" w:beforeAutospacing="0" w:after="0" w:afterAutospacing="0" w:line="360" w:lineRule="auto"/>
        <w:ind w:firstLine="420"/>
        <w:rPr>
          <w:sz w:val="21"/>
          <w:szCs w:val="21"/>
        </w:rPr>
      </w:pPr>
      <w:r>
        <w:rPr>
          <w:rStyle w:val="11"/>
          <w:rFonts w:hint="eastAsia"/>
          <w:sz w:val="21"/>
          <w:szCs w:val="21"/>
        </w:rPr>
        <w:t>（七）投资策略</w:t>
      </w:r>
    </w:p>
    <w:p>
      <w:pPr>
        <w:pStyle w:val="7"/>
        <w:spacing w:before="0" w:beforeAutospacing="0" w:after="0" w:afterAutospacing="0" w:line="360" w:lineRule="auto"/>
        <w:ind w:firstLine="420"/>
        <w:rPr>
          <w:sz w:val="21"/>
          <w:szCs w:val="21"/>
        </w:rPr>
      </w:pPr>
      <w:bookmarkStart w:id="133" w:name="field_60_investmentstrategy_1_start"/>
      <w:bookmarkEnd w:id="133"/>
      <w:r>
        <w:rPr>
          <w:rFonts w:hint="eastAsia"/>
          <w:sz w:val="21"/>
          <w:szCs w:val="21"/>
        </w:rPr>
        <w:t xml:space="preserve">本基金将通过“自上而下”的宏观分析，以及定性分析与定量分析相补充的方法，在股票（含存托凭证）、债券和现金等资产类之间进行配置。 </w:t>
      </w:r>
    </w:p>
    <w:p>
      <w:pPr>
        <w:pStyle w:val="7"/>
        <w:spacing w:before="0" w:beforeAutospacing="0" w:after="0" w:afterAutospacing="0" w:line="360" w:lineRule="auto"/>
        <w:ind w:firstLine="420"/>
        <w:rPr>
          <w:sz w:val="21"/>
          <w:szCs w:val="21"/>
        </w:rPr>
      </w:pPr>
      <w:r>
        <w:rPr>
          <w:rFonts w:hint="eastAsia"/>
          <w:sz w:val="21"/>
          <w:szCs w:val="21"/>
        </w:rPr>
        <w:t xml:space="preserve">在整体的资产配置策略确定后，本基金将进行行业配置。 </w:t>
      </w:r>
    </w:p>
    <w:p>
      <w:pPr>
        <w:pStyle w:val="7"/>
        <w:spacing w:before="0" w:beforeAutospacing="0" w:after="0" w:afterAutospacing="0" w:line="360" w:lineRule="auto"/>
        <w:ind w:firstLine="420"/>
        <w:rPr>
          <w:sz w:val="21"/>
          <w:szCs w:val="21"/>
        </w:rPr>
      </w:pPr>
      <w:r>
        <w:rPr>
          <w:rFonts w:hint="eastAsia"/>
          <w:sz w:val="21"/>
          <w:szCs w:val="21"/>
        </w:rPr>
        <w:t xml:space="preserve">本基金将深入分析不同行业的属性特征，及其在产业链上所处的相对位置、确定本基金重点投资的行业。就目前的行业、市场状况而言，本基金将重点投资的行业包括以下几类： </w:t>
      </w:r>
    </w:p>
    <w:p>
      <w:pPr>
        <w:pStyle w:val="7"/>
        <w:spacing w:before="0" w:beforeAutospacing="0" w:after="0" w:afterAutospacing="0" w:line="360" w:lineRule="auto"/>
        <w:ind w:firstLine="420"/>
        <w:rPr>
          <w:sz w:val="21"/>
          <w:szCs w:val="21"/>
        </w:rPr>
      </w:pPr>
      <w:r>
        <w:rPr>
          <w:rFonts w:hint="eastAsia"/>
          <w:sz w:val="21"/>
          <w:szCs w:val="21"/>
        </w:rPr>
        <w:t xml:space="preserve">1．国家统计局界定的第三产业，包括以下行业：交通运输、仓储业；信息技术业；批发和零售贸易；金融、保险业；房地产业；社会服务业；以及传播与文化产业等。 </w:t>
      </w:r>
    </w:p>
    <w:p>
      <w:pPr>
        <w:pStyle w:val="7"/>
        <w:spacing w:before="0" w:beforeAutospacing="0" w:after="0" w:afterAutospacing="0" w:line="360" w:lineRule="auto"/>
        <w:ind w:firstLine="420"/>
        <w:rPr>
          <w:sz w:val="21"/>
          <w:szCs w:val="21"/>
        </w:rPr>
      </w:pPr>
      <w:r>
        <w:rPr>
          <w:rFonts w:hint="eastAsia"/>
          <w:sz w:val="21"/>
          <w:szCs w:val="21"/>
        </w:rPr>
        <w:t xml:space="preserve">2．由于行业边界的融合，某些行业的行业特征正经历着从制造业向服务业的转变，代表性公司从产业链的角度看更接近于消费终端，在此我们将其纳入符合本基金投资范围的第三产业集群，此类行业包括食品、饮料；电子；医药、生物制品；电力、煤气及水的生产和供应业。 </w:t>
      </w:r>
    </w:p>
    <w:p>
      <w:pPr>
        <w:pStyle w:val="7"/>
        <w:spacing w:before="0" w:beforeAutospacing="0" w:after="0" w:afterAutospacing="0" w:line="360" w:lineRule="auto"/>
        <w:ind w:firstLine="420"/>
        <w:rPr>
          <w:sz w:val="21"/>
          <w:szCs w:val="21"/>
        </w:rPr>
      </w:pPr>
      <w:r>
        <w:rPr>
          <w:rFonts w:hint="eastAsia"/>
          <w:sz w:val="21"/>
          <w:szCs w:val="21"/>
        </w:rPr>
        <w:t xml:space="preserve">3．由于经济增长方式的转变、产业结构的升级，第三产业集群的外延也将逐渐扩大，本基金将视实际情况调整第三产业集群所覆盖的行业范围。 </w:t>
      </w:r>
    </w:p>
    <w:p>
      <w:pPr>
        <w:pStyle w:val="7"/>
        <w:spacing w:before="0" w:beforeAutospacing="0" w:after="0" w:afterAutospacing="0" w:line="360" w:lineRule="auto"/>
        <w:ind w:firstLine="420"/>
        <w:rPr>
          <w:sz w:val="21"/>
          <w:szCs w:val="21"/>
        </w:rPr>
      </w:pPr>
      <w:r>
        <w:rPr>
          <w:rFonts w:hint="eastAsia"/>
          <w:sz w:val="21"/>
          <w:szCs w:val="21"/>
        </w:rPr>
        <w:t xml:space="preserve">在整体资产配置和行业选择确定后，本基金将采用“自下而上”的方式进行个股选择。 </w:t>
      </w:r>
    </w:p>
    <w:p>
      <w:pPr>
        <w:pStyle w:val="7"/>
        <w:spacing w:before="0" w:beforeAutospacing="0" w:after="0" w:afterAutospacing="0" w:line="360" w:lineRule="auto"/>
        <w:ind w:firstLine="420"/>
        <w:rPr>
          <w:sz w:val="21"/>
          <w:szCs w:val="21"/>
        </w:rPr>
      </w:pPr>
      <w:r>
        <w:rPr>
          <w:rFonts w:hint="eastAsia"/>
          <w:sz w:val="21"/>
          <w:szCs w:val="21"/>
        </w:rPr>
        <w:t xml:space="preserve">本基金采用“自下而上”的个股选择，主要通过对上市公司基本面的深入研究，对企业成长性指标、成长质量和相对价值进行评估，从中确定目标股票组合。主要考察的财务指标包括：净资产收益率（ROE）、销售收入增长率和PEG等。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本基金的债券组合将通过信用、久期和凸性等的灵活配置，进行积极主动的操作，力争获取超越于所对应的债券基准的收益。 </w:t>
      </w:r>
      <w:bookmarkStart w:id="134" w:name="field_60_investmentstrategy_1_end"/>
      <w:bookmarkEnd w:id="13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（八）投资决策程序</w:t>
      </w:r>
    </w:p>
    <w:p>
      <w:pPr>
        <w:pStyle w:val="7"/>
        <w:spacing w:before="0" w:beforeAutospacing="0" w:after="0" w:afterAutospacing="0" w:line="360" w:lineRule="auto"/>
        <w:ind w:firstLine="420"/>
        <w:rPr>
          <w:sz w:val="21"/>
          <w:szCs w:val="21"/>
        </w:rPr>
      </w:pPr>
      <w:r>
        <w:rPr>
          <w:rFonts w:hint="eastAsia"/>
          <w:sz w:val="21"/>
          <w:szCs w:val="21"/>
        </w:rPr>
        <w:t xml:space="preserve">1、投资决策依据 </w:t>
      </w:r>
    </w:p>
    <w:p>
      <w:pPr>
        <w:pStyle w:val="7"/>
        <w:spacing w:before="0" w:beforeAutospacing="0" w:after="0" w:afterAutospacing="0" w:line="360" w:lineRule="auto"/>
        <w:ind w:firstLine="420"/>
        <w:rPr>
          <w:sz w:val="21"/>
          <w:szCs w:val="21"/>
        </w:rPr>
      </w:pPr>
      <w:r>
        <w:rPr>
          <w:rFonts w:hint="eastAsia"/>
          <w:sz w:val="21"/>
          <w:szCs w:val="21"/>
        </w:rPr>
        <w:t xml:space="preserve">（1）国家有关法律、法规和基金合同的有关规定。 </w:t>
      </w:r>
    </w:p>
    <w:p>
      <w:pPr>
        <w:pStyle w:val="7"/>
        <w:spacing w:before="0" w:beforeAutospacing="0" w:after="0" w:afterAutospacing="0" w:line="360" w:lineRule="auto"/>
        <w:ind w:firstLine="420"/>
        <w:rPr>
          <w:sz w:val="21"/>
          <w:szCs w:val="21"/>
        </w:rPr>
      </w:pPr>
      <w:r>
        <w:rPr>
          <w:rFonts w:hint="eastAsia"/>
          <w:sz w:val="21"/>
          <w:szCs w:val="21"/>
        </w:rPr>
        <w:t xml:space="preserve">（2）宏观经济发展环境、微观企业经济运行态势和证券市场走势。 </w:t>
      </w:r>
    </w:p>
    <w:p>
      <w:pPr>
        <w:pStyle w:val="7"/>
        <w:spacing w:before="0" w:beforeAutospacing="0" w:after="0" w:afterAutospacing="0" w:line="360" w:lineRule="auto"/>
        <w:ind w:firstLine="420"/>
        <w:rPr>
          <w:sz w:val="21"/>
          <w:szCs w:val="21"/>
        </w:rPr>
      </w:pPr>
      <w:r>
        <w:rPr>
          <w:rFonts w:hint="eastAsia"/>
          <w:sz w:val="21"/>
          <w:szCs w:val="21"/>
        </w:rPr>
        <w:t xml:space="preserve">2、投资决策机制 </w:t>
      </w:r>
    </w:p>
    <w:p>
      <w:pPr>
        <w:pStyle w:val="7"/>
        <w:spacing w:before="0" w:beforeAutospacing="0" w:after="0" w:afterAutospacing="0" w:line="360" w:lineRule="auto"/>
        <w:ind w:firstLine="420"/>
        <w:rPr>
          <w:sz w:val="21"/>
          <w:szCs w:val="21"/>
        </w:rPr>
      </w:pPr>
      <w:r>
        <w:rPr>
          <w:rFonts w:hint="eastAsia"/>
          <w:sz w:val="21"/>
          <w:szCs w:val="21"/>
        </w:rPr>
        <w:t xml:space="preserve">本基金的投资决策机制为投资决策委员会领导下的基金经理负责制。 </w:t>
      </w:r>
    </w:p>
    <w:p>
      <w:pPr>
        <w:pStyle w:val="7"/>
        <w:spacing w:before="0" w:beforeAutospacing="0" w:after="0" w:afterAutospacing="0" w:line="360" w:lineRule="auto"/>
        <w:ind w:firstLine="420"/>
        <w:rPr>
          <w:sz w:val="21"/>
          <w:szCs w:val="21"/>
        </w:rPr>
      </w:pPr>
      <w:r>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pPr>
        <w:pStyle w:val="7"/>
        <w:spacing w:before="0" w:beforeAutospacing="0" w:after="0" w:afterAutospacing="0" w:line="360" w:lineRule="auto"/>
        <w:ind w:firstLine="420"/>
        <w:rPr>
          <w:sz w:val="21"/>
          <w:szCs w:val="21"/>
        </w:rPr>
      </w:pPr>
      <w:r>
        <w:rPr>
          <w:rFonts w:hint="eastAsia"/>
          <w:sz w:val="21"/>
          <w:szCs w:val="21"/>
        </w:rPr>
        <w:t xml:space="preserve">（2）基金经理根据相关报告负责资产配置、个股/个债配置、投资组合的构建和日常管理。 </w:t>
      </w:r>
    </w:p>
    <w:p>
      <w:pPr>
        <w:pStyle w:val="7"/>
        <w:spacing w:before="0" w:beforeAutospacing="0" w:after="0" w:afterAutospacing="0" w:line="360" w:lineRule="auto"/>
        <w:ind w:firstLine="420"/>
        <w:rPr>
          <w:sz w:val="21"/>
          <w:szCs w:val="21"/>
        </w:rPr>
      </w:pPr>
      <w:r>
        <w:rPr>
          <w:rFonts w:hint="eastAsia"/>
          <w:sz w:val="21"/>
          <w:szCs w:val="21"/>
        </w:rPr>
        <w:t xml:space="preserve">3、投资决策程序 </w:t>
      </w:r>
    </w:p>
    <w:p>
      <w:pPr>
        <w:pStyle w:val="7"/>
        <w:spacing w:before="0" w:beforeAutospacing="0" w:after="0" w:afterAutospacing="0" w:line="360" w:lineRule="auto"/>
        <w:ind w:firstLine="420"/>
        <w:rPr>
          <w:sz w:val="21"/>
          <w:szCs w:val="21"/>
        </w:rPr>
      </w:pPr>
      <w:r>
        <w:rPr>
          <w:rFonts w:hint="eastAsia"/>
          <w:sz w:val="21"/>
          <w:szCs w:val="21"/>
        </w:rPr>
        <w:t xml:space="preserve">（1）研究部、数量化投资部和交易部通过自身研究及借助外部研究机构形成有关上市公司分析、行业分析、宏观分析、市场分析以及数据模拟的各类报告，为本基金的投资管理提供决策依据。 </w:t>
      </w:r>
    </w:p>
    <w:p>
      <w:pPr>
        <w:pStyle w:val="7"/>
        <w:spacing w:before="0" w:beforeAutospacing="0" w:after="0" w:afterAutospacing="0" w:line="360" w:lineRule="auto"/>
        <w:ind w:firstLine="420"/>
        <w:rPr>
          <w:sz w:val="21"/>
          <w:szCs w:val="21"/>
        </w:rPr>
      </w:pPr>
      <w:r>
        <w:rPr>
          <w:rFonts w:hint="eastAsia"/>
          <w:sz w:val="21"/>
          <w:szCs w:val="21"/>
        </w:rPr>
        <w:t xml:space="preserve">（2）投资决策委员会依据上述报告对基金的投资方向、资产配置比例等提出指导性意见。 </w:t>
      </w:r>
    </w:p>
    <w:p>
      <w:pPr>
        <w:pStyle w:val="7"/>
        <w:spacing w:before="0" w:beforeAutospacing="0" w:after="0" w:afterAutospacing="0" w:line="360" w:lineRule="auto"/>
        <w:ind w:firstLine="420"/>
        <w:rPr>
          <w:sz w:val="21"/>
          <w:szCs w:val="21"/>
        </w:rPr>
      </w:pPr>
      <w:r>
        <w:rPr>
          <w:rFonts w:hint="eastAsia"/>
          <w:sz w:val="21"/>
          <w:szCs w:val="21"/>
        </w:rPr>
        <w:t xml:space="preserve">（3）基金经理根据投资决策委员会的决议，参考上述报告，并结合自身对证券市场和上市公司的分析判断，形成基金投资计划。 </w:t>
      </w:r>
    </w:p>
    <w:p>
      <w:pPr>
        <w:pStyle w:val="7"/>
        <w:spacing w:before="0" w:beforeAutospacing="0" w:after="0" w:afterAutospacing="0" w:line="360" w:lineRule="auto"/>
        <w:ind w:firstLine="420"/>
        <w:rPr>
          <w:sz w:val="21"/>
          <w:szCs w:val="21"/>
        </w:rPr>
      </w:pPr>
      <w:r>
        <w:rPr>
          <w:rFonts w:hint="eastAsia"/>
          <w:sz w:val="21"/>
          <w:szCs w:val="21"/>
        </w:rPr>
        <w:t xml:space="preserve">（4）交易部依据基金经理小组的指令，制定交易策略，统一执行证券投资组合计划，进行具体品种的交易。 </w:t>
      </w:r>
    </w:p>
    <w:p>
      <w:pPr>
        <w:pStyle w:val="7"/>
        <w:spacing w:before="0" w:beforeAutospacing="0" w:after="0" w:afterAutospacing="0" w:line="360" w:lineRule="auto"/>
        <w:ind w:firstLine="420"/>
        <w:rPr>
          <w:sz w:val="21"/>
          <w:szCs w:val="21"/>
        </w:rPr>
      </w:pPr>
      <w:r>
        <w:rPr>
          <w:rFonts w:hint="eastAsia"/>
          <w:sz w:val="21"/>
          <w:szCs w:val="21"/>
        </w:rPr>
        <w:t xml:space="preserve">（5）监察部对投资组合计划的执行过程进行监控。 </w:t>
      </w:r>
    </w:p>
    <w:p>
      <w:pPr>
        <w:pStyle w:val="7"/>
        <w:spacing w:before="0" w:beforeAutospacing="0" w:after="0" w:afterAutospacing="0" w:line="360" w:lineRule="auto"/>
        <w:ind w:firstLine="420"/>
        <w:rPr>
          <w:sz w:val="21"/>
          <w:szCs w:val="21"/>
        </w:rPr>
      </w:pPr>
      <w:r>
        <w:rPr>
          <w:rFonts w:hint="eastAsia"/>
          <w:sz w:val="21"/>
          <w:szCs w:val="21"/>
        </w:rPr>
        <w:t xml:space="preserve">（6）基金管理人在确保基金份额持有人利益的前提下有权根据环境变化和实际需要对上述投资程序做出调整。 </w:t>
      </w:r>
    </w:p>
    <w:p>
      <w:pPr>
        <w:pStyle w:val="7"/>
        <w:spacing w:before="0" w:beforeAutospacing="0" w:after="0" w:afterAutospacing="0" w:line="360" w:lineRule="auto"/>
        <w:ind w:firstLine="420"/>
        <w:rPr>
          <w:sz w:val="21"/>
          <w:szCs w:val="21"/>
        </w:rPr>
      </w:pPr>
      <w:r>
        <w:rPr>
          <w:rStyle w:val="11"/>
          <w:rFonts w:hint="eastAsia"/>
          <w:sz w:val="21"/>
          <w:szCs w:val="21"/>
        </w:rPr>
        <w:t>（九）投资限制</w:t>
      </w:r>
    </w:p>
    <w:p>
      <w:pPr>
        <w:pStyle w:val="7"/>
        <w:spacing w:before="0" w:beforeAutospacing="0" w:after="0" w:afterAutospacing="0" w:line="360" w:lineRule="auto"/>
        <w:ind w:firstLine="420"/>
        <w:rPr>
          <w:sz w:val="21"/>
          <w:szCs w:val="21"/>
        </w:rPr>
      </w:pPr>
      <w:r>
        <w:rPr>
          <w:rFonts w:hint="eastAsia"/>
          <w:sz w:val="21"/>
          <w:szCs w:val="21"/>
        </w:rPr>
        <w:t xml:space="preserve">本基金的投资组合将遵循以下限制：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2、本基金与由基金管理人管理的其他基金共同持有一家公司发行的证券（含存托凭证），不得超过该证券的10%； </w:t>
      </w:r>
    </w:p>
    <w:p>
      <w:pPr>
        <w:pStyle w:val="7"/>
        <w:spacing w:before="0" w:beforeAutospacing="0" w:after="0" w:afterAutospacing="0" w:line="360" w:lineRule="auto"/>
        <w:ind w:firstLine="420"/>
        <w:rPr>
          <w:sz w:val="21"/>
          <w:szCs w:val="21"/>
        </w:rPr>
      </w:pPr>
      <w:r>
        <w:rPr>
          <w:rFonts w:hint="eastAsia"/>
          <w:sz w:val="21"/>
          <w:szCs w:val="21"/>
        </w:rPr>
        <w:t xml:space="preserve">3、本基金进入全国银行间同业市场进行债券回购的资金余额不得超过基金资产净值的40%；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4、本基金持有的现金和到期日在一年以内的政府债券为基金资产净值5％以上；其中，现金不包括结算备付金、存出保证金、应收申购款等；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5、本基金不得违反《基金合同》关于投资范围、投资策略和投资比例的约定；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 </w:t>
      </w:r>
    </w:p>
    <w:p>
      <w:pPr>
        <w:pStyle w:val="7"/>
        <w:spacing w:before="0" w:beforeAutospacing="0" w:after="0" w:afterAutospacing="0" w:line="360" w:lineRule="auto"/>
        <w:ind w:firstLine="420"/>
        <w:rPr>
          <w:sz w:val="21"/>
          <w:szCs w:val="21"/>
        </w:rPr>
      </w:pPr>
      <w:r>
        <w:rPr>
          <w:rFonts w:hint="eastAsia"/>
          <w:sz w:val="21"/>
          <w:szCs w:val="21"/>
        </w:rPr>
        <w:t xml:space="preserve">7、基金财产参与股票发行申购，本基金所申报的金额不得超过本基金的总资产，所申报的股票数量不得超过拟发行股票公司本次发行股票的总量；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8、本基金的建仓期为6个月； </w:t>
      </w:r>
    </w:p>
    <w:p>
      <w:pPr>
        <w:pStyle w:val="7"/>
        <w:spacing w:before="0" w:beforeAutospacing="0" w:after="0" w:afterAutospacing="0" w:line="360" w:lineRule="auto"/>
        <w:ind w:firstLine="420"/>
        <w:rPr>
          <w:sz w:val="21"/>
          <w:szCs w:val="21"/>
        </w:rPr>
      </w:pPr>
      <w:r>
        <w:rPr>
          <w:rFonts w:hint="eastAsia"/>
          <w:sz w:val="21"/>
          <w:szCs w:val="21"/>
        </w:rPr>
        <w:t xml:space="preserve">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10、本基金主动投资于流动性受限资产的市值合计不得超过本基金资产净值的15%；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11、本基金与私募类证券资管产品及中国证监会认定的其他主体为交易对手开展逆回购交易的，可接受质押品的资质要求应当与基金合同约定的投资范围保持一致；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12、相关法律法规以及监管部门规定的其它投资限制；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如法律法规或监管部门取消上述限制性规定，履行适当程序后，本基金不受上述规定的限制。 </w:t>
      </w:r>
    </w:p>
    <w:p>
      <w:pPr>
        <w:pStyle w:val="7"/>
        <w:spacing w:before="0" w:beforeAutospacing="0" w:after="0" w:afterAutospacing="0" w:line="360" w:lineRule="auto"/>
        <w:ind w:firstLine="420"/>
        <w:rPr>
          <w:sz w:val="21"/>
          <w:szCs w:val="21"/>
        </w:rPr>
      </w:pPr>
      <w:r>
        <w:rPr>
          <w:rFonts w:hint="eastAsia"/>
          <w:sz w:val="21"/>
          <w:szCs w:val="21"/>
        </w:rPr>
        <w:t xml:space="preserve">除上述第4、10、11项外，由于证券市场波动、上市公司合并或基金规模变动等基金管理人之外的原因导致的投资组合不符合上述约定的比例，基金管理人应在10个交易日内进行调整，以达到标准。法律法规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（十）禁止行为</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4、买卖其他基金份额，但国务院另有规定的除外；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5、向基金管理人、基金托管人出资或者买卖其基金管理人、基金托管人发行的股票或债券； </w:t>
      </w:r>
    </w:p>
    <w:p>
      <w:pPr>
        <w:pStyle w:val="7"/>
        <w:spacing w:before="0" w:beforeAutospacing="0" w:after="0" w:afterAutospacing="0" w:line="360" w:lineRule="auto"/>
        <w:ind w:firstLine="420"/>
        <w:rPr>
          <w:sz w:val="21"/>
          <w:szCs w:val="21"/>
        </w:rPr>
      </w:pPr>
      <w:r>
        <w:rPr>
          <w:rFonts w:hint="eastAsia"/>
          <w:sz w:val="21"/>
          <w:szCs w:val="21"/>
        </w:rPr>
        <w:t xml:space="preserve">6、买卖与基金管理人、基金托管人有控股关系的股东或者与基金管理人、基金托管人有其他重大利害关系的公司发行的证券或者承销期内承销的证券； </w:t>
      </w:r>
    </w:p>
    <w:p>
      <w:pPr>
        <w:pStyle w:val="7"/>
        <w:spacing w:before="0" w:beforeAutospacing="0" w:after="0" w:afterAutospacing="0" w:line="360" w:lineRule="auto"/>
        <w:ind w:firstLine="420"/>
        <w:rPr>
          <w:sz w:val="21"/>
          <w:szCs w:val="21"/>
        </w:rPr>
      </w:pPr>
      <w:r>
        <w:rPr>
          <w:rFonts w:hint="eastAsia"/>
          <w:sz w:val="21"/>
          <w:szCs w:val="21"/>
        </w:rPr>
        <w:t xml:space="preserve">7、从事内幕交易、操纵证券价格及其他不正当的证券交易活动；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8、当时有效的法律法规、中国证监会及《基金合同》规定禁止从事的其他行为。 </w:t>
      </w:r>
    </w:p>
    <w:p>
      <w:pPr>
        <w:pStyle w:val="7"/>
        <w:spacing w:before="0" w:beforeAutospacing="0" w:after="0" w:afterAutospacing="0" w:line="360" w:lineRule="auto"/>
        <w:ind w:firstLine="420"/>
        <w:rPr>
          <w:sz w:val="21"/>
          <w:szCs w:val="21"/>
        </w:rPr>
      </w:pPr>
      <w:r>
        <w:rPr>
          <w:rFonts w:hint="eastAsia"/>
          <w:sz w:val="21"/>
          <w:szCs w:val="21"/>
        </w:rPr>
        <w:t>如法律法规或监管部门取消上述禁止性规定，本基金管理人在履行适当程序后可不受上</w:t>
      </w:r>
      <w:bookmarkStart w:id="135" w:name="chapter_level1_13_60_section_4_end"/>
      <w:bookmarkEnd w:id="135"/>
      <w:r>
        <w:rPr>
          <w:rFonts w:hint="eastAsia"/>
          <w:sz w:val="21"/>
          <w:szCs w:val="21"/>
        </w:rPr>
        <w:t xml:space="preserve">述规定的限制。 </w:t>
      </w:r>
    </w:p>
    <w:p>
      <w:pPr>
        <w:pStyle w:val="7"/>
        <w:spacing w:before="0" w:beforeAutospacing="0" w:after="0" w:afterAutospacing="0" w:line="360" w:lineRule="auto"/>
        <w:ind w:firstLine="420"/>
        <w:rPr>
          <w:sz w:val="21"/>
          <w:szCs w:val="21"/>
        </w:rPr>
      </w:pPr>
      <w:bookmarkStart w:id="136" w:name="chapter_level1_13_60_section_5"/>
      <w:bookmarkEnd w:id="136"/>
      <w:bookmarkStart w:id="137" w:name="chapter_level1_13_60_section_5_end"/>
      <w:bookmarkEnd w:id="137"/>
      <w:r>
        <w:rPr>
          <w:rStyle w:val="11"/>
          <w:rFonts w:hint="eastAsia"/>
          <w:sz w:val="21"/>
          <w:szCs w:val="21"/>
        </w:rPr>
        <w:t>（十一）基金投资组合报告</w:t>
      </w:r>
    </w:p>
    <w:p>
      <w:pPr>
        <w:pStyle w:val="7"/>
        <w:spacing w:before="0" w:beforeAutospacing="0" w:after="0" w:afterAutospacing="0" w:line="360" w:lineRule="auto"/>
        <w:ind w:firstLine="420"/>
        <w:rPr>
          <w:sz w:val="21"/>
          <w:szCs w:val="21"/>
        </w:rPr>
      </w:pPr>
      <w:bookmarkStart w:id="138" w:name="chapter_level1_13_60_section_6"/>
      <w:bookmarkEnd w:id="138"/>
      <w:r>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基金托管人</w:t>
      </w:r>
      <w:bookmarkStart w:id="139" w:name="field_0_trustorgfullname_2"/>
      <w:r>
        <w:rPr>
          <w:rFonts w:hint="eastAsia"/>
          <w:sz w:val="21"/>
          <w:szCs w:val="21"/>
        </w:rPr>
        <w:t>中国工商银行股份有限公司</w:t>
      </w:r>
      <w:bookmarkEnd w:id="139"/>
      <w:r>
        <w:rPr>
          <w:rFonts w:hint="eastAsia"/>
          <w:sz w:val="21"/>
          <w:szCs w:val="21"/>
        </w:rPr>
        <w:t xml:space="preserve">根据基金合同规定，复核了本报告中的财务指标、净值表现和投资组合报告等内容，保证复核内容不存在虚假记载、误导性陈述或者重大遗漏。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40" w:name="field_2343_financeendday_2"/>
      <w:r>
        <w:rPr>
          <w:sz w:val="21"/>
          <w:szCs w:val="21"/>
        </w:rPr>
        <w:t>2022年6月30日</w:t>
      </w:r>
      <w:bookmarkEnd w:id="140"/>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b/>
          <w:bCs/>
          <w:sz w:val="21"/>
          <w:szCs w:val="21"/>
        </w:rPr>
        <w:t>1 报告期末基金资产组合情况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327"/>
        <w:gridCol w:w="2319"/>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4140" w:type="dxa"/>
            <w:shd w:val="clear" w:color="auto" w:fill="auto"/>
          </w:tcPr>
          <w:p>
            <w:pPr>
              <w:pStyle w:val="7"/>
              <w:jc w:val="center"/>
            </w:pPr>
            <w:r>
              <w:rPr>
                <w:rFonts w:hint="eastAsia"/>
              </w:rPr>
              <w:t xml:space="preserve">项目 </w:t>
            </w:r>
          </w:p>
        </w:tc>
        <w:tc>
          <w:tcPr>
            <w:tcW w:w="2385" w:type="dxa"/>
            <w:shd w:val="clear" w:color="auto" w:fill="auto"/>
          </w:tcPr>
          <w:p>
            <w:pPr>
              <w:pStyle w:val="7"/>
              <w:jc w:val="center"/>
            </w:pPr>
            <w:r>
              <w:rPr>
                <w:rFonts w:hint="eastAsia"/>
              </w:rPr>
              <w:t xml:space="preserve">金额(元) </w:t>
            </w:r>
          </w:p>
        </w:tc>
        <w:tc>
          <w:tcPr>
            <w:tcW w:w="2610"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4140" w:type="dxa"/>
            <w:shd w:val="clear" w:color="auto" w:fill="auto"/>
          </w:tcPr>
          <w:p>
            <w:pPr>
              <w:pStyle w:val="7"/>
            </w:pPr>
            <w:r>
              <w:rPr>
                <w:rFonts w:hint="eastAsia"/>
              </w:rPr>
              <w:t xml:space="preserve">权益投资 </w:t>
            </w:r>
          </w:p>
        </w:tc>
        <w:tc>
          <w:tcPr>
            <w:tcW w:w="2385" w:type="dxa"/>
            <w:shd w:val="clear" w:color="auto" w:fill="auto"/>
          </w:tcPr>
          <w:p>
            <w:pPr>
              <w:pStyle w:val="7"/>
              <w:jc w:val="right"/>
            </w:pPr>
            <w:r>
              <w:rPr>
                <w:rFonts w:hint="eastAsia"/>
              </w:rPr>
              <w:t xml:space="preserve">947,125,656.43 </w:t>
            </w:r>
          </w:p>
        </w:tc>
        <w:tc>
          <w:tcPr>
            <w:tcW w:w="2610" w:type="dxa"/>
            <w:shd w:val="clear" w:color="auto" w:fill="auto"/>
          </w:tcPr>
          <w:p>
            <w:pPr>
              <w:pStyle w:val="7"/>
              <w:jc w:val="right"/>
            </w:pPr>
            <w:r>
              <w:rPr>
                <w:rFonts w:hint="eastAsia"/>
              </w:rPr>
              <w:t xml:space="preserve">87.10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pPr>
            <w:r>
              <w:rPr>
                <w:rFonts w:hint="eastAsia"/>
              </w:rPr>
              <w:t xml:space="preserve">其中：股票 </w:t>
            </w:r>
          </w:p>
        </w:tc>
        <w:tc>
          <w:tcPr>
            <w:tcW w:w="2385" w:type="dxa"/>
            <w:shd w:val="clear" w:color="auto" w:fill="auto"/>
          </w:tcPr>
          <w:p>
            <w:pPr>
              <w:pStyle w:val="7"/>
              <w:jc w:val="right"/>
            </w:pPr>
            <w:r>
              <w:rPr>
                <w:rFonts w:hint="eastAsia"/>
              </w:rPr>
              <w:t xml:space="preserve">947,125,656.43 </w:t>
            </w:r>
          </w:p>
        </w:tc>
        <w:tc>
          <w:tcPr>
            <w:tcW w:w="2610" w:type="dxa"/>
            <w:shd w:val="clear" w:color="auto" w:fill="auto"/>
          </w:tcPr>
          <w:p>
            <w:pPr>
              <w:pStyle w:val="7"/>
              <w:jc w:val="right"/>
            </w:pPr>
            <w:r>
              <w:rPr>
                <w:rFonts w:hint="eastAsia"/>
              </w:rPr>
              <w:t xml:space="preserve">87.10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4140" w:type="dxa"/>
            <w:shd w:val="clear" w:color="auto" w:fill="auto"/>
          </w:tcPr>
          <w:p>
            <w:pPr>
              <w:pStyle w:val="7"/>
            </w:pPr>
            <w:r>
              <w:rPr>
                <w:rFonts w:hint="eastAsia"/>
              </w:rPr>
              <w:t xml:space="preserve">基金投资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4140" w:type="dxa"/>
            <w:shd w:val="clear" w:color="auto" w:fill="auto"/>
          </w:tcPr>
          <w:p>
            <w:pPr>
              <w:pStyle w:val="7"/>
            </w:pPr>
            <w:r>
              <w:rPr>
                <w:rFonts w:hint="eastAsia"/>
              </w:rPr>
              <w:t xml:space="preserve">固定收益投资 </w:t>
            </w:r>
          </w:p>
        </w:tc>
        <w:tc>
          <w:tcPr>
            <w:tcW w:w="2385" w:type="dxa"/>
            <w:shd w:val="clear" w:color="auto" w:fill="auto"/>
          </w:tcPr>
          <w:p>
            <w:pPr>
              <w:pStyle w:val="7"/>
              <w:jc w:val="right"/>
            </w:pPr>
            <w:r>
              <w:rPr>
                <w:rFonts w:hint="eastAsia"/>
              </w:rPr>
              <w:t xml:space="preserve">5,747,279.63 </w:t>
            </w:r>
          </w:p>
        </w:tc>
        <w:tc>
          <w:tcPr>
            <w:tcW w:w="2610" w:type="dxa"/>
            <w:shd w:val="clear" w:color="auto" w:fill="auto"/>
          </w:tcPr>
          <w:p>
            <w:pPr>
              <w:pStyle w:val="7"/>
              <w:jc w:val="right"/>
            </w:pPr>
            <w:r>
              <w:rPr>
                <w:rFonts w:hint="eastAsia"/>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pPr>
            <w:r>
              <w:rPr>
                <w:rFonts w:hint="eastAsia"/>
              </w:rPr>
              <w:t xml:space="preserve">其中：债券 </w:t>
            </w:r>
          </w:p>
        </w:tc>
        <w:tc>
          <w:tcPr>
            <w:tcW w:w="2385" w:type="dxa"/>
            <w:shd w:val="clear" w:color="auto" w:fill="auto"/>
          </w:tcPr>
          <w:p>
            <w:pPr>
              <w:pStyle w:val="7"/>
              <w:jc w:val="right"/>
            </w:pPr>
            <w:r>
              <w:rPr>
                <w:rFonts w:hint="eastAsia"/>
              </w:rPr>
              <w:t xml:space="preserve">5,747,279.63 </w:t>
            </w:r>
          </w:p>
        </w:tc>
        <w:tc>
          <w:tcPr>
            <w:tcW w:w="2610" w:type="dxa"/>
            <w:shd w:val="clear" w:color="auto" w:fill="auto"/>
          </w:tcPr>
          <w:p>
            <w:pPr>
              <w:pStyle w:val="7"/>
              <w:jc w:val="right"/>
            </w:pPr>
            <w:r>
              <w:rPr>
                <w:rFonts w:hint="eastAsia"/>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ind w:firstLine="625"/>
            </w:pPr>
            <w:r>
              <w:rPr>
                <w:rFonts w:hint="eastAsia"/>
              </w:rPr>
              <w:t xml:space="preserve">资产支持证券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4140" w:type="dxa"/>
            <w:shd w:val="clear" w:color="auto" w:fill="auto"/>
          </w:tcPr>
          <w:p>
            <w:pPr>
              <w:pStyle w:val="7"/>
            </w:pPr>
            <w:r>
              <w:rPr>
                <w:rFonts w:hint="eastAsia"/>
              </w:rPr>
              <w:t xml:space="preserve">贵金属投资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4140" w:type="dxa"/>
            <w:shd w:val="clear" w:color="auto" w:fill="auto"/>
          </w:tcPr>
          <w:p>
            <w:pPr>
              <w:pStyle w:val="7"/>
            </w:pPr>
            <w:r>
              <w:rPr>
                <w:rFonts w:hint="eastAsia"/>
              </w:rPr>
              <w:t xml:space="preserve">金融衍生品投资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4140" w:type="dxa"/>
            <w:shd w:val="clear" w:color="auto" w:fill="auto"/>
          </w:tcPr>
          <w:p>
            <w:pPr>
              <w:pStyle w:val="7"/>
            </w:pPr>
            <w:r>
              <w:rPr>
                <w:rFonts w:hint="eastAsia"/>
              </w:rPr>
              <w:t xml:space="preserve">买入返售金融资产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pPr>
            <w:r>
              <w:rPr>
                <w:rFonts w:hint="eastAsia"/>
              </w:rPr>
              <w:t xml:space="preserve">其中：买断式回购的买入返售金融资产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4140" w:type="dxa"/>
            <w:shd w:val="clear" w:color="auto" w:fill="auto"/>
          </w:tcPr>
          <w:p>
            <w:pPr>
              <w:pStyle w:val="7"/>
            </w:pPr>
            <w:r>
              <w:rPr>
                <w:rFonts w:hint="eastAsia"/>
              </w:rPr>
              <w:t xml:space="preserve">银行存款和结算备付金合计 </w:t>
            </w:r>
          </w:p>
        </w:tc>
        <w:tc>
          <w:tcPr>
            <w:tcW w:w="2385" w:type="dxa"/>
            <w:shd w:val="clear" w:color="auto" w:fill="auto"/>
          </w:tcPr>
          <w:p>
            <w:pPr>
              <w:pStyle w:val="7"/>
              <w:jc w:val="right"/>
            </w:pPr>
            <w:r>
              <w:rPr>
                <w:rFonts w:hint="eastAsia"/>
              </w:rPr>
              <w:t xml:space="preserve">81,790,783.88 </w:t>
            </w:r>
          </w:p>
        </w:tc>
        <w:tc>
          <w:tcPr>
            <w:tcW w:w="2610" w:type="dxa"/>
            <w:shd w:val="clear" w:color="auto" w:fill="auto"/>
          </w:tcPr>
          <w:p>
            <w:pPr>
              <w:pStyle w:val="7"/>
              <w:jc w:val="right"/>
            </w:pPr>
            <w:r>
              <w:rPr>
                <w:rFonts w:hint="eastAsia"/>
              </w:rPr>
              <w:t xml:space="preserve">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4140" w:type="dxa"/>
            <w:shd w:val="clear" w:color="auto" w:fill="auto"/>
          </w:tcPr>
          <w:p>
            <w:pPr>
              <w:pStyle w:val="7"/>
            </w:pPr>
            <w:r>
              <w:rPr>
                <w:rFonts w:hint="eastAsia"/>
              </w:rPr>
              <w:t xml:space="preserve">其他各项资产 </w:t>
            </w:r>
          </w:p>
        </w:tc>
        <w:tc>
          <w:tcPr>
            <w:tcW w:w="2385" w:type="dxa"/>
            <w:shd w:val="clear" w:color="auto" w:fill="auto"/>
          </w:tcPr>
          <w:p>
            <w:pPr>
              <w:pStyle w:val="7"/>
              <w:jc w:val="right"/>
            </w:pPr>
            <w:r>
              <w:rPr>
                <w:rFonts w:hint="eastAsia"/>
              </w:rPr>
              <w:t xml:space="preserve">52,698,248.34 </w:t>
            </w:r>
          </w:p>
        </w:tc>
        <w:tc>
          <w:tcPr>
            <w:tcW w:w="2610" w:type="dxa"/>
            <w:shd w:val="clear" w:color="auto" w:fill="auto"/>
          </w:tcPr>
          <w:p>
            <w:pPr>
              <w:pStyle w:val="7"/>
              <w:jc w:val="right"/>
            </w:pPr>
            <w:r>
              <w:rPr>
                <w:rFonts w:hint="eastAsia"/>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4140" w:type="dxa"/>
            <w:shd w:val="clear" w:color="auto" w:fill="auto"/>
          </w:tcPr>
          <w:p>
            <w:pPr>
              <w:pStyle w:val="7"/>
            </w:pPr>
            <w:r>
              <w:rPr>
                <w:rFonts w:hint="eastAsia"/>
              </w:rPr>
              <w:t xml:space="preserve">合计 </w:t>
            </w:r>
          </w:p>
        </w:tc>
        <w:tc>
          <w:tcPr>
            <w:tcW w:w="2385" w:type="dxa"/>
            <w:shd w:val="clear" w:color="auto" w:fill="auto"/>
          </w:tcPr>
          <w:p>
            <w:pPr>
              <w:pStyle w:val="7"/>
              <w:jc w:val="right"/>
            </w:pPr>
            <w:r>
              <w:rPr>
                <w:rFonts w:hint="eastAsia"/>
              </w:rPr>
              <w:t xml:space="preserve">1,087,361,968.28 </w:t>
            </w:r>
          </w:p>
        </w:tc>
        <w:tc>
          <w:tcPr>
            <w:tcW w:w="2610"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b/>
          <w:bCs/>
          <w:sz w:val="21"/>
          <w:szCs w:val="21"/>
        </w:rPr>
        <w:t>2 报告期末按行业分类的股票投资组合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3543"/>
        <w:gridCol w:w="219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代码 </w:t>
            </w:r>
          </w:p>
        </w:tc>
        <w:tc>
          <w:tcPr>
            <w:tcW w:w="3543" w:type="dxa"/>
            <w:shd w:val="clear" w:color="auto" w:fill="auto"/>
          </w:tcPr>
          <w:p>
            <w:pPr>
              <w:pStyle w:val="7"/>
              <w:jc w:val="center"/>
            </w:pPr>
            <w:r>
              <w:rPr>
                <w:rFonts w:hint="eastAsia"/>
              </w:rPr>
              <w:t xml:space="preserve">行业类别 </w:t>
            </w:r>
          </w:p>
        </w:tc>
        <w:tc>
          <w:tcPr>
            <w:tcW w:w="2190" w:type="dxa"/>
            <w:shd w:val="clear" w:color="auto" w:fill="auto"/>
          </w:tcPr>
          <w:p>
            <w:pPr>
              <w:pStyle w:val="7"/>
              <w:jc w:val="center"/>
            </w:pPr>
            <w:r>
              <w:rPr>
                <w:rFonts w:hint="eastAsia"/>
              </w:rPr>
              <w:t xml:space="preserve">公允价值（元） </w:t>
            </w:r>
          </w:p>
        </w:tc>
        <w:tc>
          <w:tcPr>
            <w:tcW w:w="2191"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A </w:t>
            </w:r>
          </w:p>
        </w:tc>
        <w:tc>
          <w:tcPr>
            <w:tcW w:w="3543" w:type="dxa"/>
            <w:shd w:val="clear" w:color="auto" w:fill="auto"/>
          </w:tcPr>
          <w:p>
            <w:pPr>
              <w:pStyle w:val="7"/>
              <w:ind w:left="105"/>
            </w:pPr>
            <w:r>
              <w:rPr>
                <w:rFonts w:hint="eastAsia"/>
              </w:rPr>
              <w:t xml:space="preserve">农、林、牧、渔业 </w:t>
            </w:r>
          </w:p>
        </w:tc>
        <w:tc>
          <w:tcPr>
            <w:tcW w:w="2190" w:type="dxa"/>
            <w:shd w:val="clear" w:color="auto" w:fill="auto"/>
          </w:tcPr>
          <w:p>
            <w:pPr>
              <w:pStyle w:val="7"/>
              <w:jc w:val="right"/>
            </w:pPr>
            <w:r>
              <w:rPr>
                <w:rFonts w:hint="eastAsia"/>
              </w:rPr>
              <w:t xml:space="preserve">9,842,367.00 </w:t>
            </w:r>
          </w:p>
        </w:tc>
        <w:tc>
          <w:tcPr>
            <w:tcW w:w="2191" w:type="dxa"/>
            <w:shd w:val="clear" w:color="auto" w:fill="auto"/>
          </w:tcPr>
          <w:p>
            <w:pPr>
              <w:pStyle w:val="7"/>
              <w:jc w:val="right"/>
            </w:pPr>
            <w:r>
              <w:rPr>
                <w:rFonts w:hint="eastAsia"/>
              </w:rPr>
              <w:t xml:space="preserve">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B </w:t>
            </w:r>
          </w:p>
        </w:tc>
        <w:tc>
          <w:tcPr>
            <w:tcW w:w="3543" w:type="dxa"/>
            <w:shd w:val="clear" w:color="auto" w:fill="auto"/>
          </w:tcPr>
          <w:p>
            <w:pPr>
              <w:pStyle w:val="7"/>
              <w:ind w:left="105"/>
            </w:pPr>
            <w:r>
              <w:rPr>
                <w:rFonts w:hint="eastAsia"/>
              </w:rPr>
              <w:t xml:space="preserve">采矿业 </w:t>
            </w:r>
          </w:p>
        </w:tc>
        <w:tc>
          <w:tcPr>
            <w:tcW w:w="2190" w:type="dxa"/>
            <w:shd w:val="clear" w:color="auto" w:fill="auto"/>
          </w:tcPr>
          <w:p>
            <w:pPr>
              <w:pStyle w:val="7"/>
              <w:jc w:val="right"/>
            </w:pPr>
            <w:r>
              <w:rPr>
                <w:rFonts w:hint="eastAsia"/>
              </w:rPr>
              <w:t xml:space="preserve">4,389,646.44 </w:t>
            </w:r>
          </w:p>
        </w:tc>
        <w:tc>
          <w:tcPr>
            <w:tcW w:w="2191" w:type="dxa"/>
            <w:shd w:val="clear" w:color="auto" w:fill="auto"/>
          </w:tcPr>
          <w:p>
            <w:pPr>
              <w:pStyle w:val="7"/>
              <w:jc w:val="right"/>
            </w:pPr>
            <w:r>
              <w:rPr>
                <w:rFonts w:hint="eastAsia"/>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C </w:t>
            </w:r>
          </w:p>
        </w:tc>
        <w:tc>
          <w:tcPr>
            <w:tcW w:w="3543" w:type="dxa"/>
            <w:shd w:val="clear" w:color="auto" w:fill="auto"/>
          </w:tcPr>
          <w:p>
            <w:pPr>
              <w:pStyle w:val="7"/>
              <w:ind w:left="105"/>
            </w:pPr>
            <w:r>
              <w:rPr>
                <w:rFonts w:hint="eastAsia"/>
              </w:rPr>
              <w:t xml:space="preserve">制造业 </w:t>
            </w:r>
          </w:p>
        </w:tc>
        <w:tc>
          <w:tcPr>
            <w:tcW w:w="2190" w:type="dxa"/>
            <w:shd w:val="clear" w:color="auto" w:fill="auto"/>
          </w:tcPr>
          <w:p>
            <w:pPr>
              <w:pStyle w:val="7"/>
              <w:jc w:val="right"/>
            </w:pPr>
            <w:r>
              <w:rPr>
                <w:rFonts w:hint="eastAsia"/>
              </w:rPr>
              <w:t xml:space="preserve">811,564,593.99 </w:t>
            </w:r>
          </w:p>
        </w:tc>
        <w:tc>
          <w:tcPr>
            <w:tcW w:w="2191" w:type="dxa"/>
            <w:shd w:val="clear" w:color="auto" w:fill="auto"/>
          </w:tcPr>
          <w:p>
            <w:pPr>
              <w:pStyle w:val="7"/>
              <w:jc w:val="right"/>
            </w:pPr>
            <w:r>
              <w:rPr>
                <w:rFonts w:hint="eastAsia"/>
              </w:rPr>
              <w:t xml:space="preserve">76.25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D </w:t>
            </w:r>
          </w:p>
        </w:tc>
        <w:tc>
          <w:tcPr>
            <w:tcW w:w="3543" w:type="dxa"/>
            <w:shd w:val="clear" w:color="auto" w:fill="auto"/>
          </w:tcPr>
          <w:p>
            <w:pPr>
              <w:pStyle w:val="7"/>
              <w:ind w:left="105"/>
            </w:pPr>
            <w:r>
              <w:rPr>
                <w:rFonts w:hint="eastAsia"/>
              </w:rPr>
              <w:t xml:space="preserve">电力、热力、燃气及水生产和供应业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E </w:t>
            </w:r>
          </w:p>
        </w:tc>
        <w:tc>
          <w:tcPr>
            <w:tcW w:w="3543" w:type="dxa"/>
            <w:shd w:val="clear" w:color="auto" w:fill="auto"/>
          </w:tcPr>
          <w:p>
            <w:pPr>
              <w:pStyle w:val="7"/>
              <w:ind w:left="105"/>
            </w:pPr>
            <w:r>
              <w:rPr>
                <w:rFonts w:hint="eastAsia"/>
              </w:rPr>
              <w:t xml:space="preserve">建筑业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F </w:t>
            </w:r>
          </w:p>
        </w:tc>
        <w:tc>
          <w:tcPr>
            <w:tcW w:w="3543" w:type="dxa"/>
            <w:shd w:val="clear" w:color="auto" w:fill="auto"/>
          </w:tcPr>
          <w:p>
            <w:pPr>
              <w:pStyle w:val="7"/>
              <w:ind w:left="105"/>
            </w:pPr>
            <w:r>
              <w:rPr>
                <w:rFonts w:hint="eastAsia"/>
              </w:rPr>
              <w:t xml:space="preserve">批发和零售业 </w:t>
            </w:r>
          </w:p>
        </w:tc>
        <w:tc>
          <w:tcPr>
            <w:tcW w:w="2190" w:type="dxa"/>
            <w:shd w:val="clear" w:color="auto" w:fill="auto"/>
          </w:tcPr>
          <w:p>
            <w:pPr>
              <w:pStyle w:val="7"/>
              <w:jc w:val="right"/>
            </w:pPr>
            <w:r>
              <w:rPr>
                <w:rFonts w:hint="eastAsia"/>
              </w:rPr>
              <w:t xml:space="preserve">21,401.16 </w:t>
            </w:r>
          </w:p>
        </w:tc>
        <w:tc>
          <w:tcPr>
            <w:tcW w:w="2191"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G </w:t>
            </w:r>
          </w:p>
        </w:tc>
        <w:tc>
          <w:tcPr>
            <w:tcW w:w="3543" w:type="dxa"/>
            <w:shd w:val="clear" w:color="auto" w:fill="auto"/>
          </w:tcPr>
          <w:p>
            <w:pPr>
              <w:pStyle w:val="7"/>
              <w:ind w:left="105"/>
            </w:pPr>
            <w:r>
              <w:rPr>
                <w:rFonts w:hint="eastAsia"/>
              </w:rPr>
              <w:t xml:space="preserve">交通运输、仓储和邮政业 </w:t>
            </w:r>
          </w:p>
        </w:tc>
        <w:tc>
          <w:tcPr>
            <w:tcW w:w="2190" w:type="dxa"/>
            <w:shd w:val="clear" w:color="auto" w:fill="auto"/>
          </w:tcPr>
          <w:p>
            <w:pPr>
              <w:pStyle w:val="7"/>
              <w:jc w:val="right"/>
            </w:pPr>
            <w:r>
              <w:rPr>
                <w:rFonts w:hint="eastAsia"/>
              </w:rPr>
              <w:t xml:space="preserve">10,574,550.00 </w:t>
            </w:r>
          </w:p>
        </w:tc>
        <w:tc>
          <w:tcPr>
            <w:tcW w:w="2191" w:type="dxa"/>
            <w:shd w:val="clear" w:color="auto" w:fill="auto"/>
          </w:tcPr>
          <w:p>
            <w:pPr>
              <w:pStyle w:val="7"/>
              <w:jc w:val="right"/>
            </w:pPr>
            <w:r>
              <w:rPr>
                <w:rFonts w:hint="eastAsia"/>
              </w:rPr>
              <w:t xml:space="preserve">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H </w:t>
            </w:r>
          </w:p>
        </w:tc>
        <w:tc>
          <w:tcPr>
            <w:tcW w:w="3543" w:type="dxa"/>
            <w:shd w:val="clear" w:color="auto" w:fill="auto"/>
          </w:tcPr>
          <w:p>
            <w:pPr>
              <w:pStyle w:val="7"/>
              <w:ind w:left="105"/>
            </w:pPr>
            <w:r>
              <w:rPr>
                <w:rFonts w:hint="eastAsia"/>
              </w:rPr>
              <w:t xml:space="preserve">住宿和餐饮业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I </w:t>
            </w:r>
          </w:p>
        </w:tc>
        <w:tc>
          <w:tcPr>
            <w:tcW w:w="3543" w:type="dxa"/>
            <w:shd w:val="clear" w:color="auto" w:fill="auto"/>
          </w:tcPr>
          <w:p>
            <w:pPr>
              <w:pStyle w:val="7"/>
              <w:ind w:left="105"/>
            </w:pPr>
            <w:r>
              <w:rPr>
                <w:rFonts w:hint="eastAsia"/>
              </w:rPr>
              <w:t xml:space="preserve">信息传输、软件和信息技术服务业 </w:t>
            </w:r>
          </w:p>
        </w:tc>
        <w:tc>
          <w:tcPr>
            <w:tcW w:w="2190" w:type="dxa"/>
            <w:shd w:val="clear" w:color="auto" w:fill="auto"/>
          </w:tcPr>
          <w:p>
            <w:pPr>
              <w:pStyle w:val="7"/>
              <w:jc w:val="right"/>
            </w:pPr>
            <w:r>
              <w:rPr>
                <w:rFonts w:hint="eastAsia"/>
              </w:rPr>
              <w:t xml:space="preserve">32,215,496.34 </w:t>
            </w:r>
          </w:p>
        </w:tc>
        <w:tc>
          <w:tcPr>
            <w:tcW w:w="2191" w:type="dxa"/>
            <w:shd w:val="clear" w:color="auto" w:fill="auto"/>
          </w:tcPr>
          <w:p>
            <w:pPr>
              <w:pStyle w:val="7"/>
              <w:jc w:val="right"/>
            </w:pPr>
            <w:r>
              <w:rPr>
                <w:rFonts w:hint="eastAsia"/>
              </w:rPr>
              <w:t xml:space="preserve">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J </w:t>
            </w:r>
          </w:p>
        </w:tc>
        <w:tc>
          <w:tcPr>
            <w:tcW w:w="3543" w:type="dxa"/>
            <w:shd w:val="clear" w:color="auto" w:fill="auto"/>
          </w:tcPr>
          <w:p>
            <w:pPr>
              <w:pStyle w:val="7"/>
              <w:ind w:left="105"/>
            </w:pPr>
            <w:r>
              <w:rPr>
                <w:rFonts w:hint="eastAsia"/>
              </w:rPr>
              <w:t xml:space="preserve">金融业 </w:t>
            </w:r>
          </w:p>
        </w:tc>
        <w:tc>
          <w:tcPr>
            <w:tcW w:w="2190" w:type="dxa"/>
            <w:shd w:val="clear" w:color="auto" w:fill="auto"/>
          </w:tcPr>
          <w:p>
            <w:pPr>
              <w:pStyle w:val="7"/>
              <w:jc w:val="right"/>
            </w:pPr>
            <w:r>
              <w:rPr>
                <w:rFonts w:hint="eastAsia"/>
              </w:rPr>
              <w:t xml:space="preserve">13,260,443.00 </w:t>
            </w:r>
          </w:p>
        </w:tc>
        <w:tc>
          <w:tcPr>
            <w:tcW w:w="2191" w:type="dxa"/>
            <w:shd w:val="clear" w:color="auto" w:fill="auto"/>
          </w:tcPr>
          <w:p>
            <w:pPr>
              <w:pStyle w:val="7"/>
              <w:jc w:val="right"/>
            </w:pPr>
            <w:r>
              <w:rPr>
                <w:rFonts w:hint="eastAsia"/>
              </w:rPr>
              <w:t xml:space="preserve">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K </w:t>
            </w:r>
          </w:p>
        </w:tc>
        <w:tc>
          <w:tcPr>
            <w:tcW w:w="3543" w:type="dxa"/>
            <w:shd w:val="clear" w:color="auto" w:fill="auto"/>
          </w:tcPr>
          <w:p>
            <w:pPr>
              <w:pStyle w:val="7"/>
              <w:ind w:left="105"/>
            </w:pPr>
            <w:r>
              <w:rPr>
                <w:rFonts w:hint="eastAsia"/>
              </w:rPr>
              <w:t xml:space="preserve">房地产业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L </w:t>
            </w:r>
          </w:p>
        </w:tc>
        <w:tc>
          <w:tcPr>
            <w:tcW w:w="3543" w:type="dxa"/>
            <w:shd w:val="clear" w:color="auto" w:fill="auto"/>
          </w:tcPr>
          <w:p>
            <w:pPr>
              <w:pStyle w:val="7"/>
              <w:ind w:left="105"/>
            </w:pPr>
            <w:r>
              <w:rPr>
                <w:rFonts w:hint="eastAsia"/>
              </w:rPr>
              <w:t xml:space="preserve">租赁和商务服务业 </w:t>
            </w:r>
          </w:p>
        </w:tc>
        <w:tc>
          <w:tcPr>
            <w:tcW w:w="2190" w:type="dxa"/>
            <w:shd w:val="clear" w:color="auto" w:fill="auto"/>
          </w:tcPr>
          <w:p>
            <w:pPr>
              <w:pStyle w:val="7"/>
              <w:jc w:val="right"/>
            </w:pPr>
            <w:r>
              <w:rPr>
                <w:rFonts w:hint="eastAsia"/>
              </w:rPr>
              <w:t xml:space="preserve">15,971,203.78 </w:t>
            </w:r>
          </w:p>
        </w:tc>
        <w:tc>
          <w:tcPr>
            <w:tcW w:w="2191" w:type="dxa"/>
            <w:shd w:val="clear" w:color="auto" w:fill="auto"/>
          </w:tcPr>
          <w:p>
            <w:pPr>
              <w:pStyle w:val="7"/>
              <w:jc w:val="right"/>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M </w:t>
            </w:r>
          </w:p>
        </w:tc>
        <w:tc>
          <w:tcPr>
            <w:tcW w:w="3543" w:type="dxa"/>
            <w:shd w:val="clear" w:color="auto" w:fill="auto"/>
          </w:tcPr>
          <w:p>
            <w:pPr>
              <w:pStyle w:val="7"/>
              <w:ind w:left="105"/>
            </w:pPr>
            <w:r>
              <w:rPr>
                <w:rFonts w:hint="eastAsia"/>
              </w:rPr>
              <w:t xml:space="preserve">科学研究和技术服务业 </w:t>
            </w:r>
          </w:p>
        </w:tc>
        <w:tc>
          <w:tcPr>
            <w:tcW w:w="2190" w:type="dxa"/>
            <w:shd w:val="clear" w:color="auto" w:fill="auto"/>
          </w:tcPr>
          <w:p>
            <w:pPr>
              <w:pStyle w:val="7"/>
              <w:jc w:val="right"/>
            </w:pPr>
            <w:r>
              <w:rPr>
                <w:rFonts w:hint="eastAsia"/>
              </w:rPr>
              <w:t xml:space="preserve">43,811,822.22 </w:t>
            </w:r>
          </w:p>
        </w:tc>
        <w:tc>
          <w:tcPr>
            <w:tcW w:w="2191" w:type="dxa"/>
            <w:shd w:val="clear" w:color="auto" w:fill="auto"/>
          </w:tcPr>
          <w:p>
            <w:pPr>
              <w:pStyle w:val="7"/>
              <w:jc w:val="right"/>
            </w:pPr>
            <w:r>
              <w:rPr>
                <w:rFonts w:hint="eastAsia"/>
              </w:rPr>
              <w:t xml:space="preserve">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N </w:t>
            </w:r>
          </w:p>
        </w:tc>
        <w:tc>
          <w:tcPr>
            <w:tcW w:w="3543" w:type="dxa"/>
            <w:shd w:val="clear" w:color="auto" w:fill="auto"/>
          </w:tcPr>
          <w:p>
            <w:pPr>
              <w:pStyle w:val="7"/>
              <w:ind w:left="105"/>
            </w:pPr>
            <w:r>
              <w:rPr>
                <w:rFonts w:hint="eastAsia"/>
              </w:rPr>
              <w:t xml:space="preserve">水利、环境和公共设施管理业 </w:t>
            </w:r>
          </w:p>
        </w:tc>
        <w:tc>
          <w:tcPr>
            <w:tcW w:w="2190" w:type="dxa"/>
            <w:shd w:val="clear" w:color="auto" w:fill="auto"/>
          </w:tcPr>
          <w:p>
            <w:pPr>
              <w:pStyle w:val="7"/>
              <w:jc w:val="right"/>
            </w:pPr>
            <w:r>
              <w:rPr>
                <w:rFonts w:hint="eastAsia"/>
              </w:rPr>
              <w:t xml:space="preserve">276,859.50 </w:t>
            </w:r>
          </w:p>
        </w:tc>
        <w:tc>
          <w:tcPr>
            <w:tcW w:w="2191" w:type="dxa"/>
            <w:shd w:val="clear" w:color="auto" w:fill="auto"/>
          </w:tcPr>
          <w:p>
            <w:pPr>
              <w:pStyle w:val="7"/>
              <w:jc w:val="right"/>
            </w:pPr>
            <w:r>
              <w:rPr>
                <w:rFonts w:hint="eastAsia"/>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O </w:t>
            </w:r>
          </w:p>
        </w:tc>
        <w:tc>
          <w:tcPr>
            <w:tcW w:w="3543" w:type="dxa"/>
            <w:shd w:val="clear" w:color="auto" w:fill="auto"/>
          </w:tcPr>
          <w:p>
            <w:pPr>
              <w:pStyle w:val="7"/>
              <w:ind w:left="105"/>
            </w:pPr>
            <w:r>
              <w:rPr>
                <w:rFonts w:hint="eastAsia"/>
              </w:rPr>
              <w:t xml:space="preserve">居民服务、修理和其他服务业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P </w:t>
            </w:r>
          </w:p>
        </w:tc>
        <w:tc>
          <w:tcPr>
            <w:tcW w:w="3543" w:type="dxa"/>
            <w:shd w:val="clear" w:color="auto" w:fill="auto"/>
          </w:tcPr>
          <w:p>
            <w:pPr>
              <w:pStyle w:val="7"/>
              <w:ind w:left="105"/>
            </w:pPr>
            <w:r>
              <w:rPr>
                <w:rFonts w:hint="eastAsia"/>
              </w:rPr>
              <w:t xml:space="preserve">教育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Q </w:t>
            </w:r>
          </w:p>
        </w:tc>
        <w:tc>
          <w:tcPr>
            <w:tcW w:w="3543" w:type="dxa"/>
            <w:shd w:val="clear" w:color="auto" w:fill="auto"/>
          </w:tcPr>
          <w:p>
            <w:pPr>
              <w:pStyle w:val="7"/>
              <w:ind w:left="105"/>
            </w:pPr>
            <w:r>
              <w:rPr>
                <w:rFonts w:hint="eastAsia"/>
              </w:rPr>
              <w:t xml:space="preserve">卫生和社会工作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R </w:t>
            </w:r>
          </w:p>
        </w:tc>
        <w:tc>
          <w:tcPr>
            <w:tcW w:w="3543" w:type="dxa"/>
            <w:shd w:val="clear" w:color="auto" w:fill="auto"/>
          </w:tcPr>
          <w:p>
            <w:pPr>
              <w:pStyle w:val="7"/>
              <w:ind w:left="105"/>
            </w:pPr>
            <w:r>
              <w:rPr>
                <w:rFonts w:hint="eastAsia"/>
              </w:rPr>
              <w:t xml:space="preserve">文化、体育和娱乐业 </w:t>
            </w:r>
          </w:p>
        </w:tc>
        <w:tc>
          <w:tcPr>
            <w:tcW w:w="2190" w:type="dxa"/>
            <w:shd w:val="clear" w:color="auto" w:fill="auto"/>
          </w:tcPr>
          <w:p>
            <w:pPr>
              <w:pStyle w:val="7"/>
              <w:jc w:val="right"/>
            </w:pPr>
            <w:r>
              <w:rPr>
                <w:rFonts w:hint="eastAsia"/>
              </w:rPr>
              <w:t xml:space="preserve">5,197,273.00 </w:t>
            </w:r>
          </w:p>
        </w:tc>
        <w:tc>
          <w:tcPr>
            <w:tcW w:w="2191" w:type="dxa"/>
            <w:shd w:val="clear" w:color="auto" w:fill="auto"/>
          </w:tcPr>
          <w:p>
            <w:pPr>
              <w:pStyle w:val="7"/>
              <w:jc w:val="right"/>
            </w:pPr>
            <w:r>
              <w:rPr>
                <w:rFonts w:hint="eastAsia"/>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pStyle w:val="7"/>
              <w:jc w:val="center"/>
            </w:pPr>
            <w:r>
              <w:rPr>
                <w:rFonts w:hint="eastAsia"/>
              </w:rPr>
              <w:t xml:space="preserve">S </w:t>
            </w:r>
          </w:p>
        </w:tc>
        <w:tc>
          <w:tcPr>
            <w:tcW w:w="3543" w:type="dxa"/>
            <w:shd w:val="clear" w:color="auto" w:fill="auto"/>
          </w:tcPr>
          <w:p>
            <w:pPr>
              <w:pStyle w:val="7"/>
              <w:ind w:left="105"/>
            </w:pPr>
            <w:r>
              <w:rPr>
                <w:rFonts w:hint="eastAsia"/>
              </w:rPr>
              <w:t xml:space="preserve">综合 </w:t>
            </w:r>
          </w:p>
        </w:tc>
        <w:tc>
          <w:tcPr>
            <w:tcW w:w="2190" w:type="dxa"/>
            <w:shd w:val="clear" w:color="auto" w:fill="auto"/>
          </w:tcPr>
          <w:p>
            <w:pPr>
              <w:pStyle w:val="7"/>
              <w:jc w:val="right"/>
            </w:pPr>
            <w:r>
              <w:rPr>
                <w:rFonts w:hint="eastAsia"/>
              </w:rPr>
              <w:t xml:space="preserve">- </w:t>
            </w:r>
          </w:p>
        </w:tc>
        <w:tc>
          <w:tcPr>
            <w:tcW w:w="2191"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rPr>
                <w:rFonts w:ascii="宋体" w:hAnsi="宋体" w:eastAsia="宋体" w:cs="宋体"/>
                <w:sz w:val="24"/>
                <w:szCs w:val="24"/>
              </w:rPr>
            </w:pPr>
          </w:p>
        </w:tc>
        <w:tc>
          <w:tcPr>
            <w:tcW w:w="3543" w:type="dxa"/>
            <w:shd w:val="clear" w:color="auto" w:fill="auto"/>
          </w:tcPr>
          <w:p>
            <w:pPr>
              <w:pStyle w:val="7"/>
              <w:ind w:left="105"/>
            </w:pPr>
            <w:r>
              <w:rPr>
                <w:rFonts w:hint="eastAsia"/>
              </w:rPr>
              <w:t xml:space="preserve">合计 </w:t>
            </w:r>
          </w:p>
        </w:tc>
        <w:tc>
          <w:tcPr>
            <w:tcW w:w="2190" w:type="dxa"/>
            <w:shd w:val="clear" w:color="auto" w:fill="auto"/>
          </w:tcPr>
          <w:p>
            <w:pPr>
              <w:pStyle w:val="7"/>
              <w:jc w:val="right"/>
            </w:pPr>
            <w:r>
              <w:rPr>
                <w:rFonts w:hint="eastAsia"/>
              </w:rPr>
              <w:t xml:space="preserve">947,125,656.43 </w:t>
            </w:r>
          </w:p>
        </w:tc>
        <w:tc>
          <w:tcPr>
            <w:tcW w:w="2191" w:type="dxa"/>
            <w:shd w:val="clear" w:color="auto" w:fill="auto"/>
          </w:tcPr>
          <w:p>
            <w:pPr>
              <w:pStyle w:val="7"/>
              <w:jc w:val="right"/>
            </w:pPr>
            <w:r>
              <w:rPr>
                <w:rFonts w:hint="eastAsia"/>
              </w:rPr>
              <w:t xml:space="preserve">88.98 </w:t>
            </w:r>
          </w:p>
        </w:tc>
      </w:tr>
    </w:tbl>
    <w:p>
      <w:pPr>
        <w:pStyle w:val="7"/>
        <w:spacing w:before="0" w:beforeAutospacing="0" w:after="0" w:afterAutospacing="0" w:line="360" w:lineRule="auto"/>
        <w:ind w:firstLine="420"/>
        <w:rPr>
          <w:sz w:val="21"/>
          <w:szCs w:val="21"/>
        </w:rPr>
      </w:pPr>
      <w:r>
        <w:rPr>
          <w:rFonts w:hint="eastAsia"/>
          <w:b/>
          <w:bCs/>
          <w:sz w:val="21"/>
          <w:szCs w:val="21"/>
        </w:rPr>
        <w:t>3报告期末按公允价值占基金资产净值比例大小排序的前十名股票投资明细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234"/>
        <w:gridCol w:w="1351"/>
        <w:gridCol w:w="1381"/>
        <w:gridCol w:w="1873"/>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序号 </w:t>
            </w:r>
          </w:p>
        </w:tc>
        <w:tc>
          <w:tcPr>
            <w:tcW w:w="1234" w:type="dxa"/>
            <w:shd w:val="clear" w:color="auto" w:fill="auto"/>
          </w:tcPr>
          <w:p>
            <w:pPr>
              <w:pStyle w:val="7"/>
              <w:jc w:val="center"/>
            </w:pPr>
            <w:r>
              <w:rPr>
                <w:rFonts w:hint="eastAsia"/>
              </w:rPr>
              <w:t xml:space="preserve">股票代码 </w:t>
            </w:r>
          </w:p>
        </w:tc>
        <w:tc>
          <w:tcPr>
            <w:tcW w:w="1351" w:type="dxa"/>
            <w:shd w:val="clear" w:color="auto" w:fill="auto"/>
          </w:tcPr>
          <w:p>
            <w:pPr>
              <w:pStyle w:val="7"/>
              <w:jc w:val="center"/>
            </w:pPr>
            <w:r>
              <w:rPr>
                <w:rFonts w:hint="eastAsia"/>
              </w:rPr>
              <w:t xml:space="preserve">股票名称 </w:t>
            </w:r>
          </w:p>
        </w:tc>
        <w:tc>
          <w:tcPr>
            <w:tcW w:w="1381" w:type="dxa"/>
            <w:shd w:val="clear" w:color="auto" w:fill="auto"/>
          </w:tcPr>
          <w:p>
            <w:pPr>
              <w:pStyle w:val="7"/>
              <w:jc w:val="center"/>
            </w:pPr>
            <w:r>
              <w:rPr>
                <w:rFonts w:hint="eastAsia"/>
              </w:rPr>
              <w:t xml:space="preserve">数量(股) </w:t>
            </w:r>
          </w:p>
        </w:tc>
        <w:tc>
          <w:tcPr>
            <w:tcW w:w="1873" w:type="dxa"/>
            <w:shd w:val="clear" w:color="auto" w:fill="auto"/>
          </w:tcPr>
          <w:p>
            <w:pPr>
              <w:pStyle w:val="7"/>
              <w:jc w:val="center"/>
            </w:pPr>
            <w:r>
              <w:rPr>
                <w:rFonts w:hint="eastAsia"/>
              </w:rPr>
              <w:t xml:space="preserve">公允价值(元) </w:t>
            </w:r>
          </w:p>
        </w:tc>
        <w:tc>
          <w:tcPr>
            <w:tcW w:w="2013"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1 </w:t>
            </w:r>
          </w:p>
        </w:tc>
        <w:tc>
          <w:tcPr>
            <w:tcW w:w="1234" w:type="dxa"/>
            <w:shd w:val="clear" w:color="auto" w:fill="auto"/>
          </w:tcPr>
          <w:p>
            <w:pPr>
              <w:pStyle w:val="7"/>
              <w:jc w:val="center"/>
            </w:pPr>
            <w:r>
              <w:rPr>
                <w:rFonts w:hint="eastAsia"/>
              </w:rPr>
              <w:t xml:space="preserve">600519 </w:t>
            </w:r>
          </w:p>
        </w:tc>
        <w:tc>
          <w:tcPr>
            <w:tcW w:w="1351" w:type="dxa"/>
            <w:shd w:val="clear" w:color="auto" w:fill="auto"/>
          </w:tcPr>
          <w:p>
            <w:pPr>
              <w:pStyle w:val="7"/>
              <w:jc w:val="center"/>
            </w:pPr>
            <w:r>
              <w:rPr>
                <w:rFonts w:hint="eastAsia"/>
              </w:rPr>
              <w:t xml:space="preserve">贵州茅台 </w:t>
            </w:r>
          </w:p>
        </w:tc>
        <w:tc>
          <w:tcPr>
            <w:tcW w:w="1381" w:type="dxa"/>
            <w:shd w:val="clear" w:color="auto" w:fill="auto"/>
          </w:tcPr>
          <w:p>
            <w:pPr>
              <w:pStyle w:val="7"/>
              <w:jc w:val="right"/>
            </w:pPr>
            <w:r>
              <w:rPr>
                <w:rFonts w:hint="eastAsia"/>
              </w:rPr>
              <w:t xml:space="preserve">29,800 </w:t>
            </w:r>
          </w:p>
        </w:tc>
        <w:tc>
          <w:tcPr>
            <w:tcW w:w="1873" w:type="dxa"/>
            <w:shd w:val="clear" w:color="auto" w:fill="auto"/>
          </w:tcPr>
          <w:p>
            <w:pPr>
              <w:pStyle w:val="7"/>
              <w:jc w:val="right"/>
            </w:pPr>
            <w:r>
              <w:rPr>
                <w:rFonts w:hint="eastAsia"/>
              </w:rPr>
              <w:t xml:space="preserve">60,941,000.00 </w:t>
            </w:r>
          </w:p>
        </w:tc>
        <w:tc>
          <w:tcPr>
            <w:tcW w:w="2013" w:type="dxa"/>
            <w:shd w:val="clear" w:color="auto" w:fill="auto"/>
          </w:tcPr>
          <w:p>
            <w:pPr>
              <w:pStyle w:val="7"/>
              <w:jc w:val="right"/>
            </w:pPr>
            <w:r>
              <w:rPr>
                <w:rFonts w:hint="eastAsia"/>
              </w:rPr>
              <w:t xml:space="preserve">5.73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2 </w:t>
            </w:r>
          </w:p>
        </w:tc>
        <w:tc>
          <w:tcPr>
            <w:tcW w:w="1234" w:type="dxa"/>
            <w:shd w:val="clear" w:color="auto" w:fill="auto"/>
          </w:tcPr>
          <w:p>
            <w:pPr>
              <w:pStyle w:val="7"/>
              <w:jc w:val="center"/>
            </w:pPr>
            <w:r>
              <w:rPr>
                <w:rFonts w:hint="eastAsia"/>
              </w:rPr>
              <w:t xml:space="preserve">600809 </w:t>
            </w:r>
          </w:p>
        </w:tc>
        <w:tc>
          <w:tcPr>
            <w:tcW w:w="1351" w:type="dxa"/>
            <w:shd w:val="clear" w:color="auto" w:fill="auto"/>
          </w:tcPr>
          <w:p>
            <w:pPr>
              <w:pStyle w:val="7"/>
              <w:jc w:val="center"/>
            </w:pPr>
            <w:r>
              <w:rPr>
                <w:rFonts w:hint="eastAsia"/>
              </w:rPr>
              <w:t xml:space="preserve">山西汾酒 </w:t>
            </w:r>
          </w:p>
        </w:tc>
        <w:tc>
          <w:tcPr>
            <w:tcW w:w="1381" w:type="dxa"/>
            <w:shd w:val="clear" w:color="auto" w:fill="auto"/>
          </w:tcPr>
          <w:p>
            <w:pPr>
              <w:pStyle w:val="7"/>
              <w:jc w:val="right"/>
            </w:pPr>
            <w:r>
              <w:rPr>
                <w:rFonts w:hint="eastAsia"/>
              </w:rPr>
              <w:t xml:space="preserve">182,140 </w:t>
            </w:r>
          </w:p>
        </w:tc>
        <w:tc>
          <w:tcPr>
            <w:tcW w:w="1873" w:type="dxa"/>
            <w:shd w:val="clear" w:color="auto" w:fill="auto"/>
          </w:tcPr>
          <w:p>
            <w:pPr>
              <w:pStyle w:val="7"/>
              <w:jc w:val="right"/>
            </w:pPr>
            <w:r>
              <w:rPr>
                <w:rFonts w:hint="eastAsia"/>
              </w:rPr>
              <w:t xml:space="preserve">59,159,072.00 </w:t>
            </w:r>
          </w:p>
        </w:tc>
        <w:tc>
          <w:tcPr>
            <w:tcW w:w="2013" w:type="dxa"/>
            <w:shd w:val="clear" w:color="auto" w:fill="auto"/>
          </w:tcPr>
          <w:p>
            <w:pPr>
              <w:pStyle w:val="7"/>
              <w:jc w:val="right"/>
            </w:pPr>
            <w:r>
              <w:rPr>
                <w:rFonts w:hint="eastAsia"/>
              </w:rPr>
              <w:t xml:space="preserve">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3 </w:t>
            </w:r>
          </w:p>
        </w:tc>
        <w:tc>
          <w:tcPr>
            <w:tcW w:w="1234" w:type="dxa"/>
            <w:shd w:val="clear" w:color="auto" w:fill="auto"/>
          </w:tcPr>
          <w:p>
            <w:pPr>
              <w:pStyle w:val="7"/>
              <w:jc w:val="center"/>
            </w:pPr>
            <w:r>
              <w:rPr>
                <w:rFonts w:hint="eastAsia"/>
              </w:rPr>
              <w:t xml:space="preserve">601012 </w:t>
            </w:r>
          </w:p>
        </w:tc>
        <w:tc>
          <w:tcPr>
            <w:tcW w:w="1351" w:type="dxa"/>
            <w:shd w:val="clear" w:color="auto" w:fill="auto"/>
          </w:tcPr>
          <w:p>
            <w:pPr>
              <w:pStyle w:val="7"/>
              <w:jc w:val="center"/>
            </w:pPr>
            <w:r>
              <w:rPr>
                <w:rFonts w:hint="eastAsia"/>
              </w:rPr>
              <w:t xml:space="preserve">隆基绿能 </w:t>
            </w:r>
          </w:p>
        </w:tc>
        <w:tc>
          <w:tcPr>
            <w:tcW w:w="1381" w:type="dxa"/>
            <w:shd w:val="clear" w:color="auto" w:fill="auto"/>
          </w:tcPr>
          <w:p>
            <w:pPr>
              <w:pStyle w:val="7"/>
              <w:jc w:val="right"/>
            </w:pPr>
            <w:r>
              <w:rPr>
                <w:rFonts w:hint="eastAsia"/>
              </w:rPr>
              <w:t xml:space="preserve">650,940 </w:t>
            </w:r>
          </w:p>
        </w:tc>
        <w:tc>
          <w:tcPr>
            <w:tcW w:w="1873" w:type="dxa"/>
            <w:shd w:val="clear" w:color="auto" w:fill="auto"/>
          </w:tcPr>
          <w:p>
            <w:pPr>
              <w:pStyle w:val="7"/>
              <w:jc w:val="right"/>
            </w:pPr>
            <w:r>
              <w:rPr>
                <w:rFonts w:hint="eastAsia"/>
              </w:rPr>
              <w:t xml:space="preserve">43,372,132.20 </w:t>
            </w:r>
          </w:p>
        </w:tc>
        <w:tc>
          <w:tcPr>
            <w:tcW w:w="2013" w:type="dxa"/>
            <w:shd w:val="clear" w:color="auto" w:fill="auto"/>
          </w:tcPr>
          <w:p>
            <w:pPr>
              <w:pStyle w:val="7"/>
              <w:jc w:val="right"/>
            </w:pPr>
            <w:r>
              <w:rPr>
                <w:rFonts w:hint="eastAsia"/>
              </w:rPr>
              <w:t xml:space="preserve">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4 </w:t>
            </w:r>
          </w:p>
        </w:tc>
        <w:tc>
          <w:tcPr>
            <w:tcW w:w="1234" w:type="dxa"/>
            <w:shd w:val="clear" w:color="auto" w:fill="auto"/>
          </w:tcPr>
          <w:p>
            <w:pPr>
              <w:pStyle w:val="7"/>
              <w:jc w:val="center"/>
            </w:pPr>
            <w:r>
              <w:rPr>
                <w:rFonts w:hint="eastAsia"/>
              </w:rPr>
              <w:t xml:space="preserve">300750 </w:t>
            </w:r>
          </w:p>
        </w:tc>
        <w:tc>
          <w:tcPr>
            <w:tcW w:w="1351" w:type="dxa"/>
            <w:shd w:val="clear" w:color="auto" w:fill="auto"/>
          </w:tcPr>
          <w:p>
            <w:pPr>
              <w:pStyle w:val="7"/>
              <w:jc w:val="center"/>
            </w:pPr>
            <w:r>
              <w:rPr>
                <w:rFonts w:hint="eastAsia"/>
              </w:rPr>
              <w:t xml:space="preserve">宁德时代 </w:t>
            </w:r>
          </w:p>
        </w:tc>
        <w:tc>
          <w:tcPr>
            <w:tcW w:w="1381" w:type="dxa"/>
            <w:shd w:val="clear" w:color="auto" w:fill="auto"/>
          </w:tcPr>
          <w:p>
            <w:pPr>
              <w:pStyle w:val="7"/>
              <w:jc w:val="right"/>
            </w:pPr>
            <w:r>
              <w:rPr>
                <w:rFonts w:hint="eastAsia"/>
              </w:rPr>
              <w:t xml:space="preserve">80,700 </w:t>
            </w:r>
          </w:p>
        </w:tc>
        <w:tc>
          <w:tcPr>
            <w:tcW w:w="1873" w:type="dxa"/>
            <w:shd w:val="clear" w:color="auto" w:fill="auto"/>
          </w:tcPr>
          <w:p>
            <w:pPr>
              <w:pStyle w:val="7"/>
              <w:jc w:val="right"/>
            </w:pPr>
            <w:r>
              <w:rPr>
                <w:rFonts w:hint="eastAsia"/>
              </w:rPr>
              <w:t xml:space="preserve">43,093,800.00 </w:t>
            </w:r>
          </w:p>
        </w:tc>
        <w:tc>
          <w:tcPr>
            <w:tcW w:w="2013" w:type="dxa"/>
            <w:shd w:val="clear" w:color="auto" w:fill="auto"/>
          </w:tcPr>
          <w:p>
            <w:pPr>
              <w:pStyle w:val="7"/>
              <w:jc w:val="right"/>
            </w:pPr>
            <w:r>
              <w:rPr>
                <w:rFonts w:hint="eastAsia"/>
              </w:rPr>
              <w:t xml:space="preserve">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5 </w:t>
            </w:r>
          </w:p>
        </w:tc>
        <w:tc>
          <w:tcPr>
            <w:tcW w:w="1234" w:type="dxa"/>
            <w:shd w:val="clear" w:color="auto" w:fill="auto"/>
          </w:tcPr>
          <w:p>
            <w:pPr>
              <w:pStyle w:val="7"/>
              <w:jc w:val="center"/>
            </w:pPr>
            <w:r>
              <w:rPr>
                <w:rFonts w:hint="eastAsia"/>
              </w:rPr>
              <w:t xml:space="preserve">002459 </w:t>
            </w:r>
          </w:p>
        </w:tc>
        <w:tc>
          <w:tcPr>
            <w:tcW w:w="1351" w:type="dxa"/>
            <w:shd w:val="clear" w:color="auto" w:fill="auto"/>
          </w:tcPr>
          <w:p>
            <w:pPr>
              <w:pStyle w:val="7"/>
              <w:jc w:val="center"/>
            </w:pPr>
            <w:r>
              <w:rPr>
                <w:rFonts w:hint="eastAsia"/>
              </w:rPr>
              <w:t xml:space="preserve">晶澳科技 </w:t>
            </w:r>
          </w:p>
        </w:tc>
        <w:tc>
          <w:tcPr>
            <w:tcW w:w="1381" w:type="dxa"/>
            <w:shd w:val="clear" w:color="auto" w:fill="auto"/>
          </w:tcPr>
          <w:p>
            <w:pPr>
              <w:pStyle w:val="7"/>
              <w:jc w:val="right"/>
            </w:pPr>
            <w:r>
              <w:rPr>
                <w:rFonts w:hint="eastAsia"/>
              </w:rPr>
              <w:t xml:space="preserve">540,145 </w:t>
            </w:r>
          </w:p>
        </w:tc>
        <w:tc>
          <w:tcPr>
            <w:tcW w:w="1873" w:type="dxa"/>
            <w:shd w:val="clear" w:color="auto" w:fill="auto"/>
          </w:tcPr>
          <w:p>
            <w:pPr>
              <w:pStyle w:val="7"/>
              <w:jc w:val="right"/>
            </w:pPr>
            <w:r>
              <w:rPr>
                <w:rFonts w:hint="eastAsia"/>
              </w:rPr>
              <w:t xml:space="preserve">42,085,191.75 </w:t>
            </w:r>
          </w:p>
        </w:tc>
        <w:tc>
          <w:tcPr>
            <w:tcW w:w="2013" w:type="dxa"/>
            <w:shd w:val="clear" w:color="auto" w:fill="auto"/>
          </w:tcPr>
          <w:p>
            <w:pPr>
              <w:pStyle w:val="7"/>
              <w:jc w:val="right"/>
            </w:pPr>
            <w:r>
              <w:rPr>
                <w:rFonts w:hint="eastAsia"/>
              </w:rPr>
              <w:t xml:space="preserve">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6 </w:t>
            </w:r>
          </w:p>
        </w:tc>
        <w:tc>
          <w:tcPr>
            <w:tcW w:w="1234" w:type="dxa"/>
            <w:shd w:val="clear" w:color="auto" w:fill="auto"/>
          </w:tcPr>
          <w:p>
            <w:pPr>
              <w:pStyle w:val="7"/>
              <w:jc w:val="center"/>
            </w:pPr>
            <w:r>
              <w:rPr>
                <w:rFonts w:hint="eastAsia"/>
              </w:rPr>
              <w:t xml:space="preserve">002594 </w:t>
            </w:r>
          </w:p>
        </w:tc>
        <w:tc>
          <w:tcPr>
            <w:tcW w:w="1351" w:type="dxa"/>
            <w:shd w:val="clear" w:color="auto" w:fill="auto"/>
          </w:tcPr>
          <w:p>
            <w:pPr>
              <w:pStyle w:val="7"/>
              <w:jc w:val="center"/>
            </w:pPr>
            <w:r>
              <w:rPr>
                <w:rFonts w:hint="eastAsia"/>
              </w:rPr>
              <w:t xml:space="preserve">比亚迪 </w:t>
            </w:r>
          </w:p>
        </w:tc>
        <w:tc>
          <w:tcPr>
            <w:tcW w:w="1381" w:type="dxa"/>
            <w:shd w:val="clear" w:color="auto" w:fill="auto"/>
          </w:tcPr>
          <w:p>
            <w:pPr>
              <w:pStyle w:val="7"/>
              <w:jc w:val="right"/>
            </w:pPr>
            <w:r>
              <w:rPr>
                <w:rFonts w:hint="eastAsia"/>
              </w:rPr>
              <w:t xml:space="preserve">115,800 </w:t>
            </w:r>
          </w:p>
        </w:tc>
        <w:tc>
          <w:tcPr>
            <w:tcW w:w="1873" w:type="dxa"/>
            <w:shd w:val="clear" w:color="auto" w:fill="auto"/>
          </w:tcPr>
          <w:p>
            <w:pPr>
              <w:pStyle w:val="7"/>
              <w:jc w:val="right"/>
            </w:pPr>
            <w:r>
              <w:rPr>
                <w:rFonts w:hint="eastAsia"/>
              </w:rPr>
              <w:t xml:space="preserve">38,618,142.00 </w:t>
            </w:r>
          </w:p>
        </w:tc>
        <w:tc>
          <w:tcPr>
            <w:tcW w:w="2013" w:type="dxa"/>
            <w:shd w:val="clear" w:color="auto" w:fill="auto"/>
          </w:tcPr>
          <w:p>
            <w:pPr>
              <w:pStyle w:val="7"/>
              <w:jc w:val="right"/>
            </w:pPr>
            <w:r>
              <w:rPr>
                <w:rFonts w:hint="eastAsia"/>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7 </w:t>
            </w:r>
          </w:p>
        </w:tc>
        <w:tc>
          <w:tcPr>
            <w:tcW w:w="1234" w:type="dxa"/>
            <w:shd w:val="clear" w:color="auto" w:fill="auto"/>
          </w:tcPr>
          <w:p>
            <w:pPr>
              <w:pStyle w:val="7"/>
              <w:jc w:val="center"/>
            </w:pPr>
            <w:r>
              <w:rPr>
                <w:rFonts w:hint="eastAsia"/>
              </w:rPr>
              <w:t xml:space="preserve">002475 </w:t>
            </w:r>
          </w:p>
        </w:tc>
        <w:tc>
          <w:tcPr>
            <w:tcW w:w="1351" w:type="dxa"/>
            <w:shd w:val="clear" w:color="auto" w:fill="auto"/>
          </w:tcPr>
          <w:p>
            <w:pPr>
              <w:pStyle w:val="7"/>
              <w:jc w:val="center"/>
            </w:pPr>
            <w:r>
              <w:rPr>
                <w:rFonts w:hint="eastAsia"/>
              </w:rPr>
              <w:t xml:space="preserve">立讯精密 </w:t>
            </w:r>
          </w:p>
        </w:tc>
        <w:tc>
          <w:tcPr>
            <w:tcW w:w="1381" w:type="dxa"/>
            <w:shd w:val="clear" w:color="auto" w:fill="auto"/>
          </w:tcPr>
          <w:p>
            <w:pPr>
              <w:pStyle w:val="7"/>
              <w:jc w:val="right"/>
            </w:pPr>
            <w:r>
              <w:rPr>
                <w:rFonts w:hint="eastAsia"/>
              </w:rPr>
              <w:t xml:space="preserve">1,130,920 </w:t>
            </w:r>
          </w:p>
        </w:tc>
        <w:tc>
          <w:tcPr>
            <w:tcW w:w="1873" w:type="dxa"/>
            <w:shd w:val="clear" w:color="auto" w:fill="auto"/>
          </w:tcPr>
          <w:p>
            <w:pPr>
              <w:pStyle w:val="7"/>
              <w:jc w:val="right"/>
            </w:pPr>
            <w:r>
              <w:rPr>
                <w:rFonts w:hint="eastAsia"/>
              </w:rPr>
              <w:t xml:space="preserve">38,213,786.80 </w:t>
            </w:r>
          </w:p>
        </w:tc>
        <w:tc>
          <w:tcPr>
            <w:tcW w:w="2013" w:type="dxa"/>
            <w:shd w:val="clear" w:color="auto" w:fill="auto"/>
          </w:tcPr>
          <w:p>
            <w:pPr>
              <w:pStyle w:val="7"/>
              <w:jc w:val="right"/>
            </w:pPr>
            <w:r>
              <w:rPr>
                <w:rFonts w:hint="eastAsia"/>
              </w:rPr>
              <w:t xml:space="preserve">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8 </w:t>
            </w:r>
          </w:p>
        </w:tc>
        <w:tc>
          <w:tcPr>
            <w:tcW w:w="1234" w:type="dxa"/>
            <w:shd w:val="clear" w:color="auto" w:fill="auto"/>
          </w:tcPr>
          <w:p>
            <w:pPr>
              <w:pStyle w:val="7"/>
              <w:jc w:val="center"/>
            </w:pPr>
            <w:r>
              <w:rPr>
                <w:rFonts w:hint="eastAsia"/>
              </w:rPr>
              <w:t xml:space="preserve">301101 </w:t>
            </w:r>
          </w:p>
        </w:tc>
        <w:tc>
          <w:tcPr>
            <w:tcW w:w="1351" w:type="dxa"/>
            <w:shd w:val="clear" w:color="auto" w:fill="auto"/>
          </w:tcPr>
          <w:p>
            <w:pPr>
              <w:pStyle w:val="7"/>
              <w:jc w:val="center"/>
            </w:pPr>
            <w:r>
              <w:rPr>
                <w:rFonts w:hint="eastAsia"/>
              </w:rPr>
              <w:t xml:space="preserve">明月镜片 </w:t>
            </w:r>
          </w:p>
        </w:tc>
        <w:tc>
          <w:tcPr>
            <w:tcW w:w="1381" w:type="dxa"/>
            <w:shd w:val="clear" w:color="auto" w:fill="auto"/>
          </w:tcPr>
          <w:p>
            <w:pPr>
              <w:pStyle w:val="7"/>
              <w:jc w:val="right"/>
            </w:pPr>
            <w:r>
              <w:rPr>
                <w:rFonts w:hint="eastAsia"/>
              </w:rPr>
              <w:t xml:space="preserve">668,985 </w:t>
            </w:r>
          </w:p>
        </w:tc>
        <w:tc>
          <w:tcPr>
            <w:tcW w:w="1873" w:type="dxa"/>
            <w:shd w:val="clear" w:color="auto" w:fill="auto"/>
          </w:tcPr>
          <w:p>
            <w:pPr>
              <w:pStyle w:val="7"/>
              <w:jc w:val="right"/>
            </w:pPr>
            <w:r>
              <w:rPr>
                <w:rFonts w:hint="eastAsia"/>
              </w:rPr>
              <w:t xml:space="preserve">34,339,000.05 </w:t>
            </w:r>
          </w:p>
        </w:tc>
        <w:tc>
          <w:tcPr>
            <w:tcW w:w="2013" w:type="dxa"/>
            <w:shd w:val="clear" w:color="auto" w:fill="auto"/>
          </w:tcPr>
          <w:p>
            <w:pPr>
              <w:pStyle w:val="7"/>
              <w:jc w:val="right"/>
            </w:pPr>
            <w:r>
              <w:rPr>
                <w:rFonts w:hint="eastAsia"/>
              </w:rPr>
              <w:t xml:space="preserve">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9 </w:t>
            </w:r>
          </w:p>
        </w:tc>
        <w:tc>
          <w:tcPr>
            <w:tcW w:w="1234" w:type="dxa"/>
            <w:shd w:val="clear" w:color="auto" w:fill="auto"/>
          </w:tcPr>
          <w:p>
            <w:pPr>
              <w:pStyle w:val="7"/>
              <w:jc w:val="center"/>
            </w:pPr>
            <w:r>
              <w:rPr>
                <w:rFonts w:hint="eastAsia"/>
              </w:rPr>
              <w:t xml:space="preserve">603259 </w:t>
            </w:r>
          </w:p>
        </w:tc>
        <w:tc>
          <w:tcPr>
            <w:tcW w:w="1351" w:type="dxa"/>
            <w:shd w:val="clear" w:color="auto" w:fill="auto"/>
          </w:tcPr>
          <w:p>
            <w:pPr>
              <w:pStyle w:val="7"/>
              <w:jc w:val="center"/>
            </w:pPr>
            <w:r>
              <w:rPr>
                <w:rFonts w:hint="eastAsia"/>
              </w:rPr>
              <w:t xml:space="preserve">药明康德 </w:t>
            </w:r>
          </w:p>
        </w:tc>
        <w:tc>
          <w:tcPr>
            <w:tcW w:w="1381" w:type="dxa"/>
            <w:shd w:val="clear" w:color="auto" w:fill="auto"/>
          </w:tcPr>
          <w:p>
            <w:pPr>
              <w:pStyle w:val="7"/>
              <w:jc w:val="right"/>
            </w:pPr>
            <w:r>
              <w:rPr>
                <w:rFonts w:hint="eastAsia"/>
              </w:rPr>
              <w:t xml:space="preserve">278,181 </w:t>
            </w:r>
          </w:p>
        </w:tc>
        <w:tc>
          <w:tcPr>
            <w:tcW w:w="1873" w:type="dxa"/>
            <w:shd w:val="clear" w:color="auto" w:fill="auto"/>
          </w:tcPr>
          <w:p>
            <w:pPr>
              <w:pStyle w:val="7"/>
              <w:jc w:val="right"/>
            </w:pPr>
            <w:r>
              <w:rPr>
                <w:rFonts w:hint="eastAsia"/>
              </w:rPr>
              <w:t xml:space="preserve">28,928,042.19 </w:t>
            </w:r>
          </w:p>
        </w:tc>
        <w:tc>
          <w:tcPr>
            <w:tcW w:w="2013" w:type="dxa"/>
            <w:shd w:val="clear" w:color="auto" w:fill="auto"/>
          </w:tcPr>
          <w:p>
            <w:pPr>
              <w:pStyle w:val="7"/>
              <w:jc w:val="right"/>
            </w:pPr>
            <w:r>
              <w:rPr>
                <w:rFonts w:hint="eastAsia"/>
              </w:rPr>
              <w:t xml:space="preserve">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shd w:val="clear" w:color="auto" w:fill="auto"/>
          </w:tcPr>
          <w:p>
            <w:pPr>
              <w:pStyle w:val="7"/>
              <w:jc w:val="center"/>
            </w:pPr>
            <w:r>
              <w:rPr>
                <w:rFonts w:hint="eastAsia"/>
              </w:rPr>
              <w:t xml:space="preserve">10 </w:t>
            </w:r>
          </w:p>
        </w:tc>
        <w:tc>
          <w:tcPr>
            <w:tcW w:w="1234" w:type="dxa"/>
            <w:shd w:val="clear" w:color="auto" w:fill="auto"/>
          </w:tcPr>
          <w:p>
            <w:pPr>
              <w:pStyle w:val="7"/>
              <w:jc w:val="center"/>
            </w:pPr>
            <w:r>
              <w:rPr>
                <w:rFonts w:hint="eastAsia"/>
              </w:rPr>
              <w:t xml:space="preserve">000568 </w:t>
            </w:r>
          </w:p>
        </w:tc>
        <w:tc>
          <w:tcPr>
            <w:tcW w:w="1351" w:type="dxa"/>
            <w:shd w:val="clear" w:color="auto" w:fill="auto"/>
          </w:tcPr>
          <w:p>
            <w:pPr>
              <w:pStyle w:val="7"/>
              <w:jc w:val="center"/>
            </w:pPr>
            <w:r>
              <w:rPr>
                <w:rFonts w:hint="eastAsia"/>
              </w:rPr>
              <w:t xml:space="preserve">泸州老窖 </w:t>
            </w:r>
          </w:p>
        </w:tc>
        <w:tc>
          <w:tcPr>
            <w:tcW w:w="1381" w:type="dxa"/>
            <w:shd w:val="clear" w:color="auto" w:fill="auto"/>
          </w:tcPr>
          <w:p>
            <w:pPr>
              <w:pStyle w:val="7"/>
              <w:jc w:val="right"/>
            </w:pPr>
            <w:r>
              <w:rPr>
                <w:rFonts w:hint="eastAsia"/>
              </w:rPr>
              <w:t xml:space="preserve">107,000 </w:t>
            </w:r>
          </w:p>
        </w:tc>
        <w:tc>
          <w:tcPr>
            <w:tcW w:w="1873" w:type="dxa"/>
            <w:shd w:val="clear" w:color="auto" w:fill="auto"/>
          </w:tcPr>
          <w:p>
            <w:pPr>
              <w:pStyle w:val="7"/>
              <w:jc w:val="right"/>
            </w:pPr>
            <w:r>
              <w:rPr>
                <w:rFonts w:hint="eastAsia"/>
              </w:rPr>
              <w:t xml:space="preserve">26,379,780.00 </w:t>
            </w:r>
          </w:p>
        </w:tc>
        <w:tc>
          <w:tcPr>
            <w:tcW w:w="2013" w:type="dxa"/>
            <w:shd w:val="clear" w:color="auto" w:fill="auto"/>
          </w:tcPr>
          <w:p>
            <w:pPr>
              <w:pStyle w:val="7"/>
              <w:jc w:val="right"/>
            </w:pPr>
            <w:r>
              <w:rPr>
                <w:rFonts w:hint="eastAsia"/>
              </w:rPr>
              <w:t xml:space="preserve">2.48 </w:t>
            </w:r>
          </w:p>
        </w:tc>
      </w:tr>
    </w:tbl>
    <w:p>
      <w:pPr>
        <w:pStyle w:val="7"/>
        <w:spacing w:before="0" w:beforeAutospacing="0" w:after="0" w:afterAutospacing="0" w:line="360" w:lineRule="auto"/>
        <w:ind w:firstLine="420"/>
        <w:rPr>
          <w:sz w:val="21"/>
          <w:szCs w:val="21"/>
        </w:rPr>
      </w:pPr>
      <w:r>
        <w:rPr>
          <w:rFonts w:hint="eastAsia"/>
          <w:b/>
          <w:bCs/>
          <w:sz w:val="21"/>
          <w:szCs w:val="21"/>
        </w:rPr>
        <w:t>4 报告期末按债券品种分类的债券投资组合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35"/>
        <w:gridCol w:w="314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2925" w:type="dxa"/>
            <w:shd w:val="clear" w:color="auto" w:fill="auto"/>
          </w:tcPr>
          <w:p>
            <w:pPr>
              <w:pStyle w:val="7"/>
              <w:jc w:val="center"/>
            </w:pPr>
            <w:r>
              <w:rPr>
                <w:rFonts w:hint="eastAsia"/>
              </w:rPr>
              <w:t xml:space="preserve">债券品种 </w:t>
            </w:r>
          </w:p>
        </w:tc>
        <w:tc>
          <w:tcPr>
            <w:tcW w:w="3570" w:type="dxa"/>
            <w:shd w:val="clear" w:color="auto" w:fill="auto"/>
          </w:tcPr>
          <w:p>
            <w:pPr>
              <w:pStyle w:val="7"/>
              <w:jc w:val="center"/>
            </w:pPr>
            <w:r>
              <w:rPr>
                <w:rFonts w:hint="eastAsia"/>
              </w:rPr>
              <w:t xml:space="preserve">公允价值(元) </w:t>
            </w:r>
          </w:p>
        </w:tc>
        <w:tc>
          <w:tcPr>
            <w:tcW w:w="270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2925" w:type="dxa"/>
            <w:shd w:val="clear" w:color="auto" w:fill="auto"/>
          </w:tcPr>
          <w:p>
            <w:pPr>
              <w:pStyle w:val="7"/>
            </w:pPr>
            <w:r>
              <w:rPr>
                <w:rFonts w:hint="eastAsia"/>
              </w:rPr>
              <w:t xml:space="preserve">国家债券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2 </w:t>
            </w:r>
          </w:p>
        </w:tc>
        <w:tc>
          <w:tcPr>
            <w:tcW w:w="2925" w:type="dxa"/>
            <w:shd w:val="clear" w:color="auto" w:fill="auto"/>
          </w:tcPr>
          <w:p>
            <w:pPr>
              <w:pStyle w:val="7"/>
            </w:pPr>
            <w:r>
              <w:rPr>
                <w:rFonts w:hint="eastAsia"/>
              </w:rPr>
              <w:t xml:space="preserve">央行票据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3 </w:t>
            </w:r>
          </w:p>
        </w:tc>
        <w:tc>
          <w:tcPr>
            <w:tcW w:w="2925" w:type="dxa"/>
            <w:shd w:val="clear" w:color="auto" w:fill="auto"/>
          </w:tcPr>
          <w:p>
            <w:pPr>
              <w:pStyle w:val="7"/>
            </w:pPr>
            <w:r>
              <w:rPr>
                <w:rFonts w:hint="eastAsia"/>
              </w:rPr>
              <w:t xml:space="preserve">金融债券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rPr>
                <w:rFonts w:ascii="宋体" w:hAnsi="宋体" w:eastAsia="宋体" w:cs="宋体"/>
                <w:sz w:val="24"/>
                <w:szCs w:val="24"/>
              </w:rPr>
            </w:pPr>
          </w:p>
        </w:tc>
        <w:tc>
          <w:tcPr>
            <w:tcW w:w="2925" w:type="dxa"/>
            <w:shd w:val="clear" w:color="auto" w:fill="auto"/>
          </w:tcPr>
          <w:p>
            <w:pPr>
              <w:pStyle w:val="7"/>
            </w:pPr>
            <w:r>
              <w:rPr>
                <w:rFonts w:hint="eastAsia"/>
              </w:rPr>
              <w:t xml:space="preserve">其中：政策性金融债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4 </w:t>
            </w:r>
          </w:p>
        </w:tc>
        <w:tc>
          <w:tcPr>
            <w:tcW w:w="2925" w:type="dxa"/>
            <w:shd w:val="clear" w:color="auto" w:fill="auto"/>
          </w:tcPr>
          <w:p>
            <w:pPr>
              <w:pStyle w:val="7"/>
            </w:pPr>
            <w:r>
              <w:rPr>
                <w:rFonts w:hint="eastAsia"/>
              </w:rPr>
              <w:t xml:space="preserve">企业债券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5 </w:t>
            </w:r>
          </w:p>
        </w:tc>
        <w:tc>
          <w:tcPr>
            <w:tcW w:w="2925" w:type="dxa"/>
            <w:shd w:val="clear" w:color="auto" w:fill="auto"/>
          </w:tcPr>
          <w:p>
            <w:pPr>
              <w:pStyle w:val="7"/>
            </w:pPr>
            <w:r>
              <w:rPr>
                <w:rFonts w:hint="eastAsia"/>
              </w:rPr>
              <w:t xml:space="preserve">企业短期融资券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6 </w:t>
            </w:r>
          </w:p>
        </w:tc>
        <w:tc>
          <w:tcPr>
            <w:tcW w:w="2925" w:type="dxa"/>
            <w:shd w:val="clear" w:color="auto" w:fill="auto"/>
          </w:tcPr>
          <w:p>
            <w:pPr>
              <w:pStyle w:val="7"/>
            </w:pPr>
            <w:r>
              <w:rPr>
                <w:rFonts w:hint="eastAsia"/>
              </w:rPr>
              <w:t xml:space="preserve">中期票据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7 </w:t>
            </w:r>
          </w:p>
        </w:tc>
        <w:tc>
          <w:tcPr>
            <w:tcW w:w="2925" w:type="dxa"/>
            <w:shd w:val="clear" w:color="auto" w:fill="auto"/>
          </w:tcPr>
          <w:p>
            <w:pPr>
              <w:pStyle w:val="7"/>
            </w:pPr>
            <w:r>
              <w:rPr>
                <w:rFonts w:hint="eastAsia"/>
              </w:rPr>
              <w:t xml:space="preserve">可转债（可交换债） </w:t>
            </w:r>
          </w:p>
        </w:tc>
        <w:tc>
          <w:tcPr>
            <w:tcW w:w="3570" w:type="dxa"/>
            <w:shd w:val="clear" w:color="auto" w:fill="auto"/>
          </w:tcPr>
          <w:p>
            <w:pPr>
              <w:pStyle w:val="7"/>
              <w:jc w:val="right"/>
            </w:pPr>
            <w:r>
              <w:rPr>
                <w:rFonts w:hint="eastAsia"/>
              </w:rPr>
              <w:t xml:space="preserve">5,747,279.63 </w:t>
            </w:r>
          </w:p>
        </w:tc>
        <w:tc>
          <w:tcPr>
            <w:tcW w:w="2700" w:type="dxa"/>
            <w:shd w:val="clear" w:color="auto" w:fill="auto"/>
          </w:tcPr>
          <w:p>
            <w:pPr>
              <w:pStyle w:val="7"/>
              <w:jc w:val="right"/>
            </w:pPr>
            <w:r>
              <w:rPr>
                <w:rFonts w:hint="eastAsia"/>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8 </w:t>
            </w:r>
          </w:p>
        </w:tc>
        <w:tc>
          <w:tcPr>
            <w:tcW w:w="2925" w:type="dxa"/>
            <w:shd w:val="clear" w:color="auto" w:fill="auto"/>
          </w:tcPr>
          <w:p>
            <w:pPr>
              <w:pStyle w:val="7"/>
            </w:pPr>
            <w:r>
              <w:rPr>
                <w:rFonts w:hint="eastAsia"/>
              </w:rPr>
              <w:t xml:space="preserve">同业存单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9 </w:t>
            </w:r>
          </w:p>
        </w:tc>
        <w:tc>
          <w:tcPr>
            <w:tcW w:w="2925" w:type="dxa"/>
            <w:shd w:val="clear" w:color="auto" w:fill="auto"/>
          </w:tcPr>
          <w:p>
            <w:pPr>
              <w:pStyle w:val="7"/>
            </w:pPr>
            <w:r>
              <w:rPr>
                <w:rFonts w:hint="eastAsia"/>
              </w:rPr>
              <w:t xml:space="preserve">其他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10 </w:t>
            </w:r>
          </w:p>
        </w:tc>
        <w:tc>
          <w:tcPr>
            <w:tcW w:w="2925" w:type="dxa"/>
            <w:shd w:val="clear" w:color="auto" w:fill="auto"/>
          </w:tcPr>
          <w:p>
            <w:pPr>
              <w:pStyle w:val="7"/>
            </w:pPr>
            <w:r>
              <w:rPr>
                <w:rFonts w:hint="eastAsia"/>
              </w:rPr>
              <w:t xml:space="preserve">合计 </w:t>
            </w:r>
          </w:p>
        </w:tc>
        <w:tc>
          <w:tcPr>
            <w:tcW w:w="3570" w:type="dxa"/>
            <w:shd w:val="clear" w:color="auto" w:fill="auto"/>
          </w:tcPr>
          <w:p>
            <w:pPr>
              <w:pStyle w:val="7"/>
              <w:jc w:val="right"/>
            </w:pPr>
            <w:r>
              <w:rPr>
                <w:rFonts w:hint="eastAsia"/>
              </w:rPr>
              <w:t xml:space="preserve">5,747,279.63 </w:t>
            </w:r>
          </w:p>
        </w:tc>
        <w:tc>
          <w:tcPr>
            <w:tcW w:w="2700" w:type="dxa"/>
            <w:shd w:val="clear" w:color="auto" w:fill="auto"/>
          </w:tcPr>
          <w:p>
            <w:pPr>
              <w:pStyle w:val="7"/>
              <w:jc w:val="right"/>
            </w:pPr>
            <w:r>
              <w:rPr>
                <w:rFonts w:hint="eastAsia"/>
              </w:rPr>
              <w:t xml:space="preserve">0.54 </w:t>
            </w:r>
          </w:p>
        </w:tc>
      </w:tr>
    </w:tbl>
    <w:p>
      <w:pPr>
        <w:pStyle w:val="7"/>
        <w:spacing w:before="0" w:beforeAutospacing="0" w:after="0" w:afterAutospacing="0" w:line="360" w:lineRule="auto"/>
        <w:ind w:firstLine="420"/>
        <w:rPr>
          <w:sz w:val="21"/>
          <w:szCs w:val="21"/>
        </w:rPr>
      </w:pPr>
      <w:r>
        <w:rPr>
          <w:rFonts w:hint="eastAsia"/>
          <w:b/>
          <w:bCs/>
          <w:sz w:val="21"/>
          <w:szCs w:val="21"/>
        </w:rPr>
        <w:t>5 报告期末按公允价值占基金资产净值比例大小排序的前五名债券投资明细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391"/>
        <w:gridCol w:w="1595"/>
        <w:gridCol w:w="1570"/>
        <w:gridCol w:w="1962"/>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1575" w:type="dxa"/>
            <w:shd w:val="clear" w:color="auto" w:fill="auto"/>
          </w:tcPr>
          <w:p>
            <w:pPr>
              <w:pStyle w:val="7"/>
              <w:jc w:val="center"/>
            </w:pPr>
            <w:r>
              <w:rPr>
                <w:rFonts w:hint="eastAsia"/>
              </w:rPr>
              <w:t xml:space="preserve">债券代码 </w:t>
            </w:r>
          </w:p>
        </w:tc>
        <w:tc>
          <w:tcPr>
            <w:tcW w:w="2055" w:type="dxa"/>
            <w:shd w:val="clear" w:color="auto" w:fill="auto"/>
          </w:tcPr>
          <w:p>
            <w:pPr>
              <w:pStyle w:val="7"/>
              <w:jc w:val="center"/>
            </w:pPr>
            <w:r>
              <w:rPr>
                <w:rFonts w:hint="eastAsia"/>
              </w:rPr>
              <w:t xml:space="preserve">债券名称 </w:t>
            </w:r>
          </w:p>
        </w:tc>
        <w:tc>
          <w:tcPr>
            <w:tcW w:w="1875" w:type="dxa"/>
            <w:shd w:val="clear" w:color="auto" w:fill="auto"/>
          </w:tcPr>
          <w:p>
            <w:pPr>
              <w:pStyle w:val="7"/>
              <w:jc w:val="center"/>
            </w:pPr>
            <w:r>
              <w:rPr>
                <w:rFonts w:hint="eastAsia"/>
              </w:rPr>
              <w:t xml:space="preserve">数量(张) </w:t>
            </w:r>
          </w:p>
        </w:tc>
        <w:tc>
          <w:tcPr>
            <w:tcW w:w="2085" w:type="dxa"/>
            <w:shd w:val="clear" w:color="auto" w:fill="auto"/>
          </w:tcPr>
          <w:p>
            <w:pPr>
              <w:pStyle w:val="7"/>
              <w:jc w:val="center"/>
            </w:pPr>
            <w:r>
              <w:rPr>
                <w:rFonts w:hint="eastAsia"/>
              </w:rPr>
              <w:t xml:space="preserve">公允价值(元) </w:t>
            </w:r>
          </w:p>
        </w:tc>
        <w:tc>
          <w:tcPr>
            <w:tcW w:w="160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1575" w:type="dxa"/>
            <w:shd w:val="clear" w:color="auto" w:fill="auto"/>
          </w:tcPr>
          <w:p>
            <w:pPr>
              <w:pStyle w:val="7"/>
              <w:jc w:val="center"/>
            </w:pPr>
            <w:r>
              <w:rPr>
                <w:rFonts w:hint="eastAsia"/>
              </w:rPr>
              <w:t xml:space="preserve">113548 </w:t>
            </w:r>
          </w:p>
        </w:tc>
        <w:tc>
          <w:tcPr>
            <w:tcW w:w="2055" w:type="dxa"/>
            <w:shd w:val="clear" w:color="auto" w:fill="auto"/>
          </w:tcPr>
          <w:p>
            <w:pPr>
              <w:pStyle w:val="7"/>
              <w:jc w:val="center"/>
            </w:pPr>
            <w:r>
              <w:rPr>
                <w:rFonts w:hint="eastAsia"/>
              </w:rPr>
              <w:t xml:space="preserve">石英转债 </w:t>
            </w:r>
          </w:p>
        </w:tc>
        <w:tc>
          <w:tcPr>
            <w:tcW w:w="1875" w:type="dxa"/>
            <w:shd w:val="clear" w:color="auto" w:fill="auto"/>
          </w:tcPr>
          <w:p>
            <w:pPr>
              <w:pStyle w:val="7"/>
              <w:jc w:val="right"/>
            </w:pPr>
            <w:r>
              <w:rPr>
                <w:rFonts w:hint="eastAsia"/>
              </w:rPr>
              <w:t xml:space="preserve">6,150 </w:t>
            </w:r>
          </w:p>
        </w:tc>
        <w:tc>
          <w:tcPr>
            <w:tcW w:w="2085" w:type="dxa"/>
            <w:shd w:val="clear" w:color="auto" w:fill="auto"/>
          </w:tcPr>
          <w:p>
            <w:pPr>
              <w:pStyle w:val="7"/>
              <w:jc w:val="right"/>
            </w:pPr>
            <w:r>
              <w:rPr>
                <w:rFonts w:hint="eastAsia"/>
              </w:rPr>
              <w:t xml:space="preserve">5,747,279.63 </w:t>
            </w:r>
          </w:p>
        </w:tc>
        <w:tc>
          <w:tcPr>
            <w:tcW w:w="1605" w:type="dxa"/>
            <w:shd w:val="clear" w:color="auto" w:fill="auto"/>
          </w:tcPr>
          <w:p>
            <w:pPr>
              <w:pStyle w:val="7"/>
              <w:jc w:val="right"/>
            </w:pPr>
            <w:r>
              <w:rPr>
                <w:rFonts w:hint="eastAsia"/>
              </w:rPr>
              <w:t xml:space="preserve">0.54 </w:t>
            </w:r>
          </w:p>
        </w:tc>
      </w:tr>
    </w:tbl>
    <w:p>
      <w:pPr>
        <w:pStyle w:val="7"/>
        <w:spacing w:before="0" w:beforeAutospacing="0" w:after="0" w:afterAutospacing="0" w:line="360" w:lineRule="auto"/>
        <w:ind w:firstLine="420"/>
        <w:rPr>
          <w:sz w:val="21"/>
          <w:szCs w:val="21"/>
        </w:rPr>
      </w:pPr>
      <w:r>
        <w:rPr>
          <w:rFonts w:hint="eastAsia"/>
          <w:b/>
          <w:bCs/>
          <w:sz w:val="21"/>
          <w:szCs w:val="21"/>
        </w:rPr>
        <w:t>6 报告期末按公允价值占基金资产净值比例大小排序的前十名资产支持证券投资明细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b/>
          <w:bCs/>
          <w:sz w:val="21"/>
          <w:szCs w:val="21"/>
        </w:rPr>
        <w:t>7 报告期末按公允价值占基金资产净值比例大小排序的前五名贵金属投资明细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b/>
          <w:bCs/>
          <w:sz w:val="21"/>
          <w:szCs w:val="21"/>
        </w:rPr>
        <w:t>8报告期末按公允价值占基金资产净值比例大小排序的前五名权证投资明细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b/>
          <w:bCs/>
          <w:sz w:val="21"/>
          <w:szCs w:val="21"/>
        </w:rPr>
        <w:t>9报告期末本基金投资的股指期货交易情况说明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b/>
          <w:bCs/>
          <w:sz w:val="21"/>
          <w:szCs w:val="21"/>
        </w:rPr>
        <w:t>10报告期末本基金投资的国债期货交易情况说明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b/>
          <w:bCs/>
          <w:sz w:val="21"/>
          <w:szCs w:val="21"/>
        </w:rPr>
        <w:t>11投资组合报告附注</w:t>
      </w:r>
    </w:p>
    <w:p>
      <w:pPr>
        <w:pStyle w:val="7"/>
        <w:spacing w:before="0" w:beforeAutospacing="0" w:after="0" w:afterAutospacing="0" w:line="360" w:lineRule="auto"/>
        <w:ind w:firstLine="420"/>
        <w:rPr>
          <w:sz w:val="21"/>
          <w:szCs w:val="21"/>
        </w:rPr>
      </w:pPr>
      <w:r>
        <w:rPr>
          <w:rFonts w:hint="eastAsia"/>
          <w:b/>
          <w:bCs/>
          <w:sz w:val="21"/>
          <w:szCs w:val="21"/>
        </w:rPr>
        <w:t>11.1基金投资前十名证券的发行主体被监管部门立案调查或编制日前一年内受到公开谴责、处罚的投资决策程序说明</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b/>
          <w:bCs/>
          <w:sz w:val="21"/>
          <w:szCs w:val="21"/>
        </w:rPr>
        <w:t>11.2报告期内基金投资的前十名股票中，没有投资超出基金合同规定备选股票库之外的股票。</w:t>
      </w:r>
    </w:p>
    <w:p>
      <w:pPr>
        <w:pStyle w:val="7"/>
        <w:spacing w:before="0" w:beforeAutospacing="0" w:after="0" w:afterAutospacing="0" w:line="360" w:lineRule="auto"/>
        <w:ind w:firstLine="420"/>
        <w:rPr>
          <w:sz w:val="21"/>
          <w:szCs w:val="21"/>
        </w:rPr>
      </w:pPr>
      <w:r>
        <w:rPr>
          <w:rFonts w:hint="eastAsia"/>
          <w:b/>
          <w:bCs/>
          <w:sz w:val="21"/>
          <w:szCs w:val="21"/>
        </w:rPr>
        <w:t>11.3其他资产构成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3788"/>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4605" w:type="dxa"/>
            <w:shd w:val="clear" w:color="auto" w:fill="auto"/>
          </w:tcPr>
          <w:p>
            <w:pPr>
              <w:pStyle w:val="7"/>
              <w:jc w:val="center"/>
            </w:pPr>
            <w:r>
              <w:rPr>
                <w:rFonts w:hint="eastAsia"/>
              </w:rPr>
              <w:t xml:space="preserve">名称 </w:t>
            </w:r>
          </w:p>
        </w:tc>
        <w:tc>
          <w:tcPr>
            <w:tcW w:w="4605"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4605" w:type="dxa"/>
            <w:shd w:val="clear" w:color="auto" w:fill="auto"/>
          </w:tcPr>
          <w:p>
            <w:pPr>
              <w:pStyle w:val="7"/>
            </w:pPr>
            <w:r>
              <w:rPr>
                <w:rFonts w:hint="eastAsia"/>
              </w:rPr>
              <w:t xml:space="preserve">存出保证金 </w:t>
            </w:r>
          </w:p>
        </w:tc>
        <w:tc>
          <w:tcPr>
            <w:tcW w:w="4605" w:type="dxa"/>
            <w:shd w:val="clear" w:color="auto" w:fill="auto"/>
          </w:tcPr>
          <w:p>
            <w:pPr>
              <w:pStyle w:val="7"/>
              <w:jc w:val="right"/>
            </w:pPr>
            <w:r>
              <w:rPr>
                <w:rFonts w:hint="eastAsia"/>
              </w:rPr>
              <w:t xml:space="preserve">227,627.41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2 </w:t>
            </w:r>
          </w:p>
        </w:tc>
        <w:tc>
          <w:tcPr>
            <w:tcW w:w="4605" w:type="dxa"/>
            <w:shd w:val="clear" w:color="auto" w:fill="auto"/>
          </w:tcPr>
          <w:p>
            <w:pPr>
              <w:pStyle w:val="7"/>
            </w:pPr>
            <w:r>
              <w:rPr>
                <w:rFonts w:hint="eastAsia"/>
              </w:rPr>
              <w:t xml:space="preserve">应收证券清算款 </w:t>
            </w:r>
          </w:p>
        </w:tc>
        <w:tc>
          <w:tcPr>
            <w:tcW w:w="4605" w:type="dxa"/>
            <w:shd w:val="clear" w:color="auto" w:fill="auto"/>
          </w:tcPr>
          <w:p>
            <w:pPr>
              <w:pStyle w:val="7"/>
              <w:jc w:val="right"/>
            </w:pPr>
            <w:r>
              <w:rPr>
                <w:rFonts w:hint="eastAsia"/>
              </w:rPr>
              <w:t xml:space="preserve">52,335,097.79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3 </w:t>
            </w:r>
          </w:p>
        </w:tc>
        <w:tc>
          <w:tcPr>
            <w:tcW w:w="4605" w:type="dxa"/>
            <w:shd w:val="clear" w:color="auto" w:fill="auto"/>
          </w:tcPr>
          <w:p>
            <w:pPr>
              <w:pStyle w:val="7"/>
            </w:pPr>
            <w:r>
              <w:rPr>
                <w:rFonts w:hint="eastAsia"/>
              </w:rPr>
              <w:t xml:space="preserve">应收股利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4 </w:t>
            </w:r>
          </w:p>
        </w:tc>
        <w:tc>
          <w:tcPr>
            <w:tcW w:w="4605" w:type="dxa"/>
            <w:shd w:val="clear" w:color="auto" w:fill="auto"/>
          </w:tcPr>
          <w:p>
            <w:pPr>
              <w:pStyle w:val="7"/>
            </w:pPr>
            <w:r>
              <w:rPr>
                <w:rFonts w:hint="eastAsia"/>
              </w:rPr>
              <w:t xml:space="preserve">应收利息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5 </w:t>
            </w:r>
          </w:p>
        </w:tc>
        <w:tc>
          <w:tcPr>
            <w:tcW w:w="4605" w:type="dxa"/>
            <w:shd w:val="clear" w:color="auto" w:fill="auto"/>
          </w:tcPr>
          <w:p>
            <w:pPr>
              <w:pStyle w:val="7"/>
            </w:pPr>
            <w:r>
              <w:rPr>
                <w:rFonts w:hint="eastAsia"/>
              </w:rPr>
              <w:t xml:space="preserve">应收申购款 </w:t>
            </w:r>
          </w:p>
        </w:tc>
        <w:tc>
          <w:tcPr>
            <w:tcW w:w="4605" w:type="dxa"/>
            <w:shd w:val="clear" w:color="auto" w:fill="auto"/>
          </w:tcPr>
          <w:p>
            <w:pPr>
              <w:pStyle w:val="7"/>
              <w:jc w:val="right"/>
            </w:pPr>
            <w:r>
              <w:rPr>
                <w:rFonts w:hint="eastAsia"/>
              </w:rPr>
              <w:t xml:space="preserve">135,523.14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6 </w:t>
            </w:r>
          </w:p>
        </w:tc>
        <w:tc>
          <w:tcPr>
            <w:tcW w:w="4605" w:type="dxa"/>
            <w:shd w:val="clear" w:color="auto" w:fill="auto"/>
          </w:tcPr>
          <w:p>
            <w:pPr>
              <w:pStyle w:val="7"/>
            </w:pPr>
            <w:r>
              <w:rPr>
                <w:rFonts w:hint="eastAsia"/>
              </w:rPr>
              <w:t xml:space="preserve">其他应收款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7 </w:t>
            </w:r>
          </w:p>
        </w:tc>
        <w:tc>
          <w:tcPr>
            <w:tcW w:w="4605" w:type="dxa"/>
            <w:shd w:val="clear" w:color="auto" w:fill="auto"/>
          </w:tcPr>
          <w:p>
            <w:pPr>
              <w:pStyle w:val="7"/>
            </w:pPr>
            <w:r>
              <w:rPr>
                <w:rFonts w:hint="eastAsia"/>
              </w:rPr>
              <w:t xml:space="preserve">待摊费用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8 </w:t>
            </w:r>
          </w:p>
        </w:tc>
        <w:tc>
          <w:tcPr>
            <w:tcW w:w="4605" w:type="dxa"/>
            <w:shd w:val="clear" w:color="auto" w:fill="auto"/>
          </w:tcPr>
          <w:p>
            <w:pPr>
              <w:pStyle w:val="7"/>
            </w:pPr>
            <w:r>
              <w:rPr>
                <w:rFonts w:hint="eastAsia"/>
              </w:rPr>
              <w:t xml:space="preserve">其他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9 </w:t>
            </w:r>
          </w:p>
        </w:tc>
        <w:tc>
          <w:tcPr>
            <w:tcW w:w="4605" w:type="dxa"/>
            <w:shd w:val="clear" w:color="auto" w:fill="auto"/>
          </w:tcPr>
          <w:p>
            <w:pPr>
              <w:pStyle w:val="7"/>
            </w:pPr>
            <w:r>
              <w:rPr>
                <w:rFonts w:hint="eastAsia"/>
              </w:rPr>
              <w:t xml:space="preserve">合计 </w:t>
            </w:r>
          </w:p>
        </w:tc>
        <w:tc>
          <w:tcPr>
            <w:tcW w:w="4605" w:type="dxa"/>
            <w:shd w:val="clear" w:color="auto" w:fill="auto"/>
          </w:tcPr>
          <w:p>
            <w:pPr>
              <w:pStyle w:val="7"/>
              <w:jc w:val="right"/>
            </w:pPr>
            <w:r>
              <w:rPr>
                <w:rFonts w:hint="eastAsia"/>
              </w:rPr>
              <w:t xml:space="preserve">52,698,248.34 </w:t>
            </w:r>
          </w:p>
        </w:tc>
      </w:tr>
    </w:tbl>
    <w:p>
      <w:pPr>
        <w:pStyle w:val="7"/>
        <w:spacing w:before="0" w:beforeAutospacing="0" w:after="0" w:afterAutospacing="0" w:line="360" w:lineRule="auto"/>
        <w:ind w:firstLine="420"/>
        <w:rPr>
          <w:sz w:val="21"/>
          <w:szCs w:val="21"/>
        </w:rPr>
      </w:pPr>
      <w:r>
        <w:rPr>
          <w:rFonts w:hint="eastAsia"/>
          <w:b/>
          <w:bCs/>
          <w:sz w:val="21"/>
          <w:szCs w:val="21"/>
        </w:rPr>
        <w:t>11.4报告期末持有的处于转股期的可转换债券明细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451"/>
        <w:gridCol w:w="1288"/>
        <w:gridCol w:w="2657"/>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1620" w:type="dxa"/>
            <w:shd w:val="clear" w:color="auto" w:fill="auto"/>
          </w:tcPr>
          <w:p>
            <w:pPr>
              <w:pStyle w:val="7"/>
              <w:jc w:val="center"/>
            </w:pPr>
            <w:r>
              <w:rPr>
                <w:rFonts w:hint="eastAsia"/>
              </w:rPr>
              <w:t xml:space="preserve">债券代码 </w:t>
            </w:r>
          </w:p>
        </w:tc>
        <w:tc>
          <w:tcPr>
            <w:tcW w:w="1560" w:type="dxa"/>
            <w:shd w:val="clear" w:color="auto" w:fill="auto"/>
          </w:tcPr>
          <w:p>
            <w:pPr>
              <w:pStyle w:val="7"/>
              <w:jc w:val="center"/>
            </w:pPr>
            <w:r>
              <w:rPr>
                <w:rFonts w:hint="eastAsia"/>
              </w:rPr>
              <w:t xml:space="preserve">债券名称 </w:t>
            </w:r>
          </w:p>
        </w:tc>
        <w:tc>
          <w:tcPr>
            <w:tcW w:w="2985" w:type="dxa"/>
            <w:shd w:val="clear" w:color="auto" w:fill="auto"/>
          </w:tcPr>
          <w:p>
            <w:pPr>
              <w:pStyle w:val="7"/>
              <w:jc w:val="center"/>
            </w:pPr>
            <w:r>
              <w:rPr>
                <w:rFonts w:hint="eastAsia"/>
              </w:rPr>
              <w:t xml:space="preserve">公允价值(元) </w:t>
            </w:r>
          </w:p>
        </w:tc>
        <w:tc>
          <w:tcPr>
            <w:tcW w:w="303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1620" w:type="dxa"/>
            <w:shd w:val="clear" w:color="auto" w:fill="auto"/>
          </w:tcPr>
          <w:p>
            <w:pPr>
              <w:pStyle w:val="7"/>
              <w:jc w:val="center"/>
            </w:pPr>
            <w:r>
              <w:rPr>
                <w:rFonts w:hint="eastAsia"/>
              </w:rPr>
              <w:t xml:space="preserve">113548 </w:t>
            </w:r>
          </w:p>
        </w:tc>
        <w:tc>
          <w:tcPr>
            <w:tcW w:w="1560" w:type="dxa"/>
            <w:shd w:val="clear" w:color="auto" w:fill="auto"/>
          </w:tcPr>
          <w:p>
            <w:pPr>
              <w:pStyle w:val="7"/>
              <w:jc w:val="center"/>
            </w:pPr>
            <w:r>
              <w:rPr>
                <w:rFonts w:hint="eastAsia"/>
              </w:rPr>
              <w:t xml:space="preserve">石英转债 </w:t>
            </w:r>
          </w:p>
        </w:tc>
        <w:tc>
          <w:tcPr>
            <w:tcW w:w="2985" w:type="dxa"/>
            <w:shd w:val="clear" w:color="auto" w:fill="auto"/>
          </w:tcPr>
          <w:p>
            <w:pPr>
              <w:pStyle w:val="7"/>
              <w:jc w:val="right"/>
            </w:pPr>
            <w:r>
              <w:rPr>
                <w:rFonts w:hint="eastAsia"/>
              </w:rPr>
              <w:t xml:space="preserve">5,747,279.63 </w:t>
            </w:r>
          </w:p>
        </w:tc>
        <w:tc>
          <w:tcPr>
            <w:tcW w:w="3030" w:type="dxa"/>
            <w:shd w:val="clear" w:color="auto" w:fill="auto"/>
          </w:tcPr>
          <w:p>
            <w:pPr>
              <w:pStyle w:val="7"/>
              <w:jc w:val="right"/>
            </w:pPr>
            <w:r>
              <w:rPr>
                <w:rFonts w:hint="eastAsia"/>
              </w:rPr>
              <w:t xml:space="preserve">0.54 </w:t>
            </w:r>
          </w:p>
        </w:tc>
      </w:tr>
    </w:tbl>
    <w:p>
      <w:pPr>
        <w:pStyle w:val="7"/>
        <w:spacing w:before="0" w:beforeAutospacing="0" w:after="0" w:afterAutospacing="0" w:line="360" w:lineRule="auto"/>
        <w:ind w:firstLine="420"/>
        <w:rPr>
          <w:sz w:val="21"/>
          <w:szCs w:val="21"/>
        </w:rPr>
      </w:pPr>
      <w:r>
        <w:rPr>
          <w:rFonts w:hint="eastAsia"/>
          <w:b/>
          <w:bCs/>
          <w:sz w:val="21"/>
          <w:szCs w:val="21"/>
        </w:rPr>
        <w:t>11.5报告期末前十名股票中存在流通受限情况的说明</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437"/>
        <w:gridCol w:w="1264"/>
        <w:gridCol w:w="2212"/>
        <w:gridCol w:w="157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1620" w:type="dxa"/>
            <w:shd w:val="clear" w:color="auto" w:fill="auto"/>
          </w:tcPr>
          <w:p>
            <w:pPr>
              <w:pStyle w:val="7"/>
              <w:jc w:val="center"/>
            </w:pPr>
            <w:r>
              <w:rPr>
                <w:rFonts w:hint="eastAsia"/>
              </w:rPr>
              <w:t xml:space="preserve">股票代码 </w:t>
            </w:r>
          </w:p>
        </w:tc>
        <w:tc>
          <w:tcPr>
            <w:tcW w:w="1560" w:type="dxa"/>
            <w:shd w:val="clear" w:color="auto" w:fill="auto"/>
          </w:tcPr>
          <w:p>
            <w:pPr>
              <w:pStyle w:val="7"/>
              <w:jc w:val="center"/>
            </w:pPr>
            <w:r>
              <w:rPr>
                <w:rFonts w:hint="eastAsia"/>
              </w:rPr>
              <w:t xml:space="preserve">股票名称 </w:t>
            </w:r>
          </w:p>
        </w:tc>
        <w:tc>
          <w:tcPr>
            <w:tcW w:w="2415" w:type="dxa"/>
            <w:shd w:val="clear" w:color="auto" w:fill="auto"/>
          </w:tcPr>
          <w:p>
            <w:pPr>
              <w:pStyle w:val="7"/>
              <w:jc w:val="center"/>
            </w:pPr>
            <w:r>
              <w:rPr>
                <w:rFonts w:hint="eastAsia"/>
              </w:rPr>
              <w:t xml:space="preserve">流通受限部分的公允价值(元) </w:t>
            </w:r>
          </w:p>
        </w:tc>
        <w:tc>
          <w:tcPr>
            <w:tcW w:w="1890" w:type="dxa"/>
            <w:shd w:val="clear" w:color="auto" w:fill="auto"/>
          </w:tcPr>
          <w:p>
            <w:pPr>
              <w:pStyle w:val="7"/>
              <w:jc w:val="center"/>
            </w:pPr>
            <w:r>
              <w:rPr>
                <w:rFonts w:hint="eastAsia"/>
              </w:rPr>
              <w:t xml:space="preserve">占基金资产净值比例(%) </w:t>
            </w:r>
          </w:p>
        </w:tc>
        <w:tc>
          <w:tcPr>
            <w:tcW w:w="1710" w:type="dxa"/>
            <w:shd w:val="clear" w:color="auto" w:fill="auto"/>
          </w:tcPr>
          <w:p>
            <w:pPr>
              <w:pStyle w:val="7"/>
              <w:jc w:val="center"/>
            </w:pPr>
            <w:r>
              <w:rPr>
                <w:rFonts w:hint="eastAsia"/>
              </w:rPr>
              <w:t xml:space="preserve">流通受限情况说明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1620" w:type="dxa"/>
            <w:shd w:val="clear" w:color="auto" w:fill="auto"/>
          </w:tcPr>
          <w:p>
            <w:pPr>
              <w:pStyle w:val="7"/>
              <w:jc w:val="center"/>
            </w:pPr>
            <w:r>
              <w:rPr>
                <w:rFonts w:hint="eastAsia"/>
              </w:rPr>
              <w:t xml:space="preserve">002459 </w:t>
            </w:r>
          </w:p>
        </w:tc>
        <w:tc>
          <w:tcPr>
            <w:tcW w:w="1560" w:type="dxa"/>
            <w:shd w:val="clear" w:color="auto" w:fill="auto"/>
          </w:tcPr>
          <w:p>
            <w:pPr>
              <w:pStyle w:val="7"/>
              <w:jc w:val="center"/>
            </w:pPr>
            <w:r>
              <w:rPr>
                <w:rFonts w:hint="eastAsia"/>
              </w:rPr>
              <w:t xml:space="preserve">晶澳科技 </w:t>
            </w:r>
          </w:p>
        </w:tc>
        <w:tc>
          <w:tcPr>
            <w:tcW w:w="2415" w:type="dxa"/>
            <w:shd w:val="clear" w:color="auto" w:fill="auto"/>
          </w:tcPr>
          <w:p>
            <w:pPr>
              <w:pStyle w:val="7"/>
              <w:jc w:val="right"/>
            </w:pPr>
            <w:r>
              <w:rPr>
                <w:rFonts w:hint="eastAsia"/>
              </w:rPr>
              <w:t xml:space="preserve">6,771,129.75 </w:t>
            </w:r>
          </w:p>
        </w:tc>
        <w:tc>
          <w:tcPr>
            <w:tcW w:w="1890" w:type="dxa"/>
            <w:shd w:val="clear" w:color="auto" w:fill="auto"/>
          </w:tcPr>
          <w:p>
            <w:pPr>
              <w:pStyle w:val="7"/>
              <w:jc w:val="right"/>
            </w:pPr>
            <w:r>
              <w:rPr>
                <w:rFonts w:hint="eastAsia"/>
              </w:rPr>
              <w:t xml:space="preserve">0.64 </w:t>
            </w:r>
          </w:p>
        </w:tc>
        <w:tc>
          <w:tcPr>
            <w:tcW w:w="1710" w:type="dxa"/>
            <w:shd w:val="clear" w:color="auto" w:fill="auto"/>
          </w:tcPr>
          <w:p>
            <w:pPr>
              <w:pStyle w:val="7"/>
              <w:jc w:val="right"/>
            </w:pPr>
            <w:r>
              <w:rPr>
                <w:rFonts w:hint="eastAsia"/>
              </w:rPr>
              <w:t xml:space="preserve">非公开发行限售 </w:t>
            </w:r>
          </w:p>
        </w:tc>
      </w:tr>
    </w:tbl>
    <w:p>
      <w:pPr>
        <w:pStyle w:val="7"/>
        <w:spacing w:before="0" w:beforeAutospacing="0" w:after="0" w:afterAutospacing="0" w:line="360" w:lineRule="auto"/>
        <w:ind w:firstLine="420"/>
        <w:rPr>
          <w:sz w:val="21"/>
          <w:szCs w:val="21"/>
        </w:rPr>
      </w:pPr>
      <w:r>
        <w:rPr>
          <w:rFonts w:hint="eastAsia"/>
          <w:b/>
          <w:bCs/>
          <w:sz w:val="21"/>
          <w:szCs w:val="21"/>
        </w:rPr>
        <w:t>11.6投资组合报告附注的其他文字描述部分</w:t>
      </w:r>
    </w:p>
    <w:p>
      <w:pPr>
        <w:pStyle w:val="7"/>
        <w:spacing w:before="0" w:beforeAutospacing="0" w:after="0" w:afterAutospacing="0" w:line="360" w:lineRule="auto"/>
        <w:ind w:firstLine="420"/>
        <w:rPr>
          <w:sz w:val="21"/>
          <w:szCs w:val="21"/>
        </w:rPr>
      </w:pPr>
      <w:bookmarkStart w:id="141" w:name="chapter_level1_13_60_section_6_end"/>
      <w:bookmarkEnd w:id="141"/>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2" w:name="_Toc113453358"/>
      <w:bookmarkStart w:id="143" w:name="chapter_level1_14_3500"/>
      <w:r>
        <w:rPr>
          <w:rFonts w:hint="eastAsia" w:ascii="宋体" w:hAnsi="宋体" w:eastAsia="宋体"/>
          <w:sz w:val="30"/>
        </w:rPr>
        <w:t>十一、基金的业绩</w:t>
      </w:r>
      <w:bookmarkEnd w:id="142"/>
      <w:bookmarkEnd w:id="143"/>
    </w:p>
    <w:p>
      <w:pPr>
        <w:pStyle w:val="7"/>
        <w:spacing w:before="0" w:beforeAutospacing="0" w:after="0" w:afterAutospacing="0" w:line="360" w:lineRule="auto"/>
        <w:ind w:firstLine="420"/>
        <w:rPr>
          <w:sz w:val="21"/>
          <w:szCs w:val="21"/>
        </w:rPr>
      </w:pPr>
      <w:bookmarkStart w:id="144" w:name="chapter_level1_14_3500_section_1"/>
      <w:bookmarkEnd w:id="144"/>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历史各时间段基金份额净值增长率及其与同期业绩比较基准收益率的比较： </w:t>
      </w:r>
    </w:p>
    <w:p>
      <w:pPr>
        <w:pStyle w:val="7"/>
        <w:spacing w:before="0" w:beforeAutospacing="0" w:after="0" w:afterAutospacing="0" w:line="360" w:lineRule="auto"/>
        <w:ind w:firstLine="420"/>
        <w:rPr>
          <w:sz w:val="21"/>
          <w:szCs w:val="21"/>
        </w:rPr>
      </w:pPr>
      <w:bookmarkStart w:id="145" w:name="field_0_indatatable_1_start"/>
      <w:bookmarkEnd w:id="145"/>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2007.04.12-2007.12.31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55.82%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54.32%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w:t>
            </w:r>
            <w:r>
              <w:rPr>
                <w:rFonts w:hint="eastAsia" w:ascii="宋体" w:hAnsi="宋体" w:eastAsia="宋体"/>
                <w:lang w:val="en-US" w:eastAsia="zh-CN"/>
              </w:rPr>
              <w:t>1</w:t>
            </w:r>
            <w:r>
              <w:rPr>
                <w:rFonts w:hint="eastAsia" w:ascii="宋体" w:hAnsi="宋体" w:eastAsia="宋体"/>
              </w:rPr>
              <w:t>%</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w:t>
            </w:r>
            <w:r>
              <w:rPr>
                <w:rFonts w:hint="eastAsia" w:ascii="宋体" w:hAnsi="宋体" w:eastAsia="宋体"/>
                <w:lang w:val="en-US" w:eastAsia="zh-CN"/>
              </w:rPr>
              <w:t>6</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2008.01.01-2008.12.31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-48.30%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-55.74%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2.44%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7.44%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2009.01.01-2009.12.31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69.37%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72.85%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-3.48%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2010.01.01-2010.12.31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-3.46%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-9.35%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5.89%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2011.01.01-2011.12.31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-19.41%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2012.01.01-2012.12.31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10.28%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6.87%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3.41%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2013.01.01-2013.12.31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3.75%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-6.22%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9.97%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2014.01.01-2014.12.31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22.16%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42.96%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-20.80%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2015.01.01-2015.12.31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20.72%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7.38%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13.34%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2016.01.01-2016.12.31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-21.30%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2.12%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-8.54%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2017.01.01-2017.12.31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16.89%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-15.33%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2018.01.01-2018.12.31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-29.60%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-19.05%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-10.55%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2019.01.01-2019.12.31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30.99%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29.45%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43.73%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22.51%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21.22%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-7.03%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-2.86%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-4.17%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2022.01.01-2022.06.30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-6.98%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-6.61%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2007.04.12-2022.06.30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63.11%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64.57%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0.21%</w:t>
            </w:r>
          </w:p>
        </w:tc>
      </w:tr>
    </w:tbl>
    <w:p>
      <w:pPr>
        <w:pStyle w:val="7"/>
        <w:spacing w:before="0" w:beforeAutospacing="0" w:after="0" w:afterAutospacing="0" w:line="360" w:lineRule="auto"/>
        <w:ind w:firstLine="420"/>
        <w:rPr>
          <w:sz w:val="21"/>
          <w:szCs w:val="21"/>
        </w:rPr>
      </w:pPr>
      <w:bookmarkStart w:id="146" w:name="field_0_indatatable_1_end"/>
      <w:bookmarkEnd w:id="146"/>
      <w:bookmarkStart w:id="147" w:name="chapter_level1_14_3500_section_1_end"/>
      <w:bookmarkEnd w:id="147"/>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8" w:name="chapter_level1_15_62"/>
      <w:bookmarkStart w:id="149" w:name="_Toc113453359"/>
      <w:r>
        <w:rPr>
          <w:rFonts w:hint="eastAsia" w:ascii="宋体" w:hAnsi="宋体" w:eastAsia="宋体"/>
          <w:sz w:val="30"/>
        </w:rPr>
        <w:t>十二、基金的财产</w:t>
      </w:r>
      <w:bookmarkEnd w:id="148"/>
      <w:bookmarkEnd w:id="149"/>
    </w:p>
    <w:p>
      <w:pPr>
        <w:pStyle w:val="7"/>
        <w:spacing w:before="0" w:beforeAutospacing="0" w:after="0" w:afterAutospacing="0" w:line="360" w:lineRule="auto"/>
        <w:ind w:firstLine="420"/>
        <w:rPr>
          <w:sz w:val="21"/>
          <w:szCs w:val="21"/>
        </w:rPr>
      </w:pPr>
      <w:bookmarkStart w:id="150" w:name="chapter_level1_15_62_section_1"/>
      <w:bookmarkEnd w:id="150"/>
      <w:r>
        <w:rPr>
          <w:rStyle w:val="11"/>
          <w:rFonts w:hint="eastAsia"/>
          <w:sz w:val="21"/>
          <w:szCs w:val="21"/>
        </w:rPr>
        <w:t>（一）基金资产的总值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Fonts w:hint="eastAsia"/>
          <w:sz w:val="21"/>
          <w:szCs w:val="21"/>
        </w:rPr>
        <w:t xml:space="preserve">其构成主要有： </w:t>
      </w:r>
    </w:p>
    <w:p>
      <w:pPr>
        <w:pStyle w:val="7"/>
        <w:spacing w:before="0" w:beforeAutospacing="0" w:after="0" w:afterAutospacing="0" w:line="360" w:lineRule="auto"/>
        <w:ind w:firstLine="420"/>
        <w:rPr>
          <w:sz w:val="21"/>
          <w:szCs w:val="21"/>
        </w:rPr>
      </w:pPr>
      <w:r>
        <w:rPr>
          <w:rFonts w:hint="eastAsia"/>
          <w:sz w:val="21"/>
          <w:szCs w:val="21"/>
        </w:rPr>
        <w:t xml:space="preserve">1、银行存款及其应计利息； </w:t>
      </w:r>
    </w:p>
    <w:p>
      <w:pPr>
        <w:pStyle w:val="7"/>
        <w:spacing w:before="0" w:beforeAutospacing="0" w:after="0" w:afterAutospacing="0" w:line="360" w:lineRule="auto"/>
        <w:ind w:firstLine="420"/>
        <w:rPr>
          <w:sz w:val="21"/>
          <w:szCs w:val="21"/>
        </w:rPr>
      </w:pPr>
      <w:r>
        <w:rPr>
          <w:rFonts w:hint="eastAsia"/>
          <w:sz w:val="21"/>
          <w:szCs w:val="21"/>
        </w:rPr>
        <w:t xml:space="preserve">2、清算备付金及其应收利息； </w:t>
      </w:r>
    </w:p>
    <w:p>
      <w:pPr>
        <w:pStyle w:val="7"/>
        <w:spacing w:before="0" w:beforeAutospacing="0" w:after="0" w:afterAutospacing="0" w:line="360" w:lineRule="auto"/>
        <w:ind w:firstLine="420"/>
        <w:rPr>
          <w:sz w:val="21"/>
          <w:szCs w:val="21"/>
        </w:rPr>
      </w:pPr>
      <w:r>
        <w:rPr>
          <w:rFonts w:hint="eastAsia"/>
          <w:sz w:val="21"/>
          <w:szCs w:val="21"/>
        </w:rPr>
        <w:t xml:space="preserve">3、根据有关规定缴纳的保证金及其应收利息； </w:t>
      </w:r>
    </w:p>
    <w:p>
      <w:pPr>
        <w:pStyle w:val="7"/>
        <w:spacing w:before="0" w:beforeAutospacing="0" w:after="0" w:afterAutospacing="0" w:line="360" w:lineRule="auto"/>
        <w:ind w:firstLine="420"/>
        <w:rPr>
          <w:sz w:val="21"/>
          <w:szCs w:val="21"/>
        </w:rPr>
      </w:pPr>
      <w:r>
        <w:rPr>
          <w:rFonts w:hint="eastAsia"/>
          <w:sz w:val="21"/>
          <w:szCs w:val="21"/>
        </w:rPr>
        <w:t xml:space="preserve">4、应收证券交易清算款； </w:t>
      </w:r>
    </w:p>
    <w:p>
      <w:pPr>
        <w:pStyle w:val="7"/>
        <w:spacing w:before="0" w:beforeAutospacing="0" w:after="0" w:afterAutospacing="0" w:line="360" w:lineRule="auto"/>
        <w:ind w:firstLine="420"/>
        <w:rPr>
          <w:sz w:val="21"/>
          <w:szCs w:val="21"/>
        </w:rPr>
      </w:pPr>
      <w:r>
        <w:rPr>
          <w:rFonts w:hint="eastAsia"/>
          <w:sz w:val="21"/>
          <w:szCs w:val="21"/>
        </w:rPr>
        <w:t xml:space="preserve">5、应收申购款； </w:t>
      </w:r>
    </w:p>
    <w:p>
      <w:pPr>
        <w:pStyle w:val="7"/>
        <w:spacing w:before="0" w:beforeAutospacing="0" w:after="0" w:afterAutospacing="0" w:line="360" w:lineRule="auto"/>
        <w:ind w:firstLine="420"/>
        <w:rPr>
          <w:sz w:val="21"/>
          <w:szCs w:val="21"/>
        </w:rPr>
      </w:pPr>
      <w:r>
        <w:rPr>
          <w:rFonts w:hint="eastAsia"/>
          <w:sz w:val="21"/>
          <w:szCs w:val="21"/>
        </w:rPr>
        <w:t xml:space="preserve">6、股票投资及其估值调整；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7、债券投资及其估值调整和应计利息； </w:t>
      </w:r>
    </w:p>
    <w:p>
      <w:pPr>
        <w:pStyle w:val="7"/>
        <w:spacing w:before="0" w:beforeAutospacing="0" w:after="0" w:afterAutospacing="0" w:line="360" w:lineRule="auto"/>
        <w:ind w:firstLine="420"/>
        <w:rPr>
          <w:sz w:val="21"/>
          <w:szCs w:val="21"/>
        </w:rPr>
      </w:pPr>
      <w:r>
        <w:rPr>
          <w:rFonts w:hint="eastAsia"/>
          <w:sz w:val="21"/>
          <w:szCs w:val="21"/>
        </w:rPr>
        <w:t xml:space="preserve">8、权证投资及其估值； </w:t>
      </w:r>
    </w:p>
    <w:p>
      <w:pPr>
        <w:pStyle w:val="7"/>
        <w:spacing w:before="0" w:beforeAutospacing="0" w:after="0" w:afterAutospacing="0" w:line="360" w:lineRule="auto"/>
        <w:ind w:firstLine="420"/>
        <w:rPr>
          <w:sz w:val="21"/>
          <w:szCs w:val="21"/>
        </w:rPr>
      </w:pPr>
      <w:r>
        <w:rPr>
          <w:rFonts w:hint="eastAsia"/>
          <w:sz w:val="21"/>
          <w:szCs w:val="21"/>
        </w:rPr>
        <w:t xml:space="preserve">9、其他投资及其估值调整；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10、其他资产等。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本基金以基金托管人的名义开立资金结算账户和托管专户用于基金的资金结算业务，并以基金托管人和“</w:t>
      </w:r>
      <w:bookmarkStart w:id="151" w:name="field_0_productfullname_12"/>
      <w:r>
        <w:rPr>
          <w:rFonts w:hint="eastAsia"/>
          <w:sz w:val="21"/>
          <w:szCs w:val="21"/>
        </w:rPr>
        <w:t>博时第三产业成长混合型证券投资基金</w:t>
      </w:r>
      <w:bookmarkEnd w:id="151"/>
      <w:r>
        <w:rPr>
          <w:rFonts w:hint="eastAsia"/>
          <w:sz w:val="21"/>
          <w:szCs w:val="21"/>
        </w:rPr>
        <w:t>”联名的方式开立基金证券账户、以“</w:t>
      </w:r>
      <w:bookmarkStart w:id="152" w:name="field_0_productfullname_13"/>
      <w:r>
        <w:rPr>
          <w:rFonts w:hint="eastAsia"/>
          <w:sz w:val="21"/>
          <w:szCs w:val="21"/>
        </w:rPr>
        <w:t>博时第三产业成长混合型证券投资基金</w:t>
      </w:r>
      <w:bookmarkEnd w:id="152"/>
      <w:r>
        <w:rPr>
          <w:rFonts w:hint="eastAsia"/>
          <w:sz w:val="21"/>
          <w:szCs w:val="21"/>
        </w:rPr>
        <w:t xml:space="preserve">”的名义开立银行间债券托管账户并报中国人民银行备案。开立的基金专用账户与基金管理人、基金托管人、基金销售代理人和登记机构自有的财产账户以及其他基金财产账户相独立。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（四）基金财产的保管与处分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登记机构和基金代销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基金管理人管理运作基金财产所产生的债权，不得与其固有资产产生的债务相互抵消；</w:t>
      </w:r>
      <w:bookmarkStart w:id="153" w:name="chapter_level1_15_62_section_1_end"/>
      <w:bookmarkEnd w:id="153"/>
      <w:r>
        <w:rPr>
          <w:rFonts w:hint="eastAsia"/>
          <w:sz w:val="21"/>
          <w:szCs w:val="21"/>
        </w:rPr>
        <w:t xml:space="preserve">基金管理人管理运作不同基金的基金财产所产生的债权债务不得相互抵消。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4" w:name="_Toc113453360"/>
      <w:bookmarkStart w:id="155" w:name="chapter_level1_16_63"/>
      <w:r>
        <w:rPr>
          <w:rFonts w:hint="eastAsia" w:ascii="宋体" w:hAnsi="宋体" w:eastAsia="宋体"/>
          <w:sz w:val="30"/>
        </w:rPr>
        <w:t>十三、基金资产的估值</w:t>
      </w:r>
      <w:bookmarkEnd w:id="154"/>
      <w:bookmarkEnd w:id="155"/>
    </w:p>
    <w:p>
      <w:pPr>
        <w:pStyle w:val="7"/>
        <w:spacing w:before="0" w:beforeAutospacing="0" w:after="0" w:afterAutospacing="0" w:line="360" w:lineRule="auto"/>
        <w:ind w:firstLine="420"/>
        <w:rPr>
          <w:sz w:val="21"/>
          <w:szCs w:val="21"/>
        </w:rPr>
      </w:pPr>
      <w:bookmarkStart w:id="156" w:name="chapter_level1_16_63_section_1"/>
      <w:bookmarkEnd w:id="156"/>
      <w:r>
        <w:rPr>
          <w:rStyle w:val="11"/>
          <w:rFonts w:hint="eastAsia"/>
          <w:sz w:val="21"/>
          <w:szCs w:val="21"/>
        </w:rPr>
        <w:t>（一）估值目的</w:t>
      </w:r>
    </w:p>
    <w:p>
      <w:pPr>
        <w:pStyle w:val="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pPr>
        <w:pStyle w:val="7"/>
        <w:spacing w:before="0" w:beforeAutospacing="0" w:after="0" w:afterAutospacing="0" w:line="360" w:lineRule="auto"/>
        <w:ind w:firstLine="420"/>
        <w:rPr>
          <w:sz w:val="21"/>
          <w:szCs w:val="21"/>
        </w:rPr>
      </w:pPr>
      <w:r>
        <w:rPr>
          <w:rStyle w:val="11"/>
          <w:rFonts w:hint="eastAsia"/>
          <w:sz w:val="21"/>
          <w:szCs w:val="21"/>
        </w:rPr>
        <w:t>（二）估值日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Style w:val="11"/>
          <w:rFonts w:hint="eastAsia"/>
          <w:sz w:val="21"/>
          <w:szCs w:val="21"/>
        </w:rPr>
        <w:t>（三）估值对象</w:t>
      </w:r>
    </w:p>
    <w:p>
      <w:pPr>
        <w:pStyle w:val="7"/>
        <w:spacing w:before="0" w:beforeAutospacing="0" w:after="0" w:afterAutospacing="0" w:line="360" w:lineRule="auto"/>
        <w:ind w:firstLine="420"/>
        <w:rPr>
          <w:sz w:val="21"/>
          <w:szCs w:val="21"/>
        </w:rPr>
      </w:pPr>
      <w:bookmarkStart w:id="157" w:name="chapter_level1_16_63_section_1_end"/>
      <w:bookmarkEnd w:id="157"/>
      <w:r>
        <w:rPr>
          <w:rFonts w:hint="eastAsia"/>
          <w:sz w:val="21"/>
          <w:szCs w:val="21"/>
        </w:rPr>
        <w:t xml:space="preserve">基金所拥有的股票、债券、权证和银行存款本息等资产和负债。 </w:t>
      </w:r>
    </w:p>
    <w:p>
      <w:pPr>
        <w:pStyle w:val="7"/>
        <w:spacing w:before="0" w:beforeAutospacing="0" w:after="0" w:afterAutospacing="0" w:line="360" w:lineRule="auto"/>
        <w:ind w:firstLine="420"/>
        <w:rPr>
          <w:sz w:val="21"/>
          <w:szCs w:val="21"/>
        </w:rPr>
      </w:pPr>
      <w:bookmarkStart w:id="158" w:name="chapter_level1_16_63_section_2"/>
      <w:bookmarkEnd w:id="158"/>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pPr>
        <w:pStyle w:val="7"/>
        <w:spacing w:before="0" w:beforeAutospacing="0" w:after="0" w:afterAutospacing="0" w:line="360" w:lineRule="auto"/>
        <w:ind w:firstLine="420"/>
        <w:rPr>
          <w:sz w:val="21"/>
          <w:szCs w:val="21"/>
        </w:rPr>
      </w:pPr>
      <w:r>
        <w:rPr>
          <w:rStyle w:val="11"/>
          <w:rFonts w:hint="eastAsia"/>
          <w:sz w:val="21"/>
          <w:szCs w:val="21"/>
        </w:rPr>
        <w:t>（五）估值方法</w:t>
      </w:r>
    </w:p>
    <w:p>
      <w:pPr>
        <w:pStyle w:val="7"/>
        <w:spacing w:before="0" w:beforeAutospacing="0" w:after="0" w:afterAutospacing="0" w:line="360" w:lineRule="auto"/>
        <w:ind w:firstLine="420"/>
        <w:rPr>
          <w:sz w:val="21"/>
          <w:szCs w:val="21"/>
        </w:rPr>
      </w:pPr>
      <w:r>
        <w:rPr>
          <w:rFonts w:hint="eastAsia"/>
          <w:sz w:val="21"/>
          <w:szCs w:val="21"/>
        </w:rPr>
        <w:t xml:space="preserve">本基金按以下方式进行估值：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（六）基金份额净值的确认和估值错误的处理</w:t>
      </w:r>
    </w:p>
    <w:p>
      <w:pPr>
        <w:pStyle w:val="7"/>
        <w:spacing w:before="0" w:beforeAutospacing="0" w:after="0" w:afterAutospacing="0" w:line="360" w:lineRule="auto"/>
        <w:ind w:firstLine="420"/>
        <w:rPr>
          <w:sz w:val="21"/>
          <w:szCs w:val="21"/>
        </w:rPr>
      </w:pPr>
      <w:r>
        <w:rPr>
          <w:rFonts w:hint="eastAsia"/>
          <w:sz w:val="21"/>
          <w:szCs w:val="21"/>
        </w:rPr>
        <w:t>基金份额净值的计算保留到小数点后</w:t>
      </w:r>
      <w:bookmarkStart w:id="159" w:name="field_63_netdecimal_1"/>
      <w:r>
        <w:rPr>
          <w:rFonts w:hint="eastAsia"/>
          <w:sz w:val="21"/>
          <w:szCs w:val="21"/>
        </w:rPr>
        <w:t>  </w:t>
      </w:r>
      <w:bookmarkEnd w:id="159"/>
      <w:r>
        <w:rPr>
          <w:rFonts w:hint="eastAsia"/>
          <w:sz w:val="21"/>
          <w:szCs w:val="21"/>
        </w:rPr>
        <w:t>位，小数点后第</w:t>
      </w:r>
      <w:bookmarkStart w:id="160" w:name="field_0_netdecimaladd1_1"/>
      <w:r>
        <w:rPr>
          <w:sz w:val="21"/>
          <w:szCs w:val="21"/>
        </w:rPr>
        <w:t>4</w:t>
      </w:r>
      <w:bookmarkEnd w:id="160"/>
      <w:r>
        <w:rPr>
          <w:rFonts w:hint="eastAsia"/>
          <w:sz w:val="21"/>
          <w:szCs w:val="21"/>
        </w:rPr>
        <w:t xml:space="preserve">位四舍五入。当估值或份额净值计价错误实际发生时，基金管理人应当立即纠正，并采取合理的措施防止损失进一步扩大。错误偏差达到基金份额净值的0.25%时，基金管理人应当通报基金托管人并报中国证监会备案。估值错误偏差达到基金份额净值的0.5%时，基金管理人应当公告，并报中国证监会备案。因基金估值错误给投资者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关于差错处理，基金合同的当事人按照以下约定处理：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（4）根据差错处理的方法，需要修改登记机构的交易数据的，由登记机构进行更正，并就差错的更正向有关当事人进行确认；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pPr>
        <w:pStyle w:val="7"/>
        <w:spacing w:before="0" w:beforeAutospacing="0" w:after="0" w:afterAutospacing="0" w:line="360" w:lineRule="auto"/>
        <w:ind w:firstLine="420"/>
        <w:rPr>
          <w:sz w:val="21"/>
          <w:szCs w:val="21"/>
        </w:rPr>
      </w:pPr>
      <w:r>
        <w:rPr>
          <w:rStyle w:val="11"/>
          <w:rFonts w:hint="eastAsia"/>
          <w:sz w:val="21"/>
          <w:szCs w:val="21"/>
        </w:rPr>
        <w:t>（七）暂停估值的情形</w:t>
      </w:r>
    </w:p>
    <w:p>
      <w:pPr>
        <w:pStyle w:val="7"/>
        <w:spacing w:before="0" w:beforeAutospacing="0" w:after="0" w:afterAutospacing="0" w:line="360" w:lineRule="auto"/>
        <w:ind w:firstLine="420"/>
        <w:rPr>
          <w:sz w:val="21"/>
          <w:szCs w:val="21"/>
        </w:rPr>
      </w:pPr>
      <w:r>
        <w:rPr>
          <w:rFonts w:hint="eastAsia"/>
          <w:sz w:val="21"/>
          <w:szCs w:val="21"/>
        </w:rPr>
        <w:t xml:space="preserve">1、与本基金投资有关的证券交易场所遇法定节假日或因其他原因暂停营业时；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2、因不可抗力或其他情形致使基金管理人无法准确评估基金资产价值时；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4、法律法规规定、中国证监会认定的其他情形。 </w:t>
      </w:r>
    </w:p>
    <w:p>
      <w:pPr>
        <w:pStyle w:val="7"/>
        <w:spacing w:before="0" w:beforeAutospacing="0" w:after="0" w:afterAutospacing="0" w:line="360" w:lineRule="auto"/>
        <w:ind w:firstLine="420"/>
        <w:rPr>
          <w:sz w:val="21"/>
          <w:szCs w:val="21"/>
        </w:rPr>
      </w:pPr>
      <w:r>
        <w:rPr>
          <w:rStyle w:val="11"/>
          <w:rFonts w:hint="eastAsia"/>
          <w:sz w:val="21"/>
          <w:szCs w:val="21"/>
        </w:rPr>
        <w:t>（八）特殊情形的处理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1、基金管理人按估值方法的第7项进行估值时，所造成的误差不作为基金资产估值错误处理；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61" w:name="chapter_level1_16_63_section_2_end"/>
      <w:bookmarkEnd w:id="161"/>
      <w:r>
        <w:rPr>
          <w:rFonts w:hint="eastAsia"/>
          <w:sz w:val="21"/>
          <w:szCs w:val="21"/>
        </w:rPr>
        <w:t xml:space="preserve">管理人、基金托管人应当积极采取必要的措施消除由此造成的影响。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2" w:name="_Toc113453361"/>
      <w:bookmarkStart w:id="163" w:name="chapter_level1_17_64"/>
      <w:r>
        <w:rPr>
          <w:rFonts w:hint="eastAsia" w:ascii="宋体" w:hAnsi="宋体" w:eastAsia="宋体"/>
          <w:sz w:val="30"/>
        </w:rPr>
        <w:t>十四、基金的收益与分配</w:t>
      </w:r>
      <w:bookmarkEnd w:id="162"/>
      <w:bookmarkEnd w:id="163"/>
    </w:p>
    <w:p>
      <w:pPr>
        <w:pStyle w:val="7"/>
        <w:spacing w:before="0" w:beforeAutospacing="0" w:after="0" w:afterAutospacing="0" w:line="360" w:lineRule="auto"/>
        <w:ind w:firstLine="420"/>
        <w:rPr>
          <w:sz w:val="21"/>
          <w:szCs w:val="21"/>
        </w:rPr>
      </w:pPr>
      <w:bookmarkStart w:id="164" w:name="chapter_level1_17_64_section_1"/>
      <w:bookmarkEnd w:id="164"/>
      <w:r>
        <w:rPr>
          <w:rStyle w:val="11"/>
          <w:rFonts w:hint="eastAsia"/>
          <w:sz w:val="21"/>
          <w:szCs w:val="21"/>
        </w:rPr>
        <w:t>（一）基金收益的构成</w:t>
      </w:r>
    </w:p>
    <w:p>
      <w:pPr>
        <w:pStyle w:val="7"/>
        <w:spacing w:before="0" w:beforeAutospacing="0" w:after="0" w:afterAutospacing="0" w:line="360" w:lineRule="auto"/>
        <w:ind w:firstLine="420"/>
        <w:rPr>
          <w:sz w:val="21"/>
          <w:szCs w:val="21"/>
        </w:rPr>
      </w:pPr>
      <w:r>
        <w:rPr>
          <w:rFonts w:hint="eastAsia"/>
          <w:sz w:val="21"/>
          <w:szCs w:val="21"/>
        </w:rPr>
        <w:t xml:space="preserve">基金收益包括：基金投资所得红利、股息、债券利息、票据投资收益、买卖证券差价、银行存款利息以及其他收入。因运用基金财产带来的成本或费用的节约计入收益。 </w:t>
      </w:r>
    </w:p>
    <w:p>
      <w:pPr>
        <w:pStyle w:val="7"/>
        <w:spacing w:before="0" w:beforeAutospacing="0" w:after="0" w:afterAutospacing="0" w:line="360" w:lineRule="auto"/>
        <w:ind w:firstLine="420"/>
        <w:rPr>
          <w:sz w:val="21"/>
          <w:szCs w:val="21"/>
        </w:rPr>
      </w:pPr>
      <w:r>
        <w:rPr>
          <w:rStyle w:val="11"/>
          <w:rFonts w:hint="eastAsia"/>
          <w:sz w:val="21"/>
          <w:szCs w:val="21"/>
        </w:rPr>
        <w:t>（二）基金净收益</w:t>
      </w:r>
    </w:p>
    <w:p>
      <w:pPr>
        <w:pStyle w:val="7"/>
        <w:spacing w:before="0" w:beforeAutospacing="0" w:after="0" w:afterAutospacing="0" w:line="360" w:lineRule="auto"/>
        <w:ind w:firstLine="420"/>
        <w:rPr>
          <w:sz w:val="21"/>
          <w:szCs w:val="21"/>
        </w:rPr>
      </w:pPr>
      <w:r>
        <w:rPr>
          <w:rFonts w:hint="eastAsia"/>
          <w:sz w:val="21"/>
          <w:szCs w:val="21"/>
        </w:rPr>
        <w:t xml:space="preserve">基金净收益为基金收益扣除按照有关规定可以在基金收益中扣除的费用后的余额。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1、在符合有关基金分红条件的前提下，本基金每年收益分配次数最多为4次，每次分配比例不得低于可分配收益的60%，若《基金合同》生效不满3个月可不进行收益分配； </w:t>
      </w:r>
    </w:p>
    <w:p>
      <w:pPr>
        <w:pStyle w:val="7"/>
        <w:spacing w:before="0" w:beforeAutospacing="0" w:after="0" w:afterAutospacing="0" w:line="360" w:lineRule="auto"/>
        <w:ind w:firstLine="420"/>
        <w:rPr>
          <w:sz w:val="21"/>
          <w:szCs w:val="21"/>
        </w:rPr>
      </w:pPr>
      <w:r>
        <w:rPr>
          <w:rFonts w:hint="eastAsia"/>
          <w:sz w:val="21"/>
          <w:szCs w:val="21"/>
        </w:rPr>
        <w:t xml:space="preserve">2、本基金收益分配方式分两种：现金分红与红利再投资，投资者可选择现金红利或将现金红利按除权日的基金份额净值自动转为基金份额进行再投资；若投资者不选择，本基金默认的收益分配方式是现金分红；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3、基金投资当期出现净亏损，则不进行收益分配； </w:t>
      </w:r>
    </w:p>
    <w:p>
      <w:pPr>
        <w:pStyle w:val="7"/>
        <w:spacing w:before="0" w:beforeAutospacing="0" w:after="0" w:afterAutospacing="0" w:line="360" w:lineRule="auto"/>
        <w:ind w:firstLine="420"/>
        <w:rPr>
          <w:sz w:val="21"/>
          <w:szCs w:val="21"/>
        </w:rPr>
      </w:pPr>
      <w:r>
        <w:rPr>
          <w:rFonts w:hint="eastAsia"/>
          <w:sz w:val="21"/>
          <w:szCs w:val="21"/>
        </w:rPr>
        <w:t xml:space="preserve">4、基金当年收益应先弥补上一年度亏损后，才可进行当年收益分配； </w:t>
      </w:r>
    </w:p>
    <w:p>
      <w:pPr>
        <w:pStyle w:val="7"/>
        <w:spacing w:before="0" w:beforeAutospacing="0" w:after="0" w:afterAutospacing="0" w:line="360" w:lineRule="auto"/>
        <w:ind w:firstLine="420"/>
        <w:rPr>
          <w:sz w:val="21"/>
          <w:szCs w:val="21"/>
        </w:rPr>
      </w:pPr>
      <w:r>
        <w:rPr>
          <w:rFonts w:hint="eastAsia"/>
          <w:sz w:val="21"/>
          <w:szCs w:val="21"/>
        </w:rPr>
        <w:t xml:space="preserve">5、每一基金份额享有同等分配权； </w:t>
      </w:r>
    </w:p>
    <w:p>
      <w:pPr>
        <w:pStyle w:val="7"/>
        <w:spacing w:before="0" w:beforeAutospacing="0" w:after="0" w:afterAutospacing="0" w:line="360" w:lineRule="auto"/>
        <w:ind w:firstLine="420"/>
        <w:rPr>
          <w:sz w:val="21"/>
          <w:szCs w:val="21"/>
        </w:rPr>
      </w:pPr>
      <w:bookmarkStart w:id="165" w:name="chapter_level1_17_64_section_1_end"/>
      <w:bookmarkEnd w:id="165"/>
      <w:r>
        <w:rPr>
          <w:rFonts w:hint="eastAsia"/>
          <w:sz w:val="21"/>
          <w:szCs w:val="21"/>
        </w:rPr>
        <w:t xml:space="preserve">6、法律法规或监管机关另有规定的，从其规定。 </w:t>
      </w:r>
    </w:p>
    <w:p>
      <w:pPr>
        <w:pStyle w:val="7"/>
        <w:spacing w:before="0" w:beforeAutospacing="0" w:after="0" w:afterAutospacing="0" w:line="360" w:lineRule="auto"/>
        <w:ind w:firstLine="420"/>
        <w:rPr>
          <w:sz w:val="21"/>
          <w:szCs w:val="21"/>
        </w:rPr>
      </w:pPr>
      <w:bookmarkStart w:id="166" w:name="chapter_level1_17_64_section_2"/>
      <w:bookmarkEnd w:id="166"/>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基金收益分配方案中应载明基金收益的范围、基金净收益、基金收益分配对象、分配时间、分配数额及比例、分配方式等内容。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红利分配时所发生的银行转账或其他手续费用由投资者自行承担。当投资者的现金红利小于一定金额，不足于支付银行转账或其他手续费用时，登记机构可将基金份额持有人的现金红利按权益登记日除权后的基金份额净值自动转为基金份额。红利再投资的计算方法，依</w:t>
      </w:r>
      <w:bookmarkStart w:id="167" w:name="chapter_level1_17_64_section_2_end"/>
      <w:bookmarkEnd w:id="167"/>
      <w:r>
        <w:rPr>
          <w:rFonts w:hint="eastAsia"/>
          <w:sz w:val="21"/>
          <w:szCs w:val="21"/>
        </w:rPr>
        <w:t xml:space="preserve">照《业务规则》执行。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8" w:name="_Toc113453362"/>
      <w:bookmarkStart w:id="169" w:name="chapter_level1_18_65"/>
      <w:r>
        <w:rPr>
          <w:rFonts w:hint="eastAsia" w:ascii="宋体" w:hAnsi="宋体" w:eastAsia="宋体"/>
          <w:sz w:val="30"/>
        </w:rPr>
        <w:t>十五、基金的费用与税收</w:t>
      </w:r>
      <w:bookmarkEnd w:id="168"/>
      <w:bookmarkEnd w:id="169"/>
    </w:p>
    <w:p>
      <w:pPr>
        <w:pStyle w:val="7"/>
        <w:spacing w:before="0" w:beforeAutospacing="0" w:after="0" w:afterAutospacing="0" w:line="360" w:lineRule="auto"/>
        <w:ind w:firstLine="420"/>
        <w:rPr>
          <w:sz w:val="21"/>
          <w:szCs w:val="21"/>
        </w:rPr>
      </w:pPr>
      <w:bookmarkStart w:id="170" w:name="chapter_level1_18_65_section_1"/>
      <w:bookmarkEnd w:id="170"/>
      <w:r>
        <w:rPr>
          <w:rStyle w:val="11"/>
          <w:rFonts w:hint="eastAsia"/>
          <w:sz w:val="21"/>
          <w:szCs w:val="21"/>
        </w:rPr>
        <w:t>（一）与运作有关的费用     </w:t>
      </w:r>
    </w:p>
    <w:p>
      <w:pPr>
        <w:pStyle w:val="7"/>
        <w:spacing w:before="0" w:beforeAutospacing="0" w:after="0" w:afterAutospacing="0" w:line="360" w:lineRule="auto"/>
        <w:ind w:firstLine="420"/>
        <w:rPr>
          <w:sz w:val="21"/>
          <w:szCs w:val="21"/>
        </w:rPr>
      </w:pPr>
      <w:r>
        <w:rPr>
          <w:rFonts w:hint="eastAsia"/>
          <w:sz w:val="21"/>
          <w:szCs w:val="21"/>
        </w:rPr>
        <w:t xml:space="preserve">1、基金的费用的种类 </w:t>
      </w:r>
    </w:p>
    <w:p>
      <w:pPr>
        <w:pStyle w:val="7"/>
        <w:spacing w:before="0" w:beforeAutospacing="0" w:after="0" w:afterAutospacing="0" w:line="360" w:lineRule="auto"/>
        <w:ind w:firstLine="420"/>
        <w:rPr>
          <w:sz w:val="21"/>
          <w:szCs w:val="21"/>
        </w:rPr>
      </w:pPr>
      <w:r>
        <w:rPr>
          <w:rFonts w:hint="eastAsia"/>
          <w:sz w:val="21"/>
          <w:szCs w:val="21"/>
        </w:rPr>
        <w:t xml:space="preserve">1)   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   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  《基金合同》生效后与基金相关的信息披露费用，法律法规、中国证监会另有规定的除外；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4)  《基金合同》生效后与基金相关的会计师费和律师费； </w:t>
      </w:r>
    </w:p>
    <w:p>
      <w:pPr>
        <w:pStyle w:val="7"/>
        <w:spacing w:before="0" w:beforeAutospacing="0" w:after="0" w:afterAutospacing="0" w:line="360" w:lineRule="auto"/>
        <w:ind w:firstLine="420"/>
        <w:rPr>
          <w:sz w:val="21"/>
          <w:szCs w:val="21"/>
        </w:rPr>
      </w:pPr>
      <w:r>
        <w:rPr>
          <w:rFonts w:hint="eastAsia"/>
          <w:sz w:val="21"/>
          <w:szCs w:val="21"/>
        </w:rPr>
        <w:t xml:space="preserve">5)   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   基金的证券交易费用； </w:t>
      </w:r>
    </w:p>
    <w:p>
      <w:pPr>
        <w:pStyle w:val="7"/>
        <w:spacing w:before="0" w:beforeAutospacing="0" w:after="0" w:afterAutospacing="0" w:line="360" w:lineRule="auto"/>
        <w:ind w:firstLine="420"/>
        <w:rPr>
          <w:sz w:val="21"/>
          <w:szCs w:val="21"/>
        </w:rPr>
      </w:pPr>
      <w:r>
        <w:rPr>
          <w:rFonts w:hint="eastAsia"/>
          <w:sz w:val="21"/>
          <w:szCs w:val="21"/>
        </w:rPr>
        <w:t xml:space="preserve">7)   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8)   按照国家有关规定和《基金合同》约定，可以在基金财产中列支的其他费用。 </w:t>
      </w:r>
    </w:p>
    <w:p>
      <w:pPr>
        <w:pStyle w:val="7"/>
        <w:spacing w:before="0" w:beforeAutospacing="0" w:after="0" w:afterAutospacing="0" w:line="360" w:lineRule="auto"/>
        <w:ind w:firstLine="420"/>
        <w:rPr>
          <w:sz w:val="21"/>
          <w:szCs w:val="21"/>
        </w:rPr>
      </w:pPr>
      <w:r>
        <w:rPr>
          <w:rFonts w:hint="eastAsia"/>
          <w:sz w:val="21"/>
          <w:szCs w:val="21"/>
        </w:rPr>
        <w:t xml:space="preserve">本基金终止清算时所发生费用，按实际支出额从基金财产总值中扣除。 </w:t>
      </w:r>
    </w:p>
    <w:p>
      <w:pPr>
        <w:pStyle w:val="7"/>
        <w:spacing w:before="0" w:beforeAutospacing="0" w:after="0" w:afterAutospacing="0" w:line="360" w:lineRule="auto"/>
        <w:ind w:firstLine="420"/>
        <w:rPr>
          <w:sz w:val="21"/>
          <w:szCs w:val="21"/>
        </w:rPr>
      </w:pPr>
      <w:r>
        <w:rPr>
          <w:rFonts w:hint="eastAsia"/>
          <w:sz w:val="21"/>
          <w:szCs w:val="21"/>
        </w:rPr>
        <w:t xml:space="preserve">2、基金费用计提方法、计提标准和支付方式 </w:t>
      </w:r>
    </w:p>
    <w:p>
      <w:pPr>
        <w:pStyle w:val="7"/>
        <w:spacing w:before="0" w:beforeAutospacing="0" w:after="0" w:afterAutospacing="0" w:line="360" w:lineRule="auto"/>
        <w:ind w:firstLine="420"/>
        <w:rPr>
          <w:sz w:val="21"/>
          <w:szCs w:val="21"/>
        </w:rPr>
      </w:pPr>
      <w:r>
        <w:rPr>
          <w:rFonts w:hint="eastAsia"/>
          <w:sz w:val="21"/>
          <w:szCs w:val="21"/>
        </w:rPr>
        <w:t xml:space="preserve">1)   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71" w:name="field_0_managementrate_1"/>
      <w:r>
        <w:rPr>
          <w:sz w:val="21"/>
          <w:szCs w:val="21"/>
        </w:rPr>
        <w:t>1.</w:t>
      </w:r>
      <w:r>
        <w:rPr>
          <w:rFonts w:hint="eastAsia"/>
          <w:sz w:val="21"/>
          <w:szCs w:val="21"/>
          <w:lang w:val="en-US" w:eastAsia="zh-CN"/>
        </w:rPr>
        <w:t>2</w:t>
      </w:r>
      <w:r>
        <w:rPr>
          <w:sz w:val="21"/>
          <w:szCs w:val="21"/>
        </w:rPr>
        <w:t>0</w:t>
      </w:r>
      <w:bookmarkEnd w:id="171"/>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2" w:name="field_0_managementrate_2"/>
      <w:r>
        <w:rPr>
          <w:sz w:val="21"/>
          <w:szCs w:val="21"/>
        </w:rPr>
        <w:t>1.</w:t>
      </w:r>
      <w:bookmarkEnd w:id="172"/>
      <w:r>
        <w:rPr>
          <w:rFonts w:hint="eastAsia"/>
          <w:sz w:val="21"/>
          <w:szCs w:val="21"/>
          <w:lang w:val="en-US" w:eastAsia="zh-CN"/>
        </w:rPr>
        <w:t>20</w:t>
      </w:r>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H为每日应付的基金管理费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 </w:t>
      </w:r>
    </w:p>
    <w:p>
      <w:pPr>
        <w:pStyle w:val="7"/>
        <w:spacing w:before="0" w:beforeAutospacing="0" w:after="0" w:afterAutospacing="0" w:line="360" w:lineRule="auto"/>
        <w:ind w:firstLine="420"/>
        <w:rPr>
          <w:sz w:val="21"/>
          <w:szCs w:val="21"/>
        </w:rPr>
      </w:pPr>
      <w:r>
        <w:rPr>
          <w:rFonts w:hint="eastAsia"/>
          <w:sz w:val="21"/>
          <w:szCs w:val="21"/>
        </w:rPr>
        <w:t xml:space="preserve">2)   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73" w:name="field_0_trusteerate_1"/>
      <w:r>
        <w:rPr>
          <w:sz w:val="21"/>
          <w:szCs w:val="21"/>
        </w:rPr>
        <w:t>0.2</w:t>
      </w:r>
      <w:r>
        <w:rPr>
          <w:rFonts w:hint="eastAsia"/>
          <w:sz w:val="21"/>
          <w:szCs w:val="21"/>
          <w:lang w:val="en-US" w:eastAsia="zh-CN"/>
        </w:rPr>
        <w:t>0</w:t>
      </w:r>
      <w:bookmarkEnd w:id="173"/>
      <w:r>
        <w:rPr>
          <w:rFonts w:hint="eastAsia"/>
          <w:sz w:val="21"/>
          <w:szCs w:val="21"/>
        </w:rPr>
        <w:t xml:space="preserve">%的年费率计提。托管费的计算方法如下：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4" w:name="field_0_trusteerate_2"/>
      <w:r>
        <w:rPr>
          <w:sz w:val="21"/>
          <w:szCs w:val="21"/>
        </w:rPr>
        <w:t>0.2</w:t>
      </w:r>
      <w:r>
        <w:rPr>
          <w:rFonts w:hint="eastAsia"/>
          <w:sz w:val="21"/>
          <w:szCs w:val="21"/>
          <w:lang w:val="en-US" w:eastAsia="zh-CN"/>
        </w:rPr>
        <w:t>0</w:t>
      </w:r>
      <w:bookmarkEnd w:id="174"/>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H为每日应支付的基金托管费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管理人向基金托管人发送基金托管费划款指令，基金托管人复核后于次月前2个工作日内从基金财产中一次性支取。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上述“（一）基金费用的种类”中第3）－8）项费用由基金托管人根据有关法规及相应协议规定,按费用实际支出金额列入当期费用，从基金财产中支付。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3、不列入基金费用的项目 </w:t>
      </w:r>
    </w:p>
    <w:p>
      <w:pPr>
        <w:pStyle w:val="7"/>
        <w:spacing w:before="0" w:beforeAutospacing="0" w:after="0" w:afterAutospacing="0" w:line="360" w:lineRule="auto"/>
        <w:ind w:firstLine="420"/>
        <w:rPr>
          <w:sz w:val="21"/>
          <w:szCs w:val="21"/>
        </w:rPr>
      </w:pPr>
      <w:r>
        <w:rPr>
          <w:rFonts w:hint="eastAsia"/>
          <w:sz w:val="21"/>
          <w:szCs w:val="21"/>
        </w:rPr>
        <w:t xml:space="preserve">1)   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   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   《基金合同》生效前的相关费用，包括但不限于验资费、会计师和律师费、信息披露费用等费用； </w:t>
      </w:r>
    </w:p>
    <w:p>
      <w:pPr>
        <w:pStyle w:val="7"/>
        <w:spacing w:before="0" w:beforeAutospacing="0" w:after="0" w:afterAutospacing="0" w:line="360" w:lineRule="auto"/>
        <w:ind w:firstLine="420"/>
        <w:rPr>
          <w:sz w:val="21"/>
          <w:szCs w:val="21"/>
        </w:rPr>
      </w:pPr>
      <w:r>
        <w:rPr>
          <w:rFonts w:hint="eastAsia"/>
          <w:sz w:val="21"/>
          <w:szCs w:val="21"/>
        </w:rPr>
        <w:t xml:space="preserve">4)   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Fonts w:hint="eastAsia"/>
          <w:sz w:val="21"/>
          <w:szCs w:val="21"/>
        </w:rPr>
        <w:t xml:space="preserve">4、费用调整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基金管理人和基金托管人协商一致后，可根据基金发展情况调整基金管理费率、基金托管费率等相关费率。 </w:t>
      </w:r>
    </w:p>
    <w:p>
      <w:pPr>
        <w:pStyle w:val="7"/>
        <w:spacing w:before="0" w:beforeAutospacing="0" w:after="0" w:afterAutospacing="0" w:line="360" w:lineRule="auto"/>
        <w:ind w:firstLine="420"/>
        <w:rPr>
          <w:sz w:val="21"/>
          <w:szCs w:val="21"/>
        </w:rPr>
      </w:pPr>
      <w:r>
        <w:rPr>
          <w:rFonts w:hint="eastAsia"/>
          <w:sz w:val="21"/>
          <w:szCs w:val="21"/>
        </w:rPr>
        <w:t xml:space="preserve">调高基金管理费率、基金托管费率等费率，须召开基金份额持有人大会审议；调低基金管理费率、基金托管费率等费率，无须召开基金份额持有人大会。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基金管理人必须最迟于新的费率实施日前2日在指定媒介上公告。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5、基金税收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pPr>
        <w:pStyle w:val="7"/>
        <w:spacing w:before="0" w:beforeAutospacing="0" w:after="0" w:afterAutospacing="0" w:line="360" w:lineRule="auto"/>
        <w:ind w:firstLine="420"/>
        <w:rPr>
          <w:sz w:val="21"/>
          <w:szCs w:val="21"/>
        </w:rPr>
      </w:pPr>
      <w:r>
        <w:rPr>
          <w:rStyle w:val="11"/>
          <w:rFonts w:hint="eastAsia"/>
          <w:sz w:val="21"/>
          <w:szCs w:val="21"/>
        </w:rPr>
        <w:t>（二）与销售有关的费用</w:t>
      </w:r>
    </w:p>
    <w:p>
      <w:pPr>
        <w:pStyle w:val="7"/>
        <w:spacing w:before="0" w:beforeAutospacing="0" w:after="0" w:afterAutospacing="0" w:line="360" w:lineRule="auto"/>
        <w:ind w:firstLine="420"/>
        <w:rPr>
          <w:sz w:val="21"/>
          <w:szCs w:val="21"/>
        </w:rPr>
      </w:pPr>
      <w:r>
        <w:rPr>
          <w:rFonts w:hint="eastAsia"/>
          <w:sz w:val="21"/>
          <w:szCs w:val="21"/>
        </w:rPr>
        <w:t xml:space="preserve">1. 申购费率 </w:t>
      </w:r>
    </w:p>
    <w:p>
      <w:pPr>
        <w:pStyle w:val="7"/>
        <w:spacing w:before="0" w:beforeAutospacing="0" w:after="0" w:afterAutospacing="0" w:line="360" w:lineRule="auto"/>
        <w:ind w:firstLine="420"/>
        <w:rPr>
          <w:sz w:val="21"/>
          <w:szCs w:val="21"/>
        </w:rPr>
      </w:pPr>
      <w:r>
        <w:rPr>
          <w:rFonts w:hint="eastAsia"/>
          <w:sz w:val="21"/>
          <w:szCs w:val="21"/>
        </w:rPr>
        <w:t xml:space="preserve">本基金的申购费率最高不超过5.0%。 </w:t>
      </w:r>
    </w:p>
    <w:p>
      <w:pPr>
        <w:pStyle w:val="7"/>
        <w:spacing w:before="0" w:beforeAutospacing="0" w:after="0" w:afterAutospacing="0" w:line="360" w:lineRule="auto"/>
        <w:ind w:firstLine="420"/>
        <w:rPr>
          <w:sz w:val="21"/>
          <w:szCs w:val="21"/>
        </w:rPr>
      </w:pPr>
      <w:r>
        <w:rPr>
          <w:rFonts w:hint="eastAsia"/>
          <w:sz w:val="21"/>
          <w:szCs w:val="21"/>
        </w:rPr>
        <w:t xml:space="preserve">本次公告的本基金申购费率具体为：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&lt;100万元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100万≤M &lt;500万元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2. 赎回费率 </w:t>
      </w:r>
    </w:p>
    <w:p>
      <w:pPr>
        <w:pStyle w:val="7"/>
        <w:spacing w:before="0" w:beforeAutospacing="0" w:after="0" w:afterAutospacing="0" w:line="360" w:lineRule="auto"/>
        <w:ind w:firstLine="420"/>
        <w:rPr>
          <w:sz w:val="21"/>
          <w:szCs w:val="21"/>
        </w:rPr>
      </w:pPr>
      <w:r>
        <w:rPr>
          <w:rFonts w:hint="eastAsia"/>
          <w:sz w:val="21"/>
          <w:szCs w:val="21"/>
        </w:rPr>
        <w:t xml:space="preserve">本基金的赎回费率最高不超过5.0%，本次公告的本基金赎回费率具体为：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3"/>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持有基金时间(Y)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Y&lt;7天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7天≤Y&lt;1年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1年≤Y&lt;2年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Y≥2年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3. 本基金的申购费用由申购人承担，不列入基金资产，申购费主要用于本基 </w:t>
      </w:r>
    </w:p>
    <w:p>
      <w:pPr>
        <w:pStyle w:val="7"/>
        <w:spacing w:before="0" w:beforeAutospacing="0" w:after="0" w:afterAutospacing="0" w:line="360" w:lineRule="auto"/>
        <w:ind w:firstLine="420"/>
        <w:rPr>
          <w:sz w:val="21"/>
          <w:szCs w:val="21"/>
        </w:rPr>
      </w:pPr>
      <w:r>
        <w:rPr>
          <w:rFonts w:hint="eastAsia"/>
          <w:sz w:val="21"/>
          <w:szCs w:val="21"/>
        </w:rPr>
        <w:t xml:space="preserve">金的市场推广和销售、注册登记等各项费用。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4. 本基金的赎回费用在投资人赎回本基金份额时收取，对持续持有期少于7日的投资者收取的赎回费全额计入基金财产，对持续持有期大于或等于7日的投资者收取的赎回费的25%归基金资产。 </w:t>
      </w:r>
    </w:p>
    <w:p>
      <w:pPr>
        <w:pStyle w:val="7"/>
        <w:spacing w:before="0" w:beforeAutospacing="0" w:after="0" w:afterAutospacing="0" w:line="360" w:lineRule="auto"/>
        <w:ind w:firstLine="420"/>
        <w:rPr>
          <w:sz w:val="21"/>
          <w:szCs w:val="21"/>
        </w:rPr>
      </w:pPr>
      <w:r>
        <w:rPr>
          <w:rFonts w:hint="eastAsia"/>
          <w:sz w:val="21"/>
          <w:szCs w:val="21"/>
        </w:rPr>
        <w:t xml:space="preserve">5. 基金管理人可以根据情况调整申购费率，但最高不超过5.0％。基金管理 </w:t>
      </w:r>
    </w:p>
    <w:p>
      <w:pPr>
        <w:pStyle w:val="7"/>
        <w:spacing w:before="0" w:beforeAutospacing="0" w:after="0" w:afterAutospacing="0" w:line="360" w:lineRule="auto"/>
        <w:ind w:firstLine="420"/>
        <w:rPr>
          <w:sz w:val="21"/>
          <w:szCs w:val="21"/>
        </w:rPr>
      </w:pPr>
      <w:r>
        <w:rPr>
          <w:rFonts w:hint="eastAsia"/>
          <w:sz w:val="21"/>
          <w:szCs w:val="21"/>
        </w:rPr>
        <w:t xml:space="preserve">人可以决定对不同持有期限的基金份额等实行差别化的赎回费率，并予公告，而无须召开基金份额持有人大会。赎回费率模式需公告并公平地对待同类投资人。基金管理人必须最迟于新的费率实施日前2日内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6. 转换费用 </w:t>
      </w:r>
    </w:p>
    <w:p>
      <w:pPr>
        <w:pStyle w:val="7"/>
        <w:spacing w:before="0" w:beforeAutospacing="0" w:after="0" w:afterAutospacing="0" w:line="360" w:lineRule="auto"/>
        <w:ind w:firstLine="420"/>
        <w:rPr>
          <w:sz w:val="21"/>
          <w:szCs w:val="21"/>
        </w:rPr>
      </w:pPr>
      <w:r>
        <w:rPr>
          <w:rFonts w:hint="eastAsia"/>
          <w:sz w:val="21"/>
          <w:szCs w:val="21"/>
        </w:rPr>
        <w:t>基金转换费用由申购费补差和转出基金赎回费两部分构成，具体收取情况视每次转换时的两只基金的申购费率的差异情况而定。基金转换费用由基金持有人承担，扣除转出基金赎</w:t>
      </w:r>
      <w:bookmarkStart w:id="175" w:name="chapter_level1_18_65_section_1_end"/>
      <w:bookmarkEnd w:id="175"/>
      <w:r>
        <w:rPr>
          <w:rFonts w:hint="eastAsia"/>
          <w:sz w:val="21"/>
          <w:szCs w:val="21"/>
        </w:rPr>
        <w:t xml:space="preserve">回费应归资产部分后的余额归登记机构所有。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6" w:name="chapter_level1_19_66"/>
      <w:bookmarkStart w:id="177" w:name="_Toc113453363"/>
      <w:r>
        <w:rPr>
          <w:rFonts w:hint="eastAsia" w:ascii="宋体" w:hAnsi="宋体" w:eastAsia="宋体"/>
          <w:sz w:val="30"/>
        </w:rPr>
        <w:t>十六、基金的会计与审计</w:t>
      </w:r>
      <w:bookmarkEnd w:id="176"/>
      <w:bookmarkEnd w:id="177"/>
    </w:p>
    <w:p>
      <w:pPr>
        <w:pStyle w:val="7"/>
        <w:spacing w:before="0" w:beforeAutospacing="0" w:after="0" w:afterAutospacing="0" w:line="360" w:lineRule="auto"/>
        <w:ind w:firstLine="420"/>
        <w:rPr>
          <w:sz w:val="21"/>
          <w:szCs w:val="21"/>
        </w:rPr>
      </w:pPr>
      <w:bookmarkStart w:id="178" w:name="chapter_level1_19_66_section_1"/>
      <w:bookmarkEnd w:id="178"/>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1、本基金管理人聘请与基金管理人、基金托管人相互独立的具有证券、期货相关业务资格的会计师事务所及其注册会计师对本基金的年度财务报表及其他规定事项进行审计。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2、会计师事务所更换经办注册会计师，应事先征得基金管理人和基金托管人同意。基金合同生效后的审计费用从基金资产中列支。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3、基金管理人认为有充足理由更换会计师事务所，须经基金托管人同意。更换会计师</w:t>
      </w:r>
      <w:bookmarkStart w:id="179" w:name="chapter_level1_19_66_section_1_end"/>
      <w:bookmarkEnd w:id="179"/>
      <w:r>
        <w:rPr>
          <w:rFonts w:hint="eastAsia"/>
          <w:sz w:val="21"/>
          <w:szCs w:val="21"/>
        </w:rPr>
        <w:t xml:space="preserve">事务所需按照《信息披露办法》的有关规定在指定媒介公告。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0" w:name="_Toc113453364"/>
      <w:bookmarkStart w:id="181" w:name="chapter_level1_20_67"/>
      <w:r>
        <w:rPr>
          <w:rFonts w:hint="eastAsia" w:ascii="宋体" w:hAnsi="宋体" w:eastAsia="宋体"/>
          <w:sz w:val="30"/>
        </w:rPr>
        <w:t>十七、基金的信息披露</w:t>
      </w:r>
      <w:bookmarkEnd w:id="180"/>
      <w:bookmarkEnd w:id="181"/>
    </w:p>
    <w:p>
      <w:pPr>
        <w:pStyle w:val="7"/>
        <w:spacing w:before="0" w:beforeAutospacing="0" w:after="0" w:afterAutospacing="0" w:line="360" w:lineRule="auto"/>
        <w:ind w:firstLine="420"/>
        <w:rPr>
          <w:sz w:val="21"/>
          <w:szCs w:val="21"/>
        </w:rPr>
      </w:pPr>
      <w:bookmarkStart w:id="182" w:name="chapter_level1_20_67_section_1"/>
      <w:bookmarkEnd w:id="182"/>
      <w:r>
        <w:rPr>
          <w:rStyle w:val="11"/>
          <w:rFonts w:hint="eastAsia"/>
          <w:sz w:val="21"/>
          <w:szCs w:val="21"/>
        </w:rPr>
        <w:t>（一）本基金的信息披露应符合《基金法》、《运作办法》、《信息披露办法》、《基金合同》及其他有关规定。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w:t>
      </w:r>
    </w:p>
    <w:p>
      <w:pPr>
        <w:pStyle w:val="7"/>
        <w:spacing w:before="0" w:beforeAutospacing="0" w:after="0" w:afterAutospacing="0" w:line="360" w:lineRule="auto"/>
        <w:ind w:firstLine="420"/>
        <w:rPr>
          <w:sz w:val="21"/>
          <w:szCs w:val="21"/>
        </w:rPr>
      </w:pPr>
      <w:r>
        <w:rPr>
          <w:rFonts w:hint="eastAsia"/>
          <w:sz w:val="21"/>
          <w:szCs w:val="21"/>
        </w:rPr>
        <w:t xml:space="preserve">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83" w:name="chapter_level1_20_67_section_1_end"/>
      <w:bookmarkEnd w:id="183"/>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4" w:name="chapter_level1_20_67_section_2"/>
      <w:bookmarkEnd w:id="184"/>
      <w:r>
        <w:rPr>
          <w:rStyle w:val="11"/>
          <w:rFonts w:hint="eastAsia"/>
          <w:sz w:val="21"/>
          <w:szCs w:val="21"/>
        </w:rPr>
        <w:t>（五）公开披露的基金信息</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1、基金招募说明书、《基金合同》、基金托管协议、基金产品资料概要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基金合同、托管协议经中国证监会核准之后，基金管理人应当将基金合同摘要登载在指定报刊和网站上；基金管理人、基金托管人应当将基金合同、托管协议登载在各自公司网站上。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基金管理人应当在集中申购期开始3日前，将招募说明书登载在指定报刊和网站上。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2、集中申购公告基金管理人应当就基金份额集中申购的具体事宜编制基金集中申购公告，并在披露招募说明书的当日登载于指定媒介上。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3、基金净值信息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在开始办理基金份额申购或者赎回后，基金管理人应当在不晚于每个开放日的次日，通过指定网站、基金销售机构网站或者营业网点披露开放日的基金份额净值和基金份额累计净值。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4、基金份额申购、赎回价格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基金管理人应当在《基金合同》、招募说明书等信息披露文件上载明基金份额申购、赎回价格的计算方式及有关申购、赎回费率，并保证投资者能够在基金销售机构网站或者营业网点查阅或者复制前述信息资料。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5、基金定期报告，包括基金年度报告、基金中期报告和基金季度报告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6、临时报告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8、基金集中申购期延长或提前终止；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22、基金信息披露义务人认为可能对基金份额持有人权益或者基金份额的价格产生重大影响的其他事项或中国证监会规定的其他事项。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8、澄清公告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9、基金份额持有人大会决议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基金份额持有人依法自行召集基金份额持有人大会，基金管理人、基金托管人对基金份额持有人大会决定的事项不依法履行信息披露义务的，召集人应当履行相关信息披露义务。 </w:t>
      </w:r>
    </w:p>
    <w:p>
      <w:pPr>
        <w:pStyle w:val="7"/>
        <w:spacing w:before="0" w:beforeAutospacing="0" w:after="0" w:afterAutospacing="0" w:line="360" w:lineRule="auto"/>
        <w:ind w:firstLine="420"/>
        <w:rPr>
          <w:sz w:val="21"/>
          <w:szCs w:val="21"/>
        </w:rPr>
      </w:pPr>
      <w:r>
        <w:rPr>
          <w:rFonts w:hint="eastAsia"/>
          <w:sz w:val="21"/>
          <w:szCs w:val="21"/>
        </w:rPr>
        <w:t xml:space="preserve">10、清算报告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bookmarkStart w:id="185" w:name="chapter_level1_20_67_section_2_end"/>
      <w:bookmarkEnd w:id="185"/>
      <w:r>
        <w:rPr>
          <w:rFonts w:hint="eastAsia"/>
          <w:sz w:val="21"/>
          <w:szCs w:val="21"/>
        </w:rPr>
        <w:t xml:space="preserve">11、中国证监会规定的其他信息。 </w:t>
      </w:r>
    </w:p>
    <w:p>
      <w:pPr>
        <w:pStyle w:val="7"/>
        <w:spacing w:before="0" w:beforeAutospacing="0" w:after="0" w:afterAutospacing="0" w:line="360" w:lineRule="auto"/>
        <w:ind w:firstLine="420"/>
        <w:rPr>
          <w:sz w:val="21"/>
          <w:szCs w:val="21"/>
        </w:rPr>
      </w:pPr>
      <w:bookmarkStart w:id="186" w:name="chapter_level1_20_67_section_3"/>
      <w:bookmarkEnd w:id="186"/>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87" w:name="chapter_level1_20_67_section_3_end"/>
      <w:bookmarkEnd w:id="187"/>
      <w:r>
        <w:rPr>
          <w:rFonts w:hint="eastAsia"/>
          <w:sz w:val="21"/>
          <w:szCs w:val="21"/>
        </w:rPr>
        <w:t xml:space="preserve">息置备于各自住所，供社会公众查阅、复制。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8" w:name="chapter_level1_21_68"/>
      <w:bookmarkStart w:id="189" w:name="_Toc113453365"/>
      <w:r>
        <w:rPr>
          <w:rFonts w:hint="eastAsia" w:ascii="宋体" w:hAnsi="宋体" w:eastAsia="宋体"/>
          <w:sz w:val="30"/>
        </w:rPr>
        <w:t>十八、风险揭示</w:t>
      </w:r>
      <w:bookmarkEnd w:id="188"/>
      <w:bookmarkEnd w:id="189"/>
    </w:p>
    <w:p>
      <w:pPr>
        <w:pStyle w:val="7"/>
        <w:spacing w:before="0" w:beforeAutospacing="0" w:after="0" w:afterAutospacing="0" w:line="360" w:lineRule="auto"/>
        <w:ind w:firstLine="420"/>
        <w:rPr>
          <w:sz w:val="21"/>
          <w:szCs w:val="21"/>
        </w:rPr>
      </w:pPr>
      <w:bookmarkStart w:id="190" w:name="chapter_level1_21_68_section_1"/>
      <w:bookmarkEnd w:id="190"/>
      <w:r>
        <w:rPr>
          <w:rFonts w:hint="eastAsia"/>
          <w:sz w:val="21"/>
          <w:szCs w:val="21"/>
        </w:rPr>
        <w:t xml:space="preserve">本基金是一只积极主动管理的股票型基金，属于证券投资基金中的高风险品种，其预期风险收益水平高于混合型基金、债券基金和货币市场基金。 </w:t>
      </w:r>
    </w:p>
    <w:p>
      <w:pPr>
        <w:pStyle w:val="7"/>
        <w:spacing w:before="0" w:beforeAutospacing="0" w:after="0" w:afterAutospacing="0" w:line="360" w:lineRule="auto"/>
        <w:ind w:firstLine="420"/>
        <w:rPr>
          <w:sz w:val="21"/>
          <w:szCs w:val="21"/>
        </w:rPr>
      </w:pPr>
      <w:r>
        <w:rPr>
          <w:rFonts w:hint="eastAsia"/>
          <w:sz w:val="21"/>
          <w:szCs w:val="21"/>
        </w:rPr>
        <w:t xml:space="preserve">其风险具体包括： </w:t>
      </w:r>
    </w:p>
    <w:p>
      <w:pPr>
        <w:pStyle w:val="7"/>
        <w:spacing w:before="0" w:beforeAutospacing="0" w:after="0" w:afterAutospacing="0" w:line="360" w:lineRule="auto"/>
        <w:ind w:firstLine="420"/>
        <w:rPr>
          <w:sz w:val="21"/>
          <w:szCs w:val="21"/>
        </w:rPr>
      </w:pPr>
      <w:r>
        <w:rPr>
          <w:rStyle w:val="11"/>
          <w:rFonts w:hint="eastAsia"/>
          <w:sz w:val="21"/>
          <w:szCs w:val="21"/>
        </w:rPr>
        <w:t>（一）市场风险</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pPr>
        <w:pStyle w:val="7"/>
        <w:spacing w:before="0" w:beforeAutospacing="0" w:after="0" w:afterAutospacing="0" w:line="360" w:lineRule="auto"/>
        <w:ind w:firstLine="420"/>
        <w:rPr>
          <w:sz w:val="21"/>
          <w:szCs w:val="21"/>
        </w:rPr>
      </w:pPr>
      <w:r>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pPr>
        <w:pStyle w:val="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Style w:val="11"/>
          <w:rFonts w:hint="eastAsia"/>
          <w:sz w:val="21"/>
          <w:szCs w:val="21"/>
        </w:rPr>
        <w:t>（二）管理风险</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 </w:t>
      </w:r>
    </w:p>
    <w:p>
      <w:pPr>
        <w:pStyle w:val="7"/>
        <w:spacing w:before="0" w:beforeAutospacing="0" w:after="0" w:afterAutospacing="0" w:line="360" w:lineRule="auto"/>
        <w:ind w:firstLine="420"/>
        <w:rPr>
          <w:sz w:val="21"/>
          <w:szCs w:val="21"/>
        </w:rPr>
      </w:pPr>
      <w:r>
        <w:rPr>
          <w:rStyle w:val="11"/>
          <w:rFonts w:hint="eastAsia"/>
          <w:sz w:val="21"/>
          <w:szCs w:val="21"/>
        </w:rPr>
        <w:t>（三）流动性风险</w:t>
      </w:r>
    </w:p>
    <w:p>
      <w:pPr>
        <w:pStyle w:val="7"/>
        <w:spacing w:before="0" w:beforeAutospacing="0" w:after="0" w:afterAutospacing="0" w:line="360" w:lineRule="auto"/>
        <w:ind w:firstLine="420"/>
        <w:rPr>
          <w:sz w:val="21"/>
          <w:szCs w:val="21"/>
        </w:rPr>
      </w:pPr>
      <w:r>
        <w:rPr>
          <w:rFonts w:hint="eastAsia"/>
          <w:sz w:val="21"/>
          <w:szCs w:val="21"/>
        </w:rPr>
        <w:t xml:space="preserve">本基金属于开放式基金，在基金的所有开放日，基金管理人都有义务接受投资者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Style w:val="11"/>
          <w:rFonts w:hint="eastAsia"/>
          <w:sz w:val="21"/>
          <w:szCs w:val="21"/>
        </w:rPr>
        <w:t>（四）本基金的特有风险</w:t>
      </w:r>
    </w:p>
    <w:p>
      <w:pPr>
        <w:pStyle w:val="7"/>
        <w:spacing w:before="0" w:beforeAutospacing="0" w:after="0" w:afterAutospacing="0" w:line="360" w:lineRule="auto"/>
        <w:ind w:firstLine="420"/>
        <w:rPr>
          <w:sz w:val="21"/>
          <w:szCs w:val="21"/>
        </w:rPr>
      </w:pPr>
      <w:r>
        <w:rPr>
          <w:rFonts w:hint="eastAsia"/>
          <w:sz w:val="21"/>
          <w:szCs w:val="21"/>
        </w:rPr>
        <w:t xml:space="preserve">本基金的初衷旨在重点投资于快速发展的第三产业，为投资者谋求长期较为稳定的超额收益，而以服务业为主的第三产业的供求变化规律、成长特征与工业、制造业、农业等上游第一、二产业的发展呈现出不同特点，导致相应上市公司的盈利周期波动、股价表现等具有独特的运行规律。 </w:t>
      </w:r>
    </w:p>
    <w:p>
      <w:pPr>
        <w:pStyle w:val="7"/>
        <w:spacing w:before="0" w:beforeAutospacing="0" w:after="0" w:afterAutospacing="0" w:line="360" w:lineRule="auto"/>
        <w:ind w:firstLine="420"/>
        <w:rPr>
          <w:sz w:val="21"/>
          <w:szCs w:val="21"/>
        </w:rPr>
      </w:pPr>
      <w:r>
        <w:rPr>
          <w:rFonts w:hint="eastAsia"/>
          <w:sz w:val="21"/>
          <w:szCs w:val="21"/>
        </w:rPr>
        <w:t xml:space="preserve">本基金清晰的投资方向定位使本基金的风格特征鲜明，以吸引具有足够识别能力的、具有不同风险收益偏好的细分投资者。另一方面，投资范围约束在某些特定时期可能会对本基金的业绩表现带来负面影响。同时由于市场上竞争的同类产品基本为全市场投资，可以在第一、第二、第三产业之间转换投资重点，相比之下，本基金可能由于投资范围受限在一定时期处于劣势。我们对本基金的长期表现充满信心，但不可否认某些特定时期本基金会受到市场行业轮动、热点转换等因素的影响带来的负面影响。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Style w:val="11"/>
          <w:rFonts w:hint="eastAsia"/>
          <w:sz w:val="21"/>
          <w:szCs w:val="21"/>
        </w:rPr>
        <w:t>（五）其他风险</w:t>
      </w:r>
    </w:p>
    <w:p>
      <w:pPr>
        <w:pStyle w:val="7"/>
        <w:spacing w:before="0" w:beforeAutospacing="0" w:after="0" w:afterAutospacing="0" w:line="360" w:lineRule="auto"/>
        <w:ind w:firstLine="420"/>
        <w:rPr>
          <w:sz w:val="21"/>
          <w:szCs w:val="21"/>
        </w:rPr>
      </w:pPr>
      <w:r>
        <w:rPr>
          <w:rFonts w:hint="eastAsia"/>
          <w:sz w:val="21"/>
          <w:szCs w:val="21"/>
        </w:rPr>
        <w:t xml:space="preserve">1、因技术因素而产生的风险，如电脑系统不可靠产生的风险；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2、因基金业务快速发展而在制度建设、人员配备、内控制度建立等方面不完善而产生的风险；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3、因人为因素而产生的风险、如内幕交易、欺诈行为等产生的风险；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4、对主要业务人员如基金经理的依赖而可能产生的风险；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5、因业务竞争压力可能产生的风险；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bookmarkStart w:id="191" w:name="chapter_level1_21_68_section_1_end"/>
      <w:bookmarkEnd w:id="191"/>
      <w:r>
        <w:rPr>
          <w:rFonts w:hint="eastAsia"/>
          <w:sz w:val="21"/>
          <w:szCs w:val="21"/>
        </w:rPr>
        <w:t xml:space="preserve">7、其他意外导致的风险。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2" w:name="chapter_level1_22_69"/>
      <w:bookmarkStart w:id="193" w:name="_Toc113453366"/>
      <w:r>
        <w:rPr>
          <w:rFonts w:hint="eastAsia" w:ascii="宋体" w:hAnsi="宋体" w:eastAsia="宋体"/>
          <w:sz w:val="30"/>
        </w:rPr>
        <w:t>十九、基金合同的变更、终止与财产清算</w:t>
      </w:r>
      <w:bookmarkEnd w:id="192"/>
      <w:bookmarkEnd w:id="193"/>
    </w:p>
    <w:p>
      <w:pPr>
        <w:pStyle w:val="7"/>
        <w:spacing w:before="0" w:beforeAutospacing="0" w:after="0" w:afterAutospacing="0" w:line="360" w:lineRule="auto"/>
        <w:ind w:firstLine="420"/>
        <w:rPr>
          <w:sz w:val="21"/>
          <w:szCs w:val="21"/>
        </w:rPr>
      </w:pPr>
      <w:bookmarkStart w:id="194" w:name="chapter_level1_22_69_section_1"/>
      <w:bookmarkEnd w:id="194"/>
      <w:r>
        <w:rPr>
          <w:rStyle w:val="11"/>
          <w:rFonts w:hint="eastAsia"/>
          <w:sz w:val="21"/>
          <w:szCs w:val="21"/>
        </w:rPr>
        <w:t>（一）《基金合同》的变更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1、以下变更《基金合同》的事项应经基金份额持有人大会决议通过： </w:t>
      </w:r>
    </w:p>
    <w:p>
      <w:pPr>
        <w:pStyle w:val="7"/>
        <w:spacing w:before="0" w:beforeAutospacing="0" w:after="0" w:afterAutospacing="0" w:line="360" w:lineRule="auto"/>
        <w:ind w:firstLine="420"/>
        <w:rPr>
          <w:sz w:val="21"/>
          <w:szCs w:val="21"/>
        </w:rPr>
      </w:pPr>
      <w:r>
        <w:rPr>
          <w:rFonts w:hint="eastAsia"/>
          <w:sz w:val="21"/>
          <w:szCs w:val="21"/>
        </w:rPr>
        <w:t xml:space="preserve">（1）更换基金管理人； </w:t>
      </w:r>
    </w:p>
    <w:p>
      <w:pPr>
        <w:pStyle w:val="7"/>
        <w:spacing w:before="0" w:beforeAutospacing="0" w:after="0" w:afterAutospacing="0" w:line="360" w:lineRule="auto"/>
        <w:ind w:firstLine="420"/>
        <w:rPr>
          <w:sz w:val="21"/>
          <w:szCs w:val="21"/>
        </w:rPr>
      </w:pPr>
      <w:r>
        <w:rPr>
          <w:rFonts w:hint="eastAsia"/>
          <w:sz w:val="21"/>
          <w:szCs w:val="21"/>
        </w:rPr>
        <w:t xml:space="preserve">（2）更换基金托管人；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（4）提高基金管理人、基金托管人的报酬标准； </w:t>
      </w:r>
    </w:p>
    <w:p>
      <w:pPr>
        <w:pStyle w:val="7"/>
        <w:spacing w:before="0" w:beforeAutospacing="0" w:after="0" w:afterAutospacing="0" w:line="360" w:lineRule="auto"/>
        <w:ind w:firstLine="420"/>
        <w:rPr>
          <w:sz w:val="21"/>
          <w:szCs w:val="21"/>
        </w:rPr>
      </w:pPr>
      <w:r>
        <w:rPr>
          <w:rFonts w:hint="eastAsia"/>
          <w:sz w:val="21"/>
          <w:szCs w:val="21"/>
        </w:rPr>
        <w:t xml:space="preserve">（5）变更基金类别； </w:t>
      </w:r>
    </w:p>
    <w:p>
      <w:pPr>
        <w:pStyle w:val="7"/>
        <w:spacing w:before="0" w:beforeAutospacing="0" w:after="0" w:afterAutospacing="0" w:line="360" w:lineRule="auto"/>
        <w:ind w:firstLine="420"/>
        <w:rPr>
          <w:sz w:val="21"/>
          <w:szCs w:val="21"/>
        </w:rPr>
      </w:pPr>
      <w:r>
        <w:rPr>
          <w:rFonts w:hint="eastAsia"/>
          <w:sz w:val="21"/>
          <w:szCs w:val="21"/>
        </w:rPr>
        <w:t xml:space="preserve">（6）变更基金投资目标、范围或策略（法律法规和中国证监会另有规定的除外）；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（8）变更基金份额持有人大会召开程序； </w:t>
      </w:r>
    </w:p>
    <w:p>
      <w:pPr>
        <w:pStyle w:val="7"/>
        <w:spacing w:before="0" w:beforeAutospacing="0" w:after="0" w:afterAutospacing="0" w:line="360" w:lineRule="auto"/>
        <w:ind w:firstLine="420"/>
        <w:rPr>
          <w:sz w:val="21"/>
          <w:szCs w:val="21"/>
        </w:rPr>
      </w:pPr>
      <w:r>
        <w:rPr>
          <w:rFonts w:hint="eastAsia"/>
          <w:sz w:val="21"/>
          <w:szCs w:val="21"/>
        </w:rPr>
        <w:t xml:space="preserve">（9）终止《基金合同》； </w:t>
      </w:r>
    </w:p>
    <w:p>
      <w:pPr>
        <w:pStyle w:val="7"/>
        <w:spacing w:before="0" w:beforeAutospacing="0" w:after="0" w:afterAutospacing="0" w:line="360" w:lineRule="auto"/>
        <w:ind w:firstLine="420"/>
        <w:rPr>
          <w:sz w:val="21"/>
          <w:szCs w:val="21"/>
        </w:rPr>
      </w:pPr>
      <w:r>
        <w:rPr>
          <w:rFonts w:hint="eastAsia"/>
          <w:sz w:val="21"/>
          <w:szCs w:val="21"/>
        </w:rPr>
        <w:t xml:space="preserve">（10）其他可能对基金当事人权利和义务产生重大影响的事项。 </w:t>
      </w:r>
    </w:p>
    <w:p>
      <w:pPr>
        <w:pStyle w:val="7"/>
        <w:spacing w:before="0" w:beforeAutospacing="0" w:after="0" w:afterAutospacing="0" w:line="360" w:lineRule="auto"/>
        <w:ind w:firstLine="420"/>
        <w:rPr>
          <w:sz w:val="21"/>
          <w:szCs w:val="21"/>
        </w:rPr>
      </w:pPr>
      <w:r>
        <w:rPr>
          <w:rFonts w:hint="eastAsia"/>
          <w:sz w:val="21"/>
          <w:szCs w:val="21"/>
        </w:rPr>
        <w:t xml:space="preserve">但出现下列情况时，可不经基金份额持有人大会决议，由基金管理人和基金托管人同意后变更并公告，并报中国证监会备案：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（2）在法律法规和《基金合同》规定的范围内调低本基金的申购费率、赎回费率或变更收费方式；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（5）除按照法律法规和《基金合同》规定应当召开基金份额持有人大会的以外的其他情形。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2、关于《基金合同》变更的基金份额持有人大会决议经中国证监会核准生效后方可执行，自《基金合同》生效之日起在指定媒介公告。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（1）《基金合同》终止后，由基金财产清算小组统一接管基金；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合同》终止并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bookmarkStart w:id="195" w:name="chapter_level1_22_69_section_1_end"/>
      <w:bookmarkEnd w:id="195"/>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6" w:name="chapter_level1_23_71"/>
      <w:bookmarkStart w:id="197" w:name="_Toc113453367"/>
      <w:r>
        <w:rPr>
          <w:rFonts w:hint="eastAsia" w:ascii="宋体" w:hAnsi="宋体" w:eastAsia="宋体"/>
          <w:sz w:val="30"/>
        </w:rPr>
        <w:t>二十、基金合同的内容摘要</w:t>
      </w:r>
      <w:bookmarkEnd w:id="196"/>
      <w:bookmarkEnd w:id="197"/>
    </w:p>
    <w:p>
      <w:pPr>
        <w:pStyle w:val="7"/>
        <w:spacing w:before="0" w:beforeAutospacing="0" w:after="0" w:afterAutospacing="0" w:line="360" w:lineRule="auto"/>
        <w:ind w:firstLine="420"/>
        <w:rPr>
          <w:sz w:val="21"/>
          <w:szCs w:val="21"/>
        </w:rPr>
      </w:pPr>
      <w:bookmarkStart w:id="198" w:name="chapter_level1_23_71_section_1"/>
      <w:bookmarkEnd w:id="198"/>
      <w:r>
        <w:rPr>
          <w:rStyle w:val="11"/>
          <w:rFonts w:hint="eastAsia"/>
          <w:sz w:val="21"/>
          <w:szCs w:val="21"/>
        </w:rPr>
        <w:t>第六部分、《基金合同》当事人及权利义务</w:t>
      </w:r>
    </w:p>
    <w:p>
      <w:pPr>
        <w:pStyle w:val="7"/>
        <w:spacing w:before="0" w:beforeAutospacing="0" w:after="0" w:afterAutospacing="0" w:line="360" w:lineRule="auto"/>
        <w:ind w:firstLine="420"/>
        <w:rPr>
          <w:sz w:val="21"/>
          <w:szCs w:val="21"/>
        </w:rPr>
      </w:pPr>
      <w:r>
        <w:rPr>
          <w:rStyle w:val="11"/>
          <w:rFonts w:hint="eastAsia"/>
          <w:sz w:val="21"/>
          <w:szCs w:val="21"/>
        </w:rPr>
        <w:t>一、基金管理人</w:t>
      </w:r>
    </w:p>
    <w:p>
      <w:pPr>
        <w:pStyle w:val="7"/>
        <w:spacing w:before="0" w:beforeAutospacing="0" w:after="0" w:afterAutospacing="0" w:line="360" w:lineRule="auto"/>
        <w:ind w:firstLine="420"/>
        <w:rPr>
          <w:sz w:val="21"/>
          <w:szCs w:val="21"/>
        </w:rPr>
      </w:pPr>
      <w:r>
        <w:rPr>
          <w:rFonts w:hint="eastAsia"/>
          <w:sz w:val="21"/>
          <w:szCs w:val="21"/>
        </w:rPr>
        <w:t xml:space="preserve">基金管理人的权利及义务如下：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（1）依法募集基金；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（8）选择、委托、更换基金代销机构，对基金代销机构的相关行为进行监督和处理；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（9）担任或委托其他符合条件的机构担任基金注册登记机构办理基金注册登记业务并获得《基金合同》规定的费用；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（12）在符合有关法律法规和《基金合同》的前提下，制订和调整《业务规则》，决定和调整除调高管理费率和托管费率之外的基金相关费率结构和收费方式； </w:t>
      </w:r>
    </w:p>
    <w:p>
      <w:pPr>
        <w:pStyle w:val="7"/>
        <w:spacing w:before="0" w:beforeAutospacing="0" w:after="0" w:afterAutospacing="0" w:line="360" w:lineRule="auto"/>
        <w:ind w:firstLine="420"/>
        <w:rPr>
          <w:sz w:val="21"/>
          <w:szCs w:val="21"/>
        </w:rPr>
      </w:pPr>
      <w:r>
        <w:rPr>
          <w:rFonts w:hint="eastAsia"/>
          <w:sz w:val="21"/>
          <w:szCs w:val="21"/>
        </w:rPr>
        <w:t xml:space="preserve">（13）依照法律法规为基金的利益对被投资公司行使股东权利，为基金的利益行使因基金财产投资于证券所产生的权利；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（14）在法律法规允许的前提下，为基金的利益依法为基金进行融资； </w:t>
      </w:r>
    </w:p>
    <w:p>
      <w:pPr>
        <w:pStyle w:val="7"/>
        <w:spacing w:before="0" w:beforeAutospacing="0" w:after="0" w:afterAutospacing="0" w:line="360" w:lineRule="auto"/>
        <w:ind w:firstLine="420"/>
        <w:rPr>
          <w:sz w:val="21"/>
          <w:szCs w:val="21"/>
        </w:rPr>
      </w:pPr>
      <w:r>
        <w:rPr>
          <w:rFonts w:hint="eastAsia"/>
          <w:sz w:val="21"/>
          <w:szCs w:val="21"/>
        </w:rPr>
        <w:t xml:space="preserve">（15）以基金管理人的名义，代表基金份额持有人的利益行使诉讼权利或者实施其他法律行为；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（16）选择、更换律师事务所、会计师事务所、证券经纪商或其他为基金提供服务的外部机构；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（17）法律法规和《基金合同》规定的其他权利。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（26）建立并保存基金份额持有人名册，定期或不定期向基金托管人提供基金份额持有人名册；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二、基金托管人</w:t>
      </w:r>
    </w:p>
    <w:p>
      <w:pPr>
        <w:pStyle w:val="7"/>
        <w:spacing w:before="0" w:beforeAutospacing="0" w:after="0" w:afterAutospacing="0" w:line="360" w:lineRule="auto"/>
        <w:ind w:firstLine="420"/>
        <w:rPr>
          <w:sz w:val="21"/>
          <w:szCs w:val="21"/>
        </w:rPr>
      </w:pPr>
      <w:r>
        <w:rPr>
          <w:rFonts w:hint="eastAsia"/>
          <w:sz w:val="21"/>
          <w:szCs w:val="21"/>
        </w:rPr>
        <w:t xml:space="preserve">基金托管人的权利及义务如下：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（4）以基金托管人和基金联名的方式在中国证券登记结算有限公司上海分公司和深圳分公司开设证券账户；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（5）以基金托管人名义开立证券交易资金账户，用于证券交易资金清算； </w:t>
      </w:r>
    </w:p>
    <w:p>
      <w:pPr>
        <w:pStyle w:val="7"/>
        <w:spacing w:before="0" w:beforeAutospacing="0" w:after="0" w:afterAutospacing="0" w:line="360" w:lineRule="auto"/>
        <w:ind w:firstLine="420"/>
        <w:rPr>
          <w:sz w:val="21"/>
          <w:szCs w:val="21"/>
        </w:rPr>
      </w:pPr>
      <w:r>
        <w:rPr>
          <w:rFonts w:hint="eastAsia"/>
          <w:sz w:val="21"/>
          <w:szCs w:val="21"/>
        </w:rPr>
        <w:t xml:space="preserve">（6）以基金的名义在中央国债登记结算有限公司开设银行间债券托管账户，负责基金投资债券的后台匹配及资金的清算；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（7）提议召开或召集基金份额持有人大会；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（8）在基金管理人更换时，提名新的基金管理人；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（9）法律法规和《基金合同》规定的其他权利。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（15）按照规定召集基金份额持有人大会或配合基金份额持有人依法自行召集基金份额持有人大会；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三、基金份额持有人</w:t>
      </w:r>
    </w:p>
    <w:p>
      <w:pPr>
        <w:pStyle w:val="7"/>
        <w:spacing w:before="0" w:beforeAutospacing="0" w:after="0" w:afterAutospacing="0" w:line="360" w:lineRule="auto"/>
        <w:ind w:firstLine="420"/>
        <w:rPr>
          <w:sz w:val="21"/>
          <w:szCs w:val="21"/>
        </w:rPr>
      </w:pPr>
      <w:r>
        <w:rPr>
          <w:rFonts w:hint="eastAsia"/>
          <w:sz w:val="21"/>
          <w:szCs w:val="21"/>
        </w:rPr>
        <w:t xml:space="preserve">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（8）对基金管理人、基金托管人、基金销售机构损害其合法权益的行为依法提起诉讼； </w:t>
      </w:r>
    </w:p>
    <w:p>
      <w:pPr>
        <w:pStyle w:val="7"/>
        <w:spacing w:before="0" w:beforeAutospacing="0" w:after="0" w:afterAutospacing="0" w:line="360" w:lineRule="auto"/>
        <w:ind w:firstLine="420"/>
        <w:rPr>
          <w:sz w:val="21"/>
          <w:szCs w:val="21"/>
        </w:rPr>
      </w:pPr>
      <w:r>
        <w:rPr>
          <w:rFonts w:hint="eastAsia"/>
          <w:sz w:val="21"/>
          <w:szCs w:val="21"/>
        </w:rPr>
        <w:t xml:space="preserve">（9）法律法规和《基金合同》规定的其他权利。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（1）遵守《基金合同》； </w:t>
      </w:r>
    </w:p>
    <w:p>
      <w:pPr>
        <w:pStyle w:val="7"/>
        <w:spacing w:before="0" w:beforeAutospacing="0" w:after="0" w:afterAutospacing="0" w:line="360" w:lineRule="auto"/>
        <w:ind w:firstLine="420"/>
        <w:rPr>
          <w:sz w:val="21"/>
          <w:szCs w:val="21"/>
        </w:rPr>
      </w:pPr>
      <w:r>
        <w:rPr>
          <w:rFonts w:hint="eastAsia"/>
          <w:sz w:val="21"/>
          <w:szCs w:val="21"/>
        </w:rPr>
        <w:t xml:space="preserve">（2）缴纳基金认购、申购、赎回款项及法律法规和《基金合同》所规定的费用；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（3）在其持有的基金份额范围内，承担基金亏损或者《基金合同》终止的有限责任；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（4）不从事任何有损基金及其他《基金合同》当事人合法权益的活动；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（5）返还在基金交易过程中因任何原因，自基金管理人、基金托管人及代销机构处获得的不当得利； </w:t>
      </w:r>
    </w:p>
    <w:p>
      <w:pPr>
        <w:pStyle w:val="7"/>
        <w:spacing w:before="0" w:beforeAutospacing="0" w:after="0" w:afterAutospacing="0" w:line="360" w:lineRule="auto"/>
        <w:ind w:firstLine="420"/>
        <w:rPr>
          <w:sz w:val="21"/>
          <w:szCs w:val="21"/>
        </w:rPr>
      </w:pPr>
      <w:r>
        <w:rPr>
          <w:rFonts w:hint="eastAsia"/>
          <w:sz w:val="21"/>
          <w:szCs w:val="21"/>
        </w:rPr>
        <w:t xml:space="preserve">（6）执行生效的基金份额持有人大会的决定；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第七部分 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基金份额持有人大会由基金份额持有人或基金份额持有人的合法授权代表共同组成。基金份额持有人持有的每一基金份额拥有平等的投票权。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（5）提高基金管理人、基金托管人的报酬标准；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（1）调低基金管理费、基金托管费、基金销售服务费；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（2）在法律法规和《基金合同》规定的范围内调低本基金的申购费率、赎回费率或变更收费方式；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（5）除按照法律法规和《基金合同》规定应当召开基金份额持有人大会的以外的其他情形。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1、召开基金份额持有人大会，召集人应于会议召开前30天，在指定媒介公告。基金份额持有人大会通知应至少载明以下内容：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（1）会议召开的时间、地点、方式和会议形式；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（2）会议拟审议的事项、议事程序和表决形式；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（4）授权委托书的内容要求（包括但不限于代理人身份，代理权限和代理有效期限等）、送达时间和地点;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 </w:t>
      </w:r>
    </w:p>
    <w:p>
      <w:pPr>
        <w:pStyle w:val="7"/>
        <w:spacing w:before="0" w:beforeAutospacing="0" w:after="0" w:afterAutospacing="0" w:line="360" w:lineRule="auto"/>
        <w:ind w:firstLine="420"/>
        <w:rPr>
          <w:sz w:val="21"/>
          <w:szCs w:val="21"/>
        </w:rPr>
      </w:pPr>
      <w:r>
        <w:rPr>
          <w:rStyle w:val="11"/>
          <w:rFonts w:hint="eastAsia"/>
          <w:sz w:val="21"/>
          <w:szCs w:val="21"/>
        </w:rPr>
        <w:t>四、基金份额持有人出席会议的方式</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基金份额持有人大会可通过现场开会方式或通讯开会方式召开。 </w:t>
      </w:r>
    </w:p>
    <w:p>
      <w:pPr>
        <w:pStyle w:val="7"/>
        <w:spacing w:before="0" w:beforeAutospacing="0" w:after="0" w:afterAutospacing="0" w:line="360" w:lineRule="auto"/>
        <w:ind w:firstLine="420"/>
        <w:rPr>
          <w:sz w:val="21"/>
          <w:szCs w:val="21"/>
        </w:rPr>
      </w:pPr>
      <w:r>
        <w:rPr>
          <w:rFonts w:hint="eastAsia"/>
          <w:sz w:val="21"/>
          <w:szCs w:val="21"/>
        </w:rPr>
        <w:t xml:space="preserve">会议的召开方式由会议召集人确定，但更换基金管理人和基金托管人必须以现场开会方式召开。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（2）经核对，汇总到会者出示的在权利登记日持有基金份额的凭证显示，有效的基金份额不少于本基金在权益登记日基金总份额的50%（含50%）。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（1）会议召集人按《基金合同》规定公布会议通知后，在2个工作日内连续公布相关提示性公告；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（3）本人直接出具书面意见或授权他人代表出具书面意见的，基金份额持有人所持有的基金份额不小于在权益登记日基金总份额的50%（含50%）；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 </w:t>
      </w:r>
    </w:p>
    <w:p>
      <w:pPr>
        <w:pStyle w:val="7"/>
        <w:spacing w:before="0" w:beforeAutospacing="0" w:after="0" w:afterAutospacing="0" w:line="360" w:lineRule="auto"/>
        <w:ind w:firstLine="420"/>
        <w:rPr>
          <w:sz w:val="21"/>
          <w:szCs w:val="21"/>
        </w:rPr>
      </w:pPr>
      <w:r>
        <w:rPr>
          <w:rFonts w:hint="eastAsia"/>
          <w:sz w:val="21"/>
          <w:szCs w:val="21"/>
        </w:rPr>
        <w:t xml:space="preserve">（5）会议通知公布前报中国证监会备案。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Style w:val="11"/>
          <w:rFonts w:hint="eastAsia"/>
          <w:sz w:val="21"/>
          <w:szCs w:val="21"/>
        </w:rPr>
        <w:t>五、议事内容与程序</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30天前提交召集人并由召集人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基金份额持有人大会的召集人发出召集会议的通知后，对原有提案的修改应当在基金份额持有人大会召开日30天前公告。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召集人对于基金管理人、基金托管人和基金份额持有人提交的临时提案进行审核，符合条件的应当在大会召开日30天前公告。大会召集人应当按照以下原则对提案进行审核： </w:t>
      </w:r>
    </w:p>
    <w:p>
      <w:pPr>
        <w:pStyle w:val="7"/>
        <w:spacing w:before="0" w:beforeAutospacing="0" w:after="0" w:afterAutospacing="0" w:line="360" w:lineRule="auto"/>
        <w:ind w:firstLine="420"/>
        <w:rPr>
          <w:sz w:val="21"/>
          <w:szCs w:val="21"/>
        </w:rPr>
      </w:pPr>
      <w:r>
        <w:rPr>
          <w:rFonts w:hint="eastAsia"/>
          <w:sz w:val="21"/>
          <w:szCs w:val="21"/>
        </w:rPr>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7"/>
        <w:spacing w:before="0" w:beforeAutospacing="0" w:after="0" w:afterAutospacing="0" w:line="360" w:lineRule="auto"/>
        <w:ind w:firstLine="420"/>
        <w:rPr>
          <w:sz w:val="21"/>
          <w:szCs w:val="21"/>
        </w:rPr>
      </w:pPr>
      <w:r>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pPr>
        <w:pStyle w:val="7"/>
        <w:spacing w:before="0" w:beforeAutospacing="0" w:after="0" w:afterAutospacing="0" w:line="360" w:lineRule="auto"/>
        <w:ind w:firstLine="420"/>
        <w:rPr>
          <w:sz w:val="21"/>
          <w:szCs w:val="21"/>
        </w:rPr>
      </w:pPr>
      <w:r>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基金份额持有人大会的召集人发出召开会议的通知后，如果需要对原有提案进行修改，应当最迟在基金份额持有人大会召开前30日公告。否则，会议的召开日期应当顺延并保证至少与公告日期有30日的间隔期。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会议召集人应当制作出席会议人员的签名册。签名册载明参加会议人员姓名（或单位名称）、身份证号码、住所地址、持有或代表有表决权的基金份额、委托人姓名（或单位名称）等事项。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在通讯开会的情况下，首先由召集人提前30日公布提案，在所通知的表决截止日期后2个工作日内在公证机关监督下由召集人统计全部有效表决并统计全部有效表决，在公证机关监督下形成决议。 </w:t>
      </w:r>
    </w:p>
    <w:p>
      <w:pPr>
        <w:pStyle w:val="7"/>
        <w:spacing w:before="0" w:beforeAutospacing="0" w:after="0" w:afterAutospacing="0" w:line="360" w:lineRule="auto"/>
        <w:ind w:firstLine="420"/>
        <w:rPr>
          <w:sz w:val="21"/>
          <w:szCs w:val="21"/>
        </w:rPr>
      </w:pPr>
      <w:r>
        <w:rPr>
          <w:rStyle w:val="11"/>
          <w:rFonts w:hint="eastAsia"/>
          <w:sz w:val="21"/>
          <w:szCs w:val="21"/>
        </w:rPr>
        <w:t>六、表决</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1、一般决议，一般决议须经参加大会的基金份额持有人或其代理人所持表决权的50%以上（含50%）通过方为有效；除下列第2项所规定的须以特别决议通过事项以外的其他事项均以一般决议的方式通过。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Style w:val="11"/>
          <w:rFonts w:hint="eastAsia"/>
          <w:sz w:val="21"/>
          <w:szCs w:val="21"/>
        </w:rPr>
        <w:t>七、计票</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Style w:val="11"/>
          <w:rFonts w:hint="eastAsia"/>
          <w:sz w:val="21"/>
          <w:szCs w:val="21"/>
        </w:rPr>
        <w:t>八、生效与公告</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基金份额持有人大会的决议，召集人应当自通过之日起5日内报中国证监会核准或者备案。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基金份额持有人大会的决议自中国证监会依法核准或者出具无异议意见之日起生效。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第十八部分 基金合同的变更、终止与基金财产清算 </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1、以下变更《基金合同》的事项应经基金份额持有人大会决议通过： </w:t>
      </w:r>
    </w:p>
    <w:p>
      <w:pPr>
        <w:pStyle w:val="7"/>
        <w:spacing w:before="0" w:beforeAutospacing="0" w:after="0" w:afterAutospacing="0" w:line="360" w:lineRule="auto"/>
        <w:ind w:firstLine="420"/>
        <w:rPr>
          <w:sz w:val="21"/>
          <w:szCs w:val="21"/>
        </w:rPr>
      </w:pPr>
      <w:r>
        <w:rPr>
          <w:rFonts w:hint="eastAsia"/>
          <w:sz w:val="21"/>
          <w:szCs w:val="21"/>
        </w:rPr>
        <w:t xml:space="preserve">（1）更换基金管理人； </w:t>
      </w:r>
    </w:p>
    <w:p>
      <w:pPr>
        <w:pStyle w:val="7"/>
        <w:spacing w:before="0" w:beforeAutospacing="0" w:after="0" w:afterAutospacing="0" w:line="360" w:lineRule="auto"/>
        <w:ind w:firstLine="420"/>
        <w:rPr>
          <w:sz w:val="21"/>
          <w:szCs w:val="21"/>
        </w:rPr>
      </w:pPr>
      <w:r>
        <w:rPr>
          <w:rFonts w:hint="eastAsia"/>
          <w:sz w:val="21"/>
          <w:szCs w:val="21"/>
        </w:rPr>
        <w:t xml:space="preserve">（2）更换基金托管人；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（4）提高基金管理人、基金托管人的报酬标准； </w:t>
      </w:r>
    </w:p>
    <w:p>
      <w:pPr>
        <w:pStyle w:val="7"/>
        <w:spacing w:before="0" w:beforeAutospacing="0" w:after="0" w:afterAutospacing="0" w:line="360" w:lineRule="auto"/>
        <w:ind w:firstLine="420"/>
        <w:rPr>
          <w:sz w:val="21"/>
          <w:szCs w:val="21"/>
        </w:rPr>
      </w:pPr>
      <w:r>
        <w:rPr>
          <w:rFonts w:hint="eastAsia"/>
          <w:sz w:val="21"/>
          <w:szCs w:val="21"/>
        </w:rPr>
        <w:t xml:space="preserve">（5）变更基金类别； </w:t>
      </w:r>
    </w:p>
    <w:p>
      <w:pPr>
        <w:pStyle w:val="7"/>
        <w:spacing w:before="0" w:beforeAutospacing="0" w:after="0" w:afterAutospacing="0" w:line="360" w:lineRule="auto"/>
        <w:ind w:firstLine="420"/>
        <w:rPr>
          <w:sz w:val="21"/>
          <w:szCs w:val="21"/>
        </w:rPr>
      </w:pPr>
      <w:r>
        <w:rPr>
          <w:rFonts w:hint="eastAsia"/>
          <w:sz w:val="21"/>
          <w:szCs w:val="21"/>
        </w:rPr>
        <w:t xml:space="preserve">（6）变更基金投资目标、范围或策略（法律法规和中国证监会另有规定的除外）；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（8）变更基金份额持有人大会召开程序； </w:t>
      </w:r>
    </w:p>
    <w:p>
      <w:pPr>
        <w:pStyle w:val="7"/>
        <w:spacing w:before="0" w:beforeAutospacing="0" w:after="0" w:afterAutospacing="0" w:line="360" w:lineRule="auto"/>
        <w:ind w:firstLine="420"/>
        <w:rPr>
          <w:sz w:val="21"/>
          <w:szCs w:val="21"/>
        </w:rPr>
      </w:pPr>
      <w:r>
        <w:rPr>
          <w:rFonts w:hint="eastAsia"/>
          <w:sz w:val="21"/>
          <w:szCs w:val="21"/>
        </w:rPr>
        <w:t xml:space="preserve">（9）终止《基金合同》； </w:t>
      </w:r>
    </w:p>
    <w:p>
      <w:pPr>
        <w:pStyle w:val="7"/>
        <w:spacing w:before="0" w:beforeAutospacing="0" w:after="0" w:afterAutospacing="0" w:line="360" w:lineRule="auto"/>
        <w:ind w:firstLine="420"/>
        <w:rPr>
          <w:sz w:val="21"/>
          <w:szCs w:val="21"/>
        </w:rPr>
      </w:pPr>
      <w:r>
        <w:rPr>
          <w:rFonts w:hint="eastAsia"/>
          <w:sz w:val="21"/>
          <w:szCs w:val="21"/>
        </w:rPr>
        <w:t xml:space="preserve">（10）其他可能对基金当事人权利和义务产生重大影响的事项。 </w:t>
      </w:r>
    </w:p>
    <w:p>
      <w:pPr>
        <w:pStyle w:val="7"/>
        <w:spacing w:before="0" w:beforeAutospacing="0" w:after="0" w:afterAutospacing="0" w:line="360" w:lineRule="auto"/>
        <w:ind w:firstLine="420"/>
        <w:rPr>
          <w:sz w:val="21"/>
          <w:szCs w:val="21"/>
        </w:rPr>
      </w:pPr>
      <w:r>
        <w:rPr>
          <w:rFonts w:hint="eastAsia"/>
          <w:sz w:val="21"/>
          <w:szCs w:val="21"/>
        </w:rPr>
        <w:t xml:space="preserve">但出现下列情况时，可不经基金份额持有人大会决议，由基金管理人和基金托管人同意后变更并公告，并报中国证监会备案：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（2）在法律法规和《基金合同》规定的范围内调低本基金的申购费率、赎回费率或变更收费方式；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（5）除按照法律法规和《基金合同》规定应当召开基金份额持有人大会的以外的其他情形。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2、关于《基金合同》变更的基金份额持有人大会决议经中国证监会核准生效后方可执行，自《基金合同》生效之日起在指定媒介公告。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（1）《基金合同》终止后，由基金财产清算小组统一接管基金；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合同》终止并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第二十一部分 争议的处理和适用的法律</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第二十一部分 《基金合同》的效力</w:t>
      </w:r>
    </w:p>
    <w:p>
      <w:pPr>
        <w:pStyle w:val="7"/>
        <w:spacing w:before="0" w:beforeAutospacing="0" w:after="0" w:afterAutospacing="0" w:line="360" w:lineRule="auto"/>
        <w:ind w:firstLine="420"/>
        <w:rPr>
          <w:sz w:val="21"/>
          <w:szCs w:val="21"/>
        </w:rPr>
      </w:pPr>
      <w:r>
        <w:rPr>
          <w:rFonts w:hint="eastAsia"/>
          <w:sz w:val="21"/>
          <w:szCs w:val="21"/>
        </w:rPr>
        <w:t xml:space="preserve">《基金合同》是约定基金当事人之间、基金与基金当事人之间权利义务关系的法律文件。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1、本基金合同由《裕元证券投资基金基金合同》修订而成。本基金合同经基金管理人和基金托管人盖章以及双方法定代表人或其授权代表签字，报中国证监会核准后，自裕元基金终止上市之日起生效，原《裕元证券投资基金基金合同》自同一日起失效。 </w:t>
      </w:r>
    </w:p>
    <w:p>
      <w:pPr>
        <w:pStyle w:val="7"/>
        <w:spacing w:before="0" w:beforeAutospacing="0" w:after="0" w:afterAutospacing="0" w:line="360" w:lineRule="auto"/>
        <w:ind w:firstLine="420"/>
        <w:rPr>
          <w:sz w:val="21"/>
          <w:szCs w:val="21"/>
        </w:rPr>
      </w:pPr>
      <w:r>
        <w:rPr>
          <w:rFonts w:hint="eastAsia"/>
          <w:sz w:val="21"/>
          <w:szCs w:val="21"/>
        </w:rPr>
        <w:t xml:space="preserve">2、《基金合同》的有效期自其生效之日起至基金财产清算结果报中国证监会批准并公告之日止。 </w:t>
      </w:r>
    </w:p>
    <w:p>
      <w:pPr>
        <w:pStyle w:val="7"/>
        <w:spacing w:before="0" w:beforeAutospacing="0" w:after="0" w:afterAutospacing="0" w:line="360" w:lineRule="auto"/>
        <w:ind w:firstLine="420"/>
        <w:rPr>
          <w:sz w:val="21"/>
          <w:szCs w:val="21"/>
        </w:rPr>
      </w:pPr>
      <w:r>
        <w:rPr>
          <w:rFonts w:hint="eastAsia"/>
          <w:sz w:val="21"/>
          <w:szCs w:val="21"/>
        </w:rPr>
        <w:t xml:space="preserve">3、《基金合同》自生效之日起对包括基金管理人、基金托管人和基金份额持有人在内的《基金合同》各方当事人具有同等的法律约束力。 </w:t>
      </w:r>
    </w:p>
    <w:p>
      <w:pPr>
        <w:pStyle w:val="7"/>
        <w:spacing w:before="0" w:beforeAutospacing="0" w:after="0" w:afterAutospacing="0" w:line="360" w:lineRule="auto"/>
        <w:ind w:firstLine="420"/>
        <w:rPr>
          <w:sz w:val="21"/>
          <w:szCs w:val="21"/>
        </w:rPr>
      </w:pPr>
      <w:r>
        <w:rPr>
          <w:rFonts w:hint="eastAsia"/>
          <w:sz w:val="21"/>
          <w:szCs w:val="21"/>
        </w:rPr>
        <w:t xml:space="preserve">4、《基金合同》正本一式六份，除上报有关监管机构一式二份外，基金管理人、基金托管人各持有二份，每份具有同等的法律效力。 </w:t>
      </w:r>
    </w:p>
    <w:p>
      <w:pPr>
        <w:pStyle w:val="7"/>
        <w:spacing w:before="0" w:beforeAutospacing="0" w:after="0" w:afterAutospacing="0" w:line="360" w:lineRule="auto"/>
        <w:ind w:firstLine="420"/>
        <w:rPr>
          <w:sz w:val="21"/>
          <w:szCs w:val="21"/>
        </w:rPr>
      </w:pPr>
      <w:r>
        <w:rPr>
          <w:rFonts w:hint="eastAsia"/>
          <w:sz w:val="21"/>
          <w:szCs w:val="21"/>
        </w:rPr>
        <w:t xml:space="preserve">5、《基金合同》可印制成册，供投资者在基金管理人、基金托管人、代销机构的办公场所和营业场所查阅；投资者也可按工本费购买《基金合同》复制件或复印件，但内容应以《基金合同》正本为准。 </w:t>
      </w:r>
    </w:p>
    <w:p>
      <w:pPr>
        <w:pStyle w:val="7"/>
        <w:spacing w:before="0" w:beforeAutospacing="0" w:after="0" w:afterAutospacing="0" w:line="360" w:lineRule="auto"/>
        <w:ind w:firstLine="420"/>
        <w:rPr>
          <w:sz w:val="21"/>
          <w:szCs w:val="21"/>
        </w:rPr>
      </w:pPr>
      <w:r>
        <w:rPr>
          <w:rStyle w:val="11"/>
          <w:rFonts w:hint="eastAsia"/>
          <w:sz w:val="21"/>
          <w:szCs w:val="21"/>
        </w:rPr>
        <w:t>第二十二部分 其他事项</w:t>
      </w:r>
    </w:p>
    <w:p>
      <w:pPr>
        <w:pStyle w:val="7"/>
        <w:spacing w:before="0" w:beforeAutospacing="0" w:after="0" w:afterAutospacing="0" w:line="360" w:lineRule="auto"/>
        <w:ind w:firstLine="420"/>
        <w:rPr>
          <w:sz w:val="21"/>
          <w:szCs w:val="21"/>
        </w:rPr>
      </w:pPr>
      <w:bookmarkStart w:id="199" w:name="chapter_level1_23_71_section_1_end"/>
      <w:bookmarkEnd w:id="199"/>
      <w:r>
        <w:rPr>
          <w:rFonts w:hint="eastAsia"/>
          <w:sz w:val="21"/>
          <w:szCs w:val="21"/>
        </w:rPr>
        <w:t xml:space="preserve">《基金合同》如有未尽事宜，由《基金合同》当事人各方按有关法律法规协商解决。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0" w:name="chapter_level1_24_72"/>
      <w:bookmarkStart w:id="201" w:name="_Toc113453368"/>
      <w:r>
        <w:rPr>
          <w:rFonts w:hint="eastAsia" w:ascii="宋体" w:hAnsi="宋体" w:eastAsia="宋体"/>
          <w:sz w:val="30"/>
        </w:rPr>
        <w:t>二十一、基金托管协议的内容摘要</w:t>
      </w:r>
      <w:bookmarkEnd w:id="200"/>
      <w:bookmarkEnd w:id="201"/>
    </w:p>
    <w:p>
      <w:pPr>
        <w:pStyle w:val="7"/>
        <w:spacing w:before="0" w:beforeAutospacing="0" w:after="0" w:afterAutospacing="0" w:line="360" w:lineRule="auto"/>
        <w:ind w:firstLine="420"/>
        <w:rPr>
          <w:sz w:val="21"/>
          <w:szCs w:val="21"/>
        </w:rPr>
      </w:pPr>
      <w:bookmarkStart w:id="202" w:name="chapter_level1_24_72_section_1"/>
      <w:bookmarkEnd w:id="202"/>
      <w:r>
        <w:rPr>
          <w:rStyle w:val="11"/>
          <w:rFonts w:hint="eastAsia"/>
          <w:sz w:val="21"/>
          <w:szCs w:val="21"/>
        </w:rPr>
        <w:t>第一部分 托管协议当事人</w:t>
      </w:r>
    </w:p>
    <w:p>
      <w:pPr>
        <w:pStyle w:val="7"/>
        <w:spacing w:before="0" w:beforeAutospacing="0" w:after="0" w:afterAutospacing="0" w:line="360" w:lineRule="auto"/>
        <w:ind w:firstLine="420"/>
        <w:rPr>
          <w:sz w:val="21"/>
          <w:szCs w:val="21"/>
        </w:rPr>
      </w:pPr>
      <w:r>
        <w:rPr>
          <w:rStyle w:val="11"/>
          <w:rFonts w:hint="eastAsia"/>
          <w:sz w:val="21"/>
          <w:szCs w:val="21"/>
        </w:rPr>
        <w:t>（一）基金管理人</w:t>
      </w:r>
    </w:p>
    <w:p>
      <w:pPr>
        <w:pStyle w:val="7"/>
        <w:spacing w:before="0" w:beforeAutospacing="0" w:after="0" w:afterAutospacing="0" w:line="360" w:lineRule="auto"/>
        <w:ind w:firstLine="420"/>
        <w:rPr>
          <w:sz w:val="21"/>
          <w:szCs w:val="21"/>
        </w:rPr>
      </w:pPr>
      <w:r>
        <w:rPr>
          <w:rFonts w:hint="eastAsia"/>
          <w:sz w:val="21"/>
          <w:szCs w:val="21"/>
        </w:rPr>
        <w:t>名称：</w:t>
      </w:r>
      <w:bookmarkStart w:id="203" w:name="field_0_managerorgfullname_8"/>
      <w:r>
        <w:rPr>
          <w:rFonts w:hint="eastAsia"/>
          <w:sz w:val="21"/>
          <w:szCs w:val="21"/>
        </w:rPr>
        <w:t>博时基金管理有限公司</w:t>
      </w:r>
      <w:bookmarkEnd w:id="203"/>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成立时间：1998年7月13日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经营范围：发起设立基金、基金管理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电话：  0755－83169999 </w:t>
      </w:r>
    </w:p>
    <w:p>
      <w:pPr>
        <w:pStyle w:val="7"/>
        <w:spacing w:before="0" w:beforeAutospacing="0" w:after="0" w:afterAutospacing="0" w:line="360" w:lineRule="auto"/>
        <w:ind w:firstLine="420"/>
        <w:rPr>
          <w:sz w:val="21"/>
          <w:szCs w:val="21"/>
        </w:rPr>
      </w:pPr>
      <w:r>
        <w:rPr>
          <w:rFonts w:hint="eastAsia"/>
          <w:sz w:val="21"/>
          <w:szCs w:val="21"/>
        </w:rPr>
        <w:t xml:space="preserve">传真：0755-83195140 </w:t>
      </w:r>
    </w:p>
    <w:p>
      <w:pPr>
        <w:pStyle w:val="7"/>
        <w:spacing w:before="0" w:beforeAutospacing="0" w:after="0" w:afterAutospacing="0" w:line="360" w:lineRule="auto"/>
        <w:ind w:firstLine="420"/>
        <w:rPr>
          <w:sz w:val="21"/>
          <w:szCs w:val="21"/>
        </w:rPr>
      </w:pPr>
      <w:r>
        <w:rPr>
          <w:rFonts w:hint="eastAsia"/>
          <w:sz w:val="21"/>
          <w:szCs w:val="21"/>
        </w:rPr>
        <w:t xml:space="preserve">联系人： 李全 </w:t>
      </w:r>
    </w:p>
    <w:p>
      <w:pPr>
        <w:pStyle w:val="7"/>
        <w:spacing w:before="0" w:beforeAutospacing="0" w:after="0" w:afterAutospacing="0" w:line="360" w:lineRule="auto"/>
        <w:ind w:firstLine="420"/>
        <w:rPr>
          <w:sz w:val="21"/>
          <w:szCs w:val="21"/>
        </w:rPr>
      </w:pPr>
      <w:r>
        <w:rPr>
          <w:rStyle w:val="11"/>
          <w:rFonts w:hint="eastAsia"/>
          <w:sz w:val="21"/>
          <w:szCs w:val="21"/>
        </w:rPr>
        <w:t>（二）基金托管人</w:t>
      </w:r>
    </w:p>
    <w:p>
      <w:pPr>
        <w:pStyle w:val="7"/>
        <w:spacing w:before="0" w:beforeAutospacing="0" w:after="0" w:afterAutospacing="0" w:line="360" w:lineRule="auto"/>
        <w:ind w:firstLine="420"/>
        <w:rPr>
          <w:sz w:val="21"/>
          <w:szCs w:val="21"/>
        </w:rPr>
      </w:pPr>
      <w:r>
        <w:rPr>
          <w:rFonts w:hint="eastAsia"/>
          <w:sz w:val="21"/>
          <w:szCs w:val="21"/>
        </w:rPr>
        <w:t>基金托管人名称：</w:t>
      </w:r>
      <w:bookmarkStart w:id="204" w:name="field_0_trustorgfullname_3"/>
      <w:r>
        <w:rPr>
          <w:rFonts w:hint="eastAsia"/>
          <w:sz w:val="21"/>
          <w:szCs w:val="21"/>
        </w:rPr>
        <w:t>中国工商银行股份有限公司</w:t>
      </w:r>
      <w:bookmarkEnd w:id="20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法定代表人：陈四清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批准设立机关及批准设立文号：国务院《关于中国人民银行专门行使中央银行职能的决定》（国发[1983]146号）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 </w:t>
      </w:r>
    </w:p>
    <w:p>
      <w:pPr>
        <w:pStyle w:val="7"/>
        <w:spacing w:before="0" w:beforeAutospacing="0" w:after="0" w:afterAutospacing="0" w:line="360" w:lineRule="auto"/>
        <w:ind w:firstLine="420"/>
        <w:rPr>
          <w:sz w:val="21"/>
          <w:szCs w:val="21"/>
        </w:rPr>
      </w:pPr>
      <w:r>
        <w:rPr>
          <w:rStyle w:val="11"/>
          <w:rFonts w:hint="eastAsia"/>
          <w:sz w:val="21"/>
          <w:szCs w:val="21"/>
        </w:rPr>
        <w:t>第三部分 基金托管人与基金管理人之间的业务监督与核查</w:t>
      </w:r>
    </w:p>
    <w:p>
      <w:pPr>
        <w:pStyle w:val="7"/>
        <w:spacing w:before="0" w:beforeAutospacing="0" w:after="0" w:afterAutospacing="0" w:line="360" w:lineRule="auto"/>
        <w:ind w:firstLine="420"/>
        <w:rPr>
          <w:sz w:val="21"/>
          <w:szCs w:val="21"/>
        </w:rPr>
      </w:pPr>
      <w:r>
        <w:rPr>
          <w:rStyle w:val="11"/>
          <w:rFonts w:hint="eastAsia"/>
          <w:sz w:val="21"/>
          <w:szCs w:val="21"/>
        </w:rPr>
        <w:t>（一）基金托管人对基金管理人的投资行为行使监督权</w:t>
      </w:r>
    </w:p>
    <w:p>
      <w:pPr>
        <w:pStyle w:val="7"/>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pPr>
        <w:pStyle w:val="7"/>
        <w:spacing w:before="0" w:beforeAutospacing="0" w:after="0" w:afterAutospacing="0" w:line="360" w:lineRule="auto"/>
        <w:ind w:firstLine="420"/>
        <w:rPr>
          <w:sz w:val="21"/>
          <w:szCs w:val="21"/>
        </w:rPr>
      </w:pPr>
      <w:r>
        <w:rPr>
          <w:rFonts w:hint="eastAsia"/>
          <w:sz w:val="21"/>
          <w:szCs w:val="21"/>
        </w:rPr>
        <w:t xml:space="preserve">本基金将投资于以下金融工具： </w:t>
      </w:r>
    </w:p>
    <w:p>
      <w:pPr>
        <w:pStyle w:val="7"/>
        <w:spacing w:before="0" w:beforeAutospacing="0" w:after="0" w:afterAutospacing="0" w:line="360" w:lineRule="auto"/>
        <w:ind w:firstLine="420"/>
        <w:rPr>
          <w:sz w:val="21"/>
          <w:szCs w:val="21"/>
        </w:rPr>
      </w:pPr>
      <w:r>
        <w:rPr>
          <w:rFonts w:hint="eastAsia"/>
          <w:sz w:val="21"/>
          <w:szCs w:val="21"/>
        </w:rPr>
        <w:t xml:space="preserve">本基金投资于具有良好流动性的金融工具，包括国内依法发行上市的股票（含存托凭证）、债券及中国证监会允许基金投资的其他金融工具或金融衍生工具。 </w:t>
      </w:r>
    </w:p>
    <w:p>
      <w:pPr>
        <w:pStyle w:val="7"/>
        <w:spacing w:before="0" w:beforeAutospacing="0" w:after="0" w:afterAutospacing="0" w:line="360" w:lineRule="auto"/>
        <w:ind w:firstLine="420"/>
        <w:rPr>
          <w:sz w:val="21"/>
          <w:szCs w:val="21"/>
        </w:rPr>
      </w:pPr>
      <w:r>
        <w:rPr>
          <w:rFonts w:hint="eastAsia"/>
          <w:sz w:val="21"/>
          <w:szCs w:val="21"/>
        </w:rPr>
        <w:t xml:space="preserve">本基金不得投资于相关法律、法规、部门规章及《基金合同》禁止投资的投资工具。 </w:t>
      </w:r>
    </w:p>
    <w:p>
      <w:pPr>
        <w:pStyle w:val="7"/>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2、基金托管人根据有关法律法规的规定及《基金合同》的约定对下述基金投融资比例进行监督：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（1）按法律法规的规定及《基金合同》的约定，本基金的投资资产配置比例为： </w:t>
      </w:r>
    </w:p>
    <w:p>
      <w:pPr>
        <w:pStyle w:val="7"/>
        <w:spacing w:before="0" w:beforeAutospacing="0" w:after="0" w:afterAutospacing="0" w:line="360" w:lineRule="auto"/>
        <w:ind w:firstLine="420"/>
        <w:rPr>
          <w:sz w:val="21"/>
          <w:szCs w:val="21"/>
        </w:rPr>
      </w:pPr>
      <w:r>
        <w:rPr>
          <w:rFonts w:hint="eastAsia"/>
          <w:sz w:val="21"/>
          <w:szCs w:val="21"/>
        </w:rPr>
        <w:t xml:space="preserve">基金投资组合中股票（含存托凭证）投资比例为基金资产的60-95%，股票资产中的80%以上投资于第三产业集群所覆盖的行业；债券投资比例为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基金管理人应每季度按照双方约定的形式向基金托管人提供博时第三产业集群股票库，并有责任确保该股票库符合基金合同的有关规定。基金托管人据此股票库监督本基金投资于该类上市公司股票的比例。 </w:t>
      </w:r>
    </w:p>
    <w:p>
      <w:pPr>
        <w:pStyle w:val="7"/>
        <w:spacing w:before="0" w:beforeAutospacing="0" w:after="0" w:afterAutospacing="0" w:line="360" w:lineRule="auto"/>
        <w:ind w:firstLine="420"/>
        <w:rPr>
          <w:sz w:val="21"/>
          <w:szCs w:val="21"/>
        </w:rPr>
      </w:pPr>
      <w:r>
        <w:rPr>
          <w:rFonts w:hint="eastAsia"/>
          <w:sz w:val="21"/>
          <w:szCs w:val="21"/>
        </w:rPr>
        <w:t xml:space="preserve">基金管理人对该股票库的临时调整应事先发函通知基金托管人并加盖公司公章，基金托管人在收到发函的2个工作日内回函确认。对该股票库的调整自基金托管人发出回函确认之日起第2日生效。 </w:t>
      </w:r>
    </w:p>
    <w:p>
      <w:pPr>
        <w:pStyle w:val="7"/>
        <w:spacing w:before="0" w:beforeAutospacing="0" w:after="0" w:afterAutospacing="0" w:line="360" w:lineRule="auto"/>
        <w:ind w:firstLine="420"/>
        <w:rPr>
          <w:sz w:val="21"/>
          <w:szCs w:val="21"/>
        </w:rPr>
      </w:pPr>
      <w:r>
        <w:rPr>
          <w:rFonts w:hint="eastAsia"/>
          <w:sz w:val="21"/>
          <w:szCs w:val="21"/>
        </w:rPr>
        <w:t xml:space="preserve">因基金规模或市场变化等因素导致投资组合不符合上述规定的，基金管理人应在合理的期限内调整基金的投资组合，以符合上述比例限定。法律法规另有规定时，从其规定。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如法律法规或监管机构以后允许本基金投资其他品种，基金管理人在履行适当程序后，可以将其纳入投资范围，并可依据届时有效的法律法规适时合理地调整投资范围。 </w:t>
      </w:r>
    </w:p>
    <w:p>
      <w:pPr>
        <w:pStyle w:val="7"/>
        <w:spacing w:before="0" w:beforeAutospacing="0" w:after="0" w:afterAutospacing="0" w:line="360" w:lineRule="auto"/>
        <w:ind w:firstLine="420"/>
        <w:rPr>
          <w:sz w:val="21"/>
          <w:szCs w:val="21"/>
        </w:rPr>
      </w:pPr>
      <w:r>
        <w:rPr>
          <w:rFonts w:hint="eastAsia"/>
          <w:sz w:val="21"/>
          <w:szCs w:val="21"/>
        </w:rPr>
        <w:t xml:space="preserve">（2）根据法律法规的规定及《基金合同》的约定，本基金投资组合遵循以下投资限制： </w:t>
      </w:r>
    </w:p>
    <w:p>
      <w:pPr>
        <w:pStyle w:val="7"/>
        <w:spacing w:before="0" w:beforeAutospacing="0" w:after="0" w:afterAutospacing="0" w:line="360" w:lineRule="auto"/>
        <w:ind w:firstLine="420"/>
        <w:rPr>
          <w:sz w:val="21"/>
          <w:szCs w:val="21"/>
        </w:rPr>
      </w:pPr>
      <w:r>
        <w:rPr>
          <w:rFonts w:hint="eastAsia"/>
          <w:sz w:val="21"/>
          <w:szCs w:val="21"/>
        </w:rPr>
        <w:t xml:space="preserve">①本基金持有一家上市公司的股票（含存托凭证），其市值不得超过基金资产净值的10%；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②本基金与由基金管理人管理的其他基金共同持有一家公司发行的证券（含存托凭证），不得超过该证券的10%； </w:t>
      </w:r>
    </w:p>
    <w:p>
      <w:pPr>
        <w:pStyle w:val="7"/>
        <w:spacing w:before="0" w:beforeAutospacing="0" w:after="0" w:afterAutospacing="0" w:line="360" w:lineRule="auto"/>
        <w:ind w:firstLine="420"/>
        <w:rPr>
          <w:sz w:val="21"/>
          <w:szCs w:val="21"/>
        </w:rPr>
      </w:pPr>
      <w:r>
        <w:rPr>
          <w:rFonts w:hint="eastAsia"/>
          <w:sz w:val="21"/>
          <w:szCs w:val="21"/>
        </w:rPr>
        <w:t xml:space="preserve">③本基金进入全国银行间同业市场进行债券回购的资金余额不得超过基金资产净值的40%；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④本基金持有的现金和到期日在一年以内的政府债券为基金资产净值5％以上；其中，现金不包括结算备付金、存出保证金、应收申购款等；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⑤本基金不得违反《基金合同》关于投资范围、投资策略和投资比例的约定； </w:t>
      </w:r>
    </w:p>
    <w:p>
      <w:pPr>
        <w:pStyle w:val="7"/>
        <w:spacing w:before="0" w:beforeAutospacing="0" w:after="0" w:afterAutospacing="0" w:line="360" w:lineRule="auto"/>
        <w:ind w:firstLine="420"/>
        <w:rPr>
          <w:sz w:val="21"/>
          <w:szCs w:val="21"/>
        </w:rPr>
      </w:pPr>
      <w:r>
        <w:rPr>
          <w:rFonts w:hint="eastAsia"/>
          <w:sz w:val="21"/>
          <w:szCs w:val="21"/>
        </w:rPr>
        <w:t xml:space="preserve">⑥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 </w:t>
      </w:r>
    </w:p>
    <w:p>
      <w:pPr>
        <w:pStyle w:val="7"/>
        <w:spacing w:before="0" w:beforeAutospacing="0" w:after="0" w:afterAutospacing="0" w:line="360" w:lineRule="auto"/>
        <w:ind w:firstLine="420"/>
        <w:rPr>
          <w:sz w:val="21"/>
          <w:szCs w:val="21"/>
        </w:rPr>
      </w:pPr>
      <w:r>
        <w:rPr>
          <w:rFonts w:hint="eastAsia"/>
          <w:sz w:val="21"/>
          <w:szCs w:val="21"/>
        </w:rPr>
        <w:t xml:space="preserve">⑦基金财产参与股票发行申购，本基金所申报的金额不得超过本基金的总资产，所申报的股票数量不得超过拟发行股票公司本次发行股票的总量；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⑧本基金的建仓期为6个月； </w:t>
      </w:r>
    </w:p>
    <w:p>
      <w:pPr>
        <w:pStyle w:val="7"/>
        <w:spacing w:before="0" w:beforeAutospacing="0" w:after="0" w:afterAutospacing="0" w:line="360" w:lineRule="auto"/>
        <w:ind w:firstLine="420"/>
        <w:rPr>
          <w:sz w:val="21"/>
          <w:szCs w:val="21"/>
        </w:rPr>
      </w:pPr>
      <w:r>
        <w:rPr>
          <w:rFonts w:hint="eastAsia"/>
          <w:sz w:val="21"/>
          <w:szCs w:val="21"/>
        </w:rPr>
        <w:t xml:space="preserve">⑨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⑩本基金主动投资于流动性受限资产的市值合计不得超过本基金资产净值的15%；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ascii="Cambria Math" w:hAnsi="Cambria Math" w:cs="Cambria Math"/>
          <w:sz w:val="21"/>
          <w:szCs w:val="21"/>
        </w:rPr>
        <w:t>⑪</w:t>
      </w:r>
      <w:r>
        <w:rPr>
          <w:rFonts w:hint="eastAsia"/>
          <w:sz w:val="21"/>
          <w:szCs w:val="21"/>
        </w:rPr>
        <w:t xml:space="preserve">相关法律法规以及监管部门规定的其它投资限制； </w:t>
      </w:r>
    </w:p>
    <w:p>
      <w:pPr>
        <w:pStyle w:val="7"/>
        <w:spacing w:before="0" w:beforeAutospacing="0" w:after="0" w:afterAutospacing="0" w:line="360" w:lineRule="auto"/>
        <w:ind w:firstLine="420"/>
        <w:rPr>
          <w:sz w:val="21"/>
          <w:szCs w:val="21"/>
        </w:rPr>
      </w:pPr>
      <w:r>
        <w:rPr>
          <w:rFonts w:hint="eastAsia"/>
          <w:sz w:val="21"/>
          <w:szCs w:val="21"/>
        </w:rPr>
        <w:t xml:space="preserve">《基金法》及其他有关法律法规或监管部门取消上述限制的，履行适当程序后，基金不受上述限制。 </w:t>
      </w:r>
    </w:p>
    <w:p>
      <w:pPr>
        <w:pStyle w:val="7"/>
        <w:spacing w:before="0" w:beforeAutospacing="0" w:after="0" w:afterAutospacing="0" w:line="360" w:lineRule="auto"/>
        <w:ind w:firstLine="420"/>
        <w:rPr>
          <w:sz w:val="21"/>
          <w:szCs w:val="21"/>
        </w:rPr>
      </w:pPr>
      <w:r>
        <w:rPr>
          <w:rFonts w:hint="eastAsia"/>
          <w:sz w:val="21"/>
          <w:szCs w:val="21"/>
        </w:rPr>
        <w:t xml:space="preserve">（3）法规允许的基金投资比例调整期限 </w:t>
      </w:r>
    </w:p>
    <w:p>
      <w:pPr>
        <w:pStyle w:val="7"/>
        <w:spacing w:before="0" w:beforeAutospacing="0" w:after="0" w:afterAutospacing="0" w:line="360" w:lineRule="auto"/>
        <w:ind w:firstLine="420"/>
        <w:rPr>
          <w:sz w:val="21"/>
          <w:szCs w:val="21"/>
        </w:rPr>
      </w:pPr>
      <w:r>
        <w:rPr>
          <w:rFonts w:hint="eastAsia"/>
          <w:sz w:val="21"/>
          <w:szCs w:val="21"/>
        </w:rPr>
        <w:t xml:space="preserve">除上述（2）的第④、⑩项外，由于证券市场波动、上市公司合并或基金规模变动等基金管理人之外的原因导致的投资组合不符合上述约定的比例，基金管理人应在10个交易日内进行调整，以达到规定的投资比例限制要求。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（4）本基金可以按照国家的有关规定进行融资融券。 </w:t>
      </w:r>
    </w:p>
    <w:p>
      <w:pPr>
        <w:pStyle w:val="7"/>
        <w:spacing w:before="0" w:beforeAutospacing="0" w:after="0" w:afterAutospacing="0" w:line="360" w:lineRule="auto"/>
        <w:ind w:firstLine="420"/>
        <w:rPr>
          <w:sz w:val="21"/>
          <w:szCs w:val="21"/>
        </w:rPr>
      </w:pPr>
      <w:r>
        <w:rPr>
          <w:rFonts w:hint="eastAsia"/>
          <w:sz w:val="21"/>
          <w:szCs w:val="21"/>
        </w:rPr>
        <w:t xml:space="preserve">（5）相关法律、法规或部门规章规定的其他比例限制。 </w:t>
      </w:r>
    </w:p>
    <w:p>
      <w:pPr>
        <w:pStyle w:val="7"/>
        <w:spacing w:before="0" w:beforeAutospacing="0" w:after="0" w:afterAutospacing="0" w:line="360" w:lineRule="auto"/>
        <w:ind w:firstLine="420"/>
        <w:rPr>
          <w:sz w:val="21"/>
          <w:szCs w:val="21"/>
        </w:rPr>
      </w:pPr>
      <w:r>
        <w:rPr>
          <w:rFonts w:hint="eastAsia"/>
          <w:sz w:val="21"/>
          <w:szCs w:val="21"/>
        </w:rPr>
        <w:t xml:space="preserve">基金托管人对基金的投资的监督和检查自《基金合同》生效之日起开始。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pPr>
        <w:pStyle w:val="7"/>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（3）从事可能使基金承担无限责任的投资；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（4）买卖其他基金份额，但国务院另有规定的除外；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（5）向基金管理人、基金托管人出资或者买卖其基金管理人、基金托管人发行的股票或债券； </w:t>
      </w:r>
    </w:p>
    <w:p>
      <w:pPr>
        <w:pStyle w:val="7"/>
        <w:spacing w:before="0" w:beforeAutospacing="0" w:after="0" w:afterAutospacing="0" w:line="360" w:lineRule="auto"/>
        <w:ind w:firstLine="420"/>
        <w:rPr>
          <w:sz w:val="21"/>
          <w:szCs w:val="21"/>
        </w:rPr>
      </w:pPr>
      <w:r>
        <w:rPr>
          <w:rFonts w:hint="eastAsia"/>
          <w:sz w:val="21"/>
          <w:szCs w:val="21"/>
        </w:rPr>
        <w:t xml:space="preserve">（6）买卖与基金管理人、基金托管人有控股关系的股东或者与基金管理人、基金托管人有其他重大利害关系的公司发行的证券或者承销期内承销的证券； </w:t>
      </w:r>
    </w:p>
    <w:p>
      <w:pPr>
        <w:pStyle w:val="7"/>
        <w:spacing w:before="0" w:beforeAutospacing="0" w:after="0" w:afterAutospacing="0" w:line="360" w:lineRule="auto"/>
        <w:ind w:firstLine="420"/>
        <w:rPr>
          <w:sz w:val="21"/>
          <w:szCs w:val="21"/>
        </w:rPr>
      </w:pPr>
      <w:r>
        <w:rPr>
          <w:rFonts w:hint="eastAsia"/>
          <w:sz w:val="21"/>
          <w:szCs w:val="21"/>
        </w:rPr>
        <w:t xml:space="preserve">（7）从事内幕交易、操纵证券价格及其他不正当的证券交易活动；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（8）当时有效的法律法规、中国证监会及《基金合同》规定禁止从事的其他行为。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如法律法规或监管部门取消上述禁止性规定，基金管理人在履行适当程序后可不受上述规定的限制。 </w:t>
      </w:r>
    </w:p>
    <w:p>
      <w:pPr>
        <w:pStyle w:val="7"/>
        <w:spacing w:before="0" w:beforeAutospacing="0" w:after="0" w:afterAutospacing="0" w:line="360" w:lineRule="auto"/>
        <w:ind w:firstLine="420"/>
        <w:rPr>
          <w:sz w:val="21"/>
          <w:szCs w:val="21"/>
        </w:rPr>
      </w:pPr>
      <w:r>
        <w:rPr>
          <w:rFonts w:hint="eastAsia"/>
          <w:sz w:val="21"/>
          <w:szCs w:val="21"/>
        </w:rPr>
        <w:t xml:space="preserve">4、基金托管人依据有关法律法规的规定和《基金合同》的约定对于基金关联投资限制进行监督。 </w:t>
      </w:r>
    </w:p>
    <w:p>
      <w:pPr>
        <w:pStyle w:val="7"/>
        <w:spacing w:before="0" w:beforeAutospacing="0" w:after="0" w:afterAutospacing="0" w:line="360" w:lineRule="auto"/>
        <w:ind w:firstLine="420"/>
        <w:rPr>
          <w:sz w:val="21"/>
          <w:szCs w:val="21"/>
        </w:rPr>
      </w:pPr>
      <w:r>
        <w:rPr>
          <w:rFonts w:hint="eastAsia"/>
          <w:sz w:val="21"/>
          <w:szCs w:val="21"/>
        </w:rPr>
        <w:t xml:space="preserve">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 </w:t>
      </w:r>
    </w:p>
    <w:p>
      <w:pPr>
        <w:pStyle w:val="7"/>
        <w:spacing w:before="0" w:beforeAutospacing="0" w:after="0" w:afterAutospacing="0" w:line="360" w:lineRule="auto"/>
        <w:ind w:firstLine="420"/>
        <w:rPr>
          <w:sz w:val="21"/>
          <w:szCs w:val="21"/>
        </w:rPr>
      </w:pPr>
      <w:r>
        <w:rPr>
          <w:rFonts w:hint="eastAsia"/>
          <w:sz w:val="21"/>
          <w:szCs w:val="21"/>
        </w:rPr>
        <w:t xml:space="preserve">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5、基金托管人依据有关法律法规的规定和《基金合同》的约定对基金管理人参与银行间债券市场进行监督。 </w:t>
      </w:r>
    </w:p>
    <w:p>
      <w:pPr>
        <w:pStyle w:val="7"/>
        <w:spacing w:before="0" w:beforeAutospacing="0" w:after="0" w:afterAutospacing="0" w:line="360" w:lineRule="auto"/>
        <w:ind w:firstLine="420"/>
        <w:rPr>
          <w:sz w:val="21"/>
          <w:szCs w:val="21"/>
        </w:rPr>
      </w:pPr>
      <w:r>
        <w:rPr>
          <w:rFonts w:hint="eastAsia"/>
          <w:sz w:val="21"/>
          <w:szCs w:val="21"/>
        </w:rPr>
        <w:t xml:space="preserve">（1）基金托管人依据有关法律法规的规定和《基金合同》的约定对于基金管理人参与银行间市场交易时面临的交易对手资信风险进行监督。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pPr>
        <w:pStyle w:val="7"/>
        <w:spacing w:before="0" w:beforeAutospacing="0" w:after="0" w:afterAutospacing="0" w:line="360" w:lineRule="auto"/>
        <w:ind w:firstLine="420"/>
        <w:rPr>
          <w:sz w:val="21"/>
          <w:szCs w:val="21"/>
        </w:rPr>
      </w:pPr>
      <w:r>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（2）基金托管人对于基金管理人参与银行间市场交易的交易方式的控制 </w:t>
      </w:r>
    </w:p>
    <w:p>
      <w:pPr>
        <w:pStyle w:val="7"/>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 </w:t>
      </w:r>
    </w:p>
    <w:p>
      <w:pPr>
        <w:pStyle w:val="7"/>
        <w:spacing w:before="0" w:beforeAutospacing="0" w:after="0" w:afterAutospacing="0" w:line="360" w:lineRule="auto"/>
        <w:ind w:firstLine="420"/>
        <w:rPr>
          <w:sz w:val="21"/>
          <w:szCs w:val="21"/>
        </w:rPr>
      </w:pPr>
      <w:r>
        <w:rPr>
          <w:rFonts w:hint="eastAsia"/>
          <w:sz w:val="21"/>
          <w:szCs w:val="21"/>
        </w:rPr>
        <w:t xml:space="preserve">（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 </w:t>
      </w:r>
    </w:p>
    <w:p>
      <w:pPr>
        <w:pStyle w:val="7"/>
        <w:spacing w:before="0" w:beforeAutospacing="0" w:after="0" w:afterAutospacing="0" w:line="360" w:lineRule="auto"/>
        <w:ind w:firstLine="420"/>
        <w:rPr>
          <w:sz w:val="21"/>
          <w:szCs w:val="21"/>
        </w:rPr>
      </w:pPr>
      <w:r>
        <w:rPr>
          <w:rFonts w:hint="eastAsia"/>
          <w:sz w:val="21"/>
          <w:szCs w:val="21"/>
        </w:rPr>
        <w:t xml:space="preserve">6、基金托管人对基金管理人选择存款银行进行监督。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 </w:t>
      </w:r>
    </w:p>
    <w:p>
      <w:pPr>
        <w:pStyle w:val="7"/>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基金托管人发现基金管理人的投资指令违反关法律法规规定或者违反《基金合同》约定的，应当拒绝执行，立即通知基金管理人，并向中国证监会报告。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基金托管人发现基金管理人依据交易程序已经生效的投资指令违反法律、行政法规和其他有关规定，或者违反《基金合同》约定的，应当立即通知基金管理人，并报告中国证监会。 </w:t>
      </w:r>
    </w:p>
    <w:p>
      <w:pPr>
        <w:pStyle w:val="7"/>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pPr>
        <w:pStyle w:val="7"/>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第四部分 基金管理人对基金托管人的业务核查 </w:t>
      </w:r>
    </w:p>
    <w:p>
      <w:pPr>
        <w:pStyle w:val="7"/>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pPr>
        <w:pStyle w:val="7"/>
        <w:spacing w:before="0" w:beforeAutospacing="0" w:after="0" w:afterAutospacing="0" w:line="360" w:lineRule="auto"/>
        <w:ind w:firstLine="420"/>
        <w:rPr>
          <w:sz w:val="21"/>
          <w:szCs w:val="21"/>
        </w:rPr>
      </w:pPr>
      <w:r>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第五部分 基金财产保管 </w:t>
      </w:r>
    </w:p>
    <w:p>
      <w:pPr>
        <w:pStyle w:val="7"/>
        <w:spacing w:before="0" w:beforeAutospacing="0" w:after="0" w:afterAutospacing="0" w:line="360" w:lineRule="auto"/>
        <w:ind w:firstLine="420"/>
        <w:rPr>
          <w:sz w:val="21"/>
          <w:szCs w:val="21"/>
        </w:rPr>
      </w:pPr>
      <w:r>
        <w:rPr>
          <w:rStyle w:val="11"/>
          <w:rFonts w:hint="eastAsia"/>
          <w:sz w:val="21"/>
          <w:szCs w:val="21"/>
        </w:rPr>
        <w:t>（一）基金财产保管的原则</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pPr>
        <w:pStyle w:val="7"/>
        <w:spacing w:before="0" w:beforeAutospacing="0" w:after="0" w:afterAutospacing="0" w:line="360" w:lineRule="auto"/>
        <w:ind w:firstLine="420"/>
        <w:rPr>
          <w:sz w:val="21"/>
          <w:szCs w:val="21"/>
        </w:rPr>
      </w:pPr>
      <w:r>
        <w:rPr>
          <w:rStyle w:val="11"/>
          <w:rFonts w:hint="eastAsia"/>
          <w:sz w:val="21"/>
          <w:szCs w:val="21"/>
        </w:rPr>
        <w:t>（二）基金的银行账户的开立和管理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 </w:t>
      </w:r>
    </w:p>
    <w:p>
      <w:pPr>
        <w:pStyle w:val="7"/>
        <w:spacing w:before="0" w:beforeAutospacing="0" w:after="0" w:afterAutospacing="0" w:line="360" w:lineRule="auto"/>
        <w:ind w:firstLine="420"/>
        <w:rPr>
          <w:sz w:val="21"/>
          <w:szCs w:val="21"/>
        </w:rPr>
      </w:pPr>
      <w:r>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资产托管专户的管理应符合《银行账户管理办法》、《现金管理条例》、《中国人民银行利率管理的有关规定》、《关于大额现金支付管理的通知》、《支付结算办法》以及银行业监督管理机构的其他规定。 </w:t>
      </w:r>
    </w:p>
    <w:p>
      <w:pPr>
        <w:pStyle w:val="7"/>
        <w:spacing w:before="0" w:beforeAutospacing="0" w:after="0" w:afterAutospacing="0" w:line="360" w:lineRule="auto"/>
        <w:ind w:firstLine="420"/>
        <w:rPr>
          <w:sz w:val="21"/>
          <w:szCs w:val="21"/>
        </w:rPr>
      </w:pPr>
      <w:r>
        <w:rPr>
          <w:rStyle w:val="11"/>
          <w:rFonts w:hint="eastAsia"/>
          <w:sz w:val="21"/>
          <w:szCs w:val="21"/>
        </w:rPr>
        <w:t>（三）基金证券账户与证券交易资金账户的开设和管理</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基金托管人以基金托管人和本基金联名的方式在中国证券登记结算有限公司上海分公司/深圳分公司开设证券账户。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pPr>
        <w:pStyle w:val="7"/>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Style w:val="11"/>
          <w:rFonts w:hint="eastAsia"/>
          <w:sz w:val="21"/>
          <w:szCs w:val="21"/>
        </w:rPr>
        <w:t>（四）债券托管账户的开立和管理</w:t>
      </w:r>
    </w:p>
    <w:p>
      <w:pPr>
        <w:pStyle w:val="7"/>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2、基金管理人和基金托管人应一起负责为基金对外签订全国银行间国债市场回购主协议，正本由基金托管人保管，基金管理人保存副本。 </w:t>
      </w:r>
    </w:p>
    <w:p>
      <w:pPr>
        <w:pStyle w:val="7"/>
        <w:spacing w:before="0" w:beforeAutospacing="0" w:after="0" w:afterAutospacing="0" w:line="360" w:lineRule="auto"/>
        <w:ind w:firstLine="420"/>
        <w:rPr>
          <w:sz w:val="21"/>
          <w:szCs w:val="21"/>
        </w:rPr>
      </w:pPr>
      <w:r>
        <w:rPr>
          <w:rStyle w:val="11"/>
          <w:rFonts w:hint="eastAsia"/>
          <w:sz w:val="21"/>
          <w:szCs w:val="21"/>
        </w:rPr>
        <w:t>（五）其他账户的开设和管理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pPr>
        <w:pStyle w:val="7"/>
        <w:spacing w:before="0" w:beforeAutospacing="0" w:after="0" w:afterAutospacing="0" w:line="360" w:lineRule="auto"/>
        <w:ind w:firstLine="420"/>
        <w:rPr>
          <w:sz w:val="21"/>
          <w:szCs w:val="21"/>
        </w:rPr>
      </w:pPr>
      <w:r>
        <w:rPr>
          <w:rStyle w:val="11"/>
          <w:rFonts w:hint="eastAsia"/>
          <w:sz w:val="21"/>
          <w:szCs w:val="21"/>
        </w:rPr>
        <w:t>（六）基金财产投资的有关实物证券、银行定期存款存单等有价凭证的保管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 </w:t>
      </w:r>
    </w:p>
    <w:p>
      <w:pPr>
        <w:pStyle w:val="7"/>
        <w:spacing w:before="0" w:beforeAutospacing="0" w:after="0" w:afterAutospacing="0" w:line="360" w:lineRule="auto"/>
        <w:ind w:firstLine="420"/>
        <w:rPr>
          <w:sz w:val="21"/>
          <w:szCs w:val="21"/>
        </w:rPr>
      </w:pPr>
      <w:r>
        <w:rPr>
          <w:rStyle w:val="11"/>
          <w:rFonts w:hint="eastAsia"/>
          <w:sz w:val="21"/>
          <w:szCs w:val="21"/>
        </w:rPr>
        <w:t>（七）与基金财产有关的重大合同的保管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pPr>
        <w:pStyle w:val="7"/>
        <w:spacing w:before="0" w:beforeAutospacing="0" w:after="0" w:afterAutospacing="0" w:line="360" w:lineRule="auto"/>
        <w:ind w:firstLine="420"/>
        <w:rPr>
          <w:sz w:val="21"/>
          <w:szCs w:val="21"/>
        </w:rPr>
      </w:pPr>
      <w:r>
        <w:rPr>
          <w:rStyle w:val="11"/>
          <w:rFonts w:hint="eastAsia"/>
          <w:sz w:val="21"/>
          <w:szCs w:val="21"/>
        </w:rPr>
        <w:t>第八部分 基金资产净值计算和会计核算</w:t>
      </w:r>
    </w:p>
    <w:p>
      <w:pPr>
        <w:pStyle w:val="7"/>
        <w:spacing w:before="0" w:beforeAutospacing="0" w:after="0" w:afterAutospacing="0" w:line="360" w:lineRule="auto"/>
        <w:ind w:firstLine="420"/>
        <w:rPr>
          <w:sz w:val="21"/>
          <w:szCs w:val="21"/>
        </w:rPr>
      </w:pPr>
      <w:r>
        <w:rPr>
          <w:rStyle w:val="11"/>
          <w:rFonts w:hint="eastAsia"/>
          <w:sz w:val="21"/>
          <w:szCs w:val="21"/>
        </w:rPr>
        <w:t>（一） 估值目的 </w:t>
      </w:r>
    </w:p>
    <w:p>
      <w:pPr>
        <w:pStyle w:val="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pPr>
        <w:pStyle w:val="7"/>
        <w:spacing w:before="0" w:beforeAutospacing="0" w:after="0" w:afterAutospacing="0" w:line="360" w:lineRule="auto"/>
        <w:ind w:firstLine="420"/>
        <w:rPr>
          <w:sz w:val="21"/>
          <w:szCs w:val="21"/>
        </w:rPr>
      </w:pPr>
      <w:r>
        <w:rPr>
          <w:rStyle w:val="11"/>
          <w:rFonts w:hint="eastAsia"/>
          <w:sz w:val="21"/>
          <w:szCs w:val="21"/>
        </w:rPr>
        <w:t>（二） 估值日 </w:t>
      </w:r>
    </w:p>
    <w:p>
      <w:pPr>
        <w:pStyle w:val="7"/>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Style w:val="11"/>
          <w:rFonts w:hint="eastAsia"/>
          <w:sz w:val="21"/>
          <w:szCs w:val="21"/>
        </w:rPr>
        <w:t>（三） 估值对象 </w:t>
      </w:r>
    </w:p>
    <w:p>
      <w:pPr>
        <w:pStyle w:val="7"/>
        <w:spacing w:before="0" w:beforeAutospacing="0" w:after="0" w:afterAutospacing="0" w:line="360" w:lineRule="auto"/>
        <w:ind w:firstLine="420"/>
        <w:rPr>
          <w:sz w:val="21"/>
          <w:szCs w:val="21"/>
        </w:rPr>
      </w:pPr>
      <w:r>
        <w:rPr>
          <w:rFonts w:hint="eastAsia"/>
          <w:sz w:val="21"/>
          <w:szCs w:val="21"/>
        </w:rPr>
        <w:t xml:space="preserve">基金所拥有的股票、债券、权证和银行存款本息等资产和负债。 </w:t>
      </w:r>
    </w:p>
    <w:p>
      <w:pPr>
        <w:pStyle w:val="7"/>
        <w:spacing w:before="0" w:beforeAutospacing="0" w:after="0" w:afterAutospacing="0" w:line="360" w:lineRule="auto"/>
        <w:ind w:firstLine="420"/>
        <w:rPr>
          <w:sz w:val="21"/>
          <w:szCs w:val="21"/>
        </w:rPr>
      </w:pPr>
      <w:r>
        <w:rPr>
          <w:rStyle w:val="11"/>
          <w:rFonts w:hint="eastAsia"/>
          <w:sz w:val="21"/>
          <w:szCs w:val="21"/>
        </w:rPr>
        <w:t>（四） 估值程序</w:t>
      </w:r>
    </w:p>
    <w:p>
      <w:pPr>
        <w:pStyle w:val="7"/>
        <w:spacing w:before="0" w:beforeAutospacing="0" w:after="0" w:afterAutospacing="0" w:line="360" w:lineRule="auto"/>
        <w:ind w:firstLine="420"/>
        <w:rPr>
          <w:sz w:val="21"/>
          <w:szCs w:val="21"/>
        </w:rPr>
      </w:pPr>
      <w:r>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pPr>
        <w:pStyle w:val="7"/>
        <w:spacing w:before="0" w:beforeAutospacing="0" w:after="0" w:afterAutospacing="0" w:line="360" w:lineRule="auto"/>
        <w:ind w:firstLine="420"/>
        <w:rPr>
          <w:sz w:val="21"/>
          <w:szCs w:val="21"/>
        </w:rPr>
      </w:pPr>
      <w:r>
        <w:rPr>
          <w:rStyle w:val="11"/>
          <w:rFonts w:hint="eastAsia"/>
          <w:sz w:val="21"/>
          <w:szCs w:val="21"/>
        </w:rPr>
        <w:t>（五）估值方法 </w:t>
      </w:r>
    </w:p>
    <w:p>
      <w:pPr>
        <w:pStyle w:val="7"/>
        <w:spacing w:before="0" w:beforeAutospacing="0" w:after="0" w:afterAutospacing="0" w:line="360" w:lineRule="auto"/>
        <w:ind w:firstLine="420"/>
        <w:rPr>
          <w:sz w:val="21"/>
          <w:szCs w:val="21"/>
        </w:rPr>
      </w:pPr>
      <w:r>
        <w:rPr>
          <w:rFonts w:hint="eastAsia"/>
          <w:sz w:val="21"/>
          <w:szCs w:val="21"/>
        </w:rPr>
        <w:t xml:space="preserve">本基金按以下方式进行估值：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（1）送股、转增股、配股和公开增发的新股，按估值日在证券交易所挂牌的同一股票的市价（收盘价）估值；该日无交易的，以最近一日的市价（收盘价）估值；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pPr>
        <w:pStyle w:val="7"/>
        <w:spacing w:before="0" w:beforeAutospacing="0" w:after="0" w:afterAutospacing="0" w:line="360" w:lineRule="auto"/>
        <w:ind w:firstLine="420"/>
        <w:rPr>
          <w:sz w:val="21"/>
          <w:szCs w:val="21"/>
        </w:rPr>
      </w:pPr>
      <w:r>
        <w:rPr>
          <w:rFonts w:hint="eastAsia"/>
          <w:sz w:val="21"/>
          <w:szCs w:val="21"/>
        </w:rPr>
        <w:t xml:space="preserve">4、全国银行间债券市场交易的债券、资产支持证券等固定收益品种，采用估值技术确定公允价值。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5、同一证券同时在两个或两个以上市场交易的，按证券所处的市场分别估值。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7、相关法律法规以及监管部门有强制规定的，从其规定。如有新增事项，按国家最新规定估值。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（六） 基金份额净值的确认和估值错误的处理</w:t>
      </w:r>
    </w:p>
    <w:p>
      <w:pPr>
        <w:pStyle w:val="7"/>
        <w:spacing w:before="0" w:beforeAutospacing="0" w:after="0" w:afterAutospacing="0" w:line="360" w:lineRule="auto"/>
        <w:ind w:firstLine="420"/>
        <w:rPr>
          <w:sz w:val="21"/>
          <w:szCs w:val="21"/>
        </w:rPr>
      </w:pPr>
      <w:r>
        <w:rPr>
          <w:rFonts w:hint="eastAsia"/>
          <w:sz w:val="21"/>
          <w:szCs w:val="21"/>
        </w:rPr>
        <w:t xml:space="preserve">基金份额净值的计算保留到小数点后3位，小数点后第4位四舍五入。当估值或份额净值计价错误实际发生时，基金管理人应当立即纠正，并采取合理的措施防止损失进一步扩大。当估值错误偏差达到基金份额净值的0.25%时，基金管理人应当通报基金托管人并报中国证监会备案。当估值错误偏差达到基金份额净值的0.5%时，基金管理人应当公告，并报中国证监会备案。因基金估值错误给投资者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关于差错处理，本协议的当事人按照以下约定处理：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（4）根据差错处理的方法，需要修改基金注册登记机构的交易数据的，由基金注册登记机构进行更正，并就差错的更正向有关当事人进行确认；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pPr>
        <w:pStyle w:val="7"/>
        <w:spacing w:before="0" w:beforeAutospacing="0" w:after="0" w:afterAutospacing="0" w:line="360" w:lineRule="auto"/>
        <w:ind w:firstLine="420"/>
        <w:rPr>
          <w:sz w:val="21"/>
          <w:szCs w:val="21"/>
        </w:rPr>
      </w:pPr>
      <w:r>
        <w:rPr>
          <w:rStyle w:val="11"/>
          <w:rFonts w:hint="eastAsia"/>
          <w:sz w:val="21"/>
          <w:szCs w:val="21"/>
        </w:rPr>
        <w:t>（七） 暂停估值的情形</w:t>
      </w:r>
    </w:p>
    <w:p>
      <w:pPr>
        <w:pStyle w:val="7"/>
        <w:spacing w:before="0" w:beforeAutospacing="0" w:after="0" w:afterAutospacing="0" w:line="360" w:lineRule="auto"/>
        <w:ind w:firstLine="420"/>
        <w:rPr>
          <w:sz w:val="21"/>
          <w:szCs w:val="21"/>
        </w:rPr>
      </w:pPr>
      <w:r>
        <w:rPr>
          <w:rFonts w:hint="eastAsia"/>
          <w:sz w:val="21"/>
          <w:szCs w:val="21"/>
        </w:rPr>
        <w:t xml:space="preserve">1、与本基金投资有关的证券交易场所遇法定节假日或因其他原因暂停营业时；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2、因不可抗力或其他情形致使基金管理人无法准确评估基金资产价值时；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4、中国证监会认定的其他情形。 </w:t>
      </w:r>
    </w:p>
    <w:p>
      <w:pPr>
        <w:pStyle w:val="7"/>
        <w:spacing w:before="0" w:beforeAutospacing="0" w:after="0" w:afterAutospacing="0" w:line="360" w:lineRule="auto"/>
        <w:ind w:firstLine="420"/>
        <w:rPr>
          <w:sz w:val="21"/>
          <w:szCs w:val="21"/>
        </w:rPr>
      </w:pPr>
      <w:r>
        <w:rPr>
          <w:rStyle w:val="11"/>
          <w:rFonts w:hint="eastAsia"/>
          <w:sz w:val="21"/>
          <w:szCs w:val="21"/>
        </w:rPr>
        <w:t>（八） 特殊情形的处理 </w:t>
      </w:r>
    </w:p>
    <w:p>
      <w:pPr>
        <w:pStyle w:val="7"/>
        <w:spacing w:before="0" w:beforeAutospacing="0" w:after="0" w:afterAutospacing="0" w:line="360" w:lineRule="auto"/>
        <w:ind w:firstLine="420"/>
        <w:rPr>
          <w:sz w:val="21"/>
          <w:szCs w:val="21"/>
        </w:rPr>
      </w:pPr>
      <w:r>
        <w:rPr>
          <w:rFonts w:hint="eastAsia"/>
          <w:sz w:val="21"/>
          <w:szCs w:val="21"/>
        </w:rPr>
        <w:t xml:space="preserve">1、基金管理人按估值方法的第6项进行估值时，所造成的误差不作为基金资产估值错误处理；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   </w:t>
      </w:r>
    </w:p>
    <w:p>
      <w:pPr>
        <w:pStyle w:val="7"/>
        <w:spacing w:before="0" w:beforeAutospacing="0" w:after="0" w:afterAutospacing="0" w:line="360" w:lineRule="auto"/>
        <w:ind w:firstLine="420"/>
        <w:rPr>
          <w:sz w:val="21"/>
          <w:szCs w:val="21"/>
        </w:rPr>
      </w:pPr>
      <w:r>
        <w:rPr>
          <w:rFonts w:hint="eastAsia"/>
          <w:sz w:val="21"/>
          <w:szCs w:val="21"/>
        </w:rPr>
        <w:t xml:space="preserve">第九部分 基金份额持有人名册的登记与保管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由基金的基金注册登记机构根据基金管理人的指令编制和保管，基金管理人和基金托管人应按照目前相关规则分别保管基金份额持有人名册。保管方式可以采用电子或文档的形式。保管期限为15年。 </w:t>
      </w:r>
    </w:p>
    <w:p>
      <w:pPr>
        <w:pStyle w:val="7"/>
        <w:spacing w:before="0" w:beforeAutospacing="0" w:after="0" w:afterAutospacing="0" w:line="360" w:lineRule="auto"/>
        <w:ind w:firstLine="420"/>
        <w:rPr>
          <w:sz w:val="21"/>
          <w:szCs w:val="21"/>
        </w:rPr>
      </w:pPr>
      <w:r>
        <w:rPr>
          <w:rFonts w:hint="eastAsia"/>
          <w:sz w:val="21"/>
          <w:szCs w:val="21"/>
        </w:rPr>
        <w:t xml:space="preserve">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pPr>
        <w:pStyle w:val="7"/>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Fonts w:hint="eastAsia"/>
          <w:sz w:val="21"/>
          <w:szCs w:val="21"/>
        </w:rPr>
        <w:t xml:space="preserve">若基金管理人或基金托管人由于自身原因无法妥善保管基金份额持有人名册，应按有关法规规定各自承担相应的责任。 </w:t>
      </w:r>
    </w:p>
    <w:p>
      <w:pPr>
        <w:pStyle w:val="7"/>
        <w:spacing w:before="0" w:beforeAutospacing="0" w:after="0" w:afterAutospacing="0" w:line="360" w:lineRule="auto"/>
        <w:ind w:firstLine="420"/>
        <w:rPr>
          <w:sz w:val="21"/>
          <w:szCs w:val="21"/>
        </w:rPr>
      </w:pPr>
      <w:r>
        <w:rPr>
          <w:rStyle w:val="11"/>
          <w:rFonts w:hint="eastAsia"/>
          <w:sz w:val="21"/>
          <w:szCs w:val="21"/>
        </w:rPr>
        <w:t>第十六部分 基金托管协议的变更、终止</w:t>
      </w:r>
    </w:p>
    <w:p>
      <w:pPr>
        <w:pStyle w:val="7"/>
        <w:spacing w:before="0" w:beforeAutospacing="0" w:after="0" w:afterAutospacing="0" w:line="360" w:lineRule="auto"/>
        <w:ind w:firstLine="420"/>
        <w:rPr>
          <w:sz w:val="21"/>
          <w:szCs w:val="21"/>
        </w:rPr>
      </w:pPr>
      <w:r>
        <w:rPr>
          <w:rStyle w:val="11"/>
          <w:rFonts w:hint="eastAsia"/>
          <w:sz w:val="21"/>
          <w:szCs w:val="21"/>
        </w:rPr>
        <w:t>（一）托管协议的变更与终止 </w:t>
      </w:r>
    </w:p>
    <w:p>
      <w:pPr>
        <w:pStyle w:val="7"/>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本协议双方当事人经协商一致，可以对协议的内容进行变更。变更后的托管协议，其内容不得与《基金合同》的规定有任何冲突。基金托管协议的变更报中国证监会核准后生效。 </w:t>
      </w:r>
    </w:p>
    <w:p>
      <w:pPr>
        <w:pStyle w:val="7"/>
        <w:spacing w:before="0" w:beforeAutospacing="0" w:after="0" w:afterAutospacing="0" w:line="360" w:lineRule="auto"/>
        <w:ind w:firstLine="420"/>
        <w:rPr>
          <w:sz w:val="21"/>
          <w:szCs w:val="21"/>
        </w:rPr>
      </w:pPr>
      <w:r>
        <w:rPr>
          <w:rFonts w:hint="eastAsia"/>
          <w:sz w:val="21"/>
          <w:szCs w:val="21"/>
        </w:rPr>
        <w:t xml:space="preserve">2、基金托管协议终止的情形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（3）基金管理人解散、依法被撤销、破产或有其他基金管理人接管基金管理权； </w:t>
      </w:r>
    </w:p>
    <w:p>
      <w:pPr>
        <w:pStyle w:val="7"/>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pPr>
        <w:pStyle w:val="7"/>
        <w:spacing w:before="0" w:beforeAutospacing="0" w:after="0" w:afterAutospacing="0" w:line="360" w:lineRule="auto"/>
        <w:ind w:firstLine="420"/>
        <w:rPr>
          <w:sz w:val="21"/>
          <w:szCs w:val="21"/>
        </w:rPr>
      </w:pPr>
      <w:r>
        <w:rPr>
          <w:rStyle w:val="11"/>
          <w:rFonts w:hint="eastAsia"/>
          <w:sz w:val="21"/>
          <w:szCs w:val="21"/>
        </w:rPr>
        <w:t>第十七部分 争议处理和适用法律 </w:t>
      </w:r>
    </w:p>
    <w:p>
      <w:pPr>
        <w:pStyle w:val="7"/>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本协议受中国法律管辖。 </w:t>
      </w:r>
    </w:p>
    <w:p>
      <w:pPr>
        <w:pStyle w:val="7"/>
        <w:spacing w:before="0" w:beforeAutospacing="0" w:after="0" w:afterAutospacing="0" w:line="360" w:lineRule="auto"/>
        <w:ind w:firstLine="420"/>
        <w:rPr>
          <w:sz w:val="21"/>
          <w:szCs w:val="21"/>
        </w:rPr>
      </w:pPr>
      <w:r>
        <w:rPr>
          <w:rStyle w:val="11"/>
          <w:rFonts w:hint="eastAsia"/>
          <w:sz w:val="21"/>
          <w:szCs w:val="21"/>
        </w:rPr>
        <w:t>第十九部分 基金托管协议的效力</w:t>
      </w:r>
    </w:p>
    <w:p>
      <w:pPr>
        <w:pStyle w:val="7"/>
        <w:spacing w:before="0" w:beforeAutospacing="0" w:after="0" w:afterAutospacing="0" w:line="360" w:lineRule="auto"/>
        <w:ind w:firstLine="420"/>
        <w:rPr>
          <w:sz w:val="21"/>
          <w:szCs w:val="21"/>
        </w:rPr>
      </w:pPr>
      <w:r>
        <w:rPr>
          <w:rFonts w:hint="eastAsia"/>
          <w:sz w:val="21"/>
          <w:szCs w:val="21"/>
        </w:rPr>
        <w:t xml:space="preserve">（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 </w:t>
      </w:r>
    </w:p>
    <w:p>
      <w:pPr>
        <w:pStyle w:val="7"/>
        <w:spacing w:before="0" w:beforeAutospacing="0" w:after="0" w:afterAutospacing="0" w:line="360" w:lineRule="auto"/>
        <w:ind w:firstLine="420"/>
        <w:rPr>
          <w:sz w:val="21"/>
          <w:szCs w:val="21"/>
        </w:rPr>
      </w:pPr>
      <w:r>
        <w:rPr>
          <w:rFonts w:hint="eastAsia"/>
          <w:sz w:val="21"/>
          <w:szCs w:val="21"/>
        </w:rPr>
        <w:t xml:space="preserve">（二）基金托管协议自《基金合同》成立之日起成立，自《基金合同》生效之日起生效。基金托管协议的有效期自其生效之日起至该基金财产清算结果报中国证监会备案并公告之日止。 </w:t>
      </w:r>
    </w:p>
    <w:p>
      <w:pPr>
        <w:pStyle w:val="7"/>
        <w:spacing w:before="0" w:beforeAutospacing="0" w:after="0" w:afterAutospacing="0" w:line="360" w:lineRule="auto"/>
        <w:ind w:firstLine="420"/>
        <w:rPr>
          <w:sz w:val="21"/>
          <w:szCs w:val="21"/>
        </w:rPr>
      </w:pPr>
      <w:r>
        <w:rPr>
          <w:rFonts w:hint="eastAsia"/>
          <w:sz w:val="21"/>
          <w:szCs w:val="21"/>
        </w:rPr>
        <w:t xml:space="preserve">（三）基金托管协议自生效之日对托管协议当事人具有同等的法律约束力。 </w:t>
      </w:r>
    </w:p>
    <w:p>
      <w:pPr>
        <w:pStyle w:val="7"/>
        <w:spacing w:before="0" w:beforeAutospacing="0" w:after="0" w:afterAutospacing="0" w:line="360" w:lineRule="auto"/>
        <w:ind w:firstLine="420"/>
        <w:rPr>
          <w:sz w:val="21"/>
          <w:szCs w:val="21"/>
        </w:rPr>
      </w:pPr>
      <w:r>
        <w:rPr>
          <w:rFonts w:hint="eastAsia"/>
          <w:sz w:val="21"/>
          <w:szCs w:val="21"/>
        </w:rPr>
        <w:t xml:space="preserve">（四）基金托管协议正本一式6份，除上报有关监管机构一式2份外，基金管理人和基金托管人分别持有2份，每份具有同等的法律效力。 </w:t>
      </w:r>
    </w:p>
    <w:p>
      <w:pPr>
        <w:pStyle w:val="7"/>
        <w:spacing w:before="0" w:beforeAutospacing="0" w:after="0" w:afterAutospacing="0" w:line="360" w:lineRule="auto"/>
        <w:ind w:firstLine="420"/>
        <w:rPr>
          <w:sz w:val="21"/>
          <w:szCs w:val="21"/>
        </w:rPr>
      </w:pPr>
      <w:r>
        <w:rPr>
          <w:rStyle w:val="11"/>
          <w:rFonts w:hint="eastAsia"/>
          <w:sz w:val="21"/>
          <w:szCs w:val="21"/>
        </w:rPr>
        <w:t>第二十部分 基金托管协议的签订</w:t>
      </w:r>
    </w:p>
    <w:p>
      <w:pPr>
        <w:pStyle w:val="7"/>
        <w:spacing w:before="0" w:beforeAutospacing="0" w:after="0" w:afterAutospacing="0" w:line="360" w:lineRule="auto"/>
        <w:ind w:firstLine="420"/>
        <w:rPr>
          <w:sz w:val="21"/>
          <w:szCs w:val="21"/>
        </w:rPr>
      </w:pPr>
      <w:r>
        <w:rPr>
          <w:rFonts w:hint="eastAsia"/>
          <w:sz w:val="21"/>
          <w:szCs w:val="21"/>
        </w:rPr>
        <w:t>本托管协议经基金管理人和基金托管人认可后，由该双方当事人在基金托管协议上盖章，</w:t>
      </w:r>
      <w:bookmarkStart w:id="205" w:name="chapter_level1_24_72_section_1_end"/>
      <w:bookmarkEnd w:id="205"/>
      <w:r>
        <w:rPr>
          <w:rFonts w:hint="eastAsia"/>
          <w:sz w:val="21"/>
          <w:szCs w:val="21"/>
        </w:rPr>
        <w:t xml:space="preserve">并由各自的法定代表人或授权代表签字，并注明基金托管协议的签订地点和签订日期。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6" w:name="_Toc113453369"/>
      <w:bookmarkStart w:id="207" w:name="chapter_level1_25_75"/>
      <w:r>
        <w:rPr>
          <w:rFonts w:hint="eastAsia" w:ascii="宋体" w:hAnsi="宋体" w:eastAsia="宋体"/>
          <w:sz w:val="30"/>
        </w:rPr>
        <w:t>二十二、对基金份额持有人的服务</w:t>
      </w:r>
      <w:bookmarkEnd w:id="206"/>
      <w:bookmarkEnd w:id="207"/>
    </w:p>
    <w:p>
      <w:pPr>
        <w:pStyle w:val="7"/>
        <w:spacing w:before="0" w:beforeAutospacing="0" w:after="0" w:afterAutospacing="0" w:line="360" w:lineRule="auto"/>
        <w:ind w:firstLine="420"/>
        <w:rPr>
          <w:sz w:val="21"/>
          <w:szCs w:val="21"/>
        </w:rPr>
      </w:pPr>
      <w:bookmarkStart w:id="208" w:name="chapter_level1_25_75_section_1"/>
      <w:bookmarkEnd w:id="208"/>
      <w:r>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投资者可以登录基金管理人网站（http://www.bosera.com）“博时快e通”系统网上自助订阅；或发送“订阅电子对账单”邮件到客服邮箱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pPr>
        <w:pStyle w:val="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3、信息咨询服务：投资者可以利用基金管理人网站获取基金和基金管理人各类信息，包括基金法律文件、基金管理人最新动态、热点问题等。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9" w:name="chapter_level1_25_75_section_1_end"/>
      <w:bookmarkEnd w:id="209"/>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10" w:name="chapter_level1_25_75_section_2"/>
      <w:bookmarkEnd w:id="210"/>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3、人工电话服务：投资者可以获得业务咨询、信息查询、资料修改、投诉受理、信息订制、电话交易人工服务、账户诊断等服务。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网址：www.bosera.com </w:t>
      </w:r>
    </w:p>
    <w:p>
      <w:pPr>
        <w:pStyle w:val="7"/>
        <w:spacing w:before="0" w:beforeAutospacing="0" w:after="0" w:afterAutospacing="0" w:line="360" w:lineRule="auto"/>
        <w:ind w:firstLine="420"/>
        <w:rPr>
          <w:sz w:val="21"/>
          <w:szCs w:val="21"/>
        </w:rPr>
      </w:pPr>
      <w:bookmarkStart w:id="211" w:name="chapter_level1_25_75_section_2_end"/>
      <w:bookmarkEnd w:id="211"/>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2" w:name="chapter_level1_26_29755"/>
      <w:bookmarkStart w:id="213" w:name="_Toc113453370"/>
      <w:r>
        <w:rPr>
          <w:rFonts w:hint="eastAsia" w:ascii="宋体" w:hAnsi="宋体" w:eastAsia="宋体"/>
          <w:sz w:val="30"/>
        </w:rPr>
        <w:t>二十三、其他事项</w:t>
      </w:r>
      <w:bookmarkEnd w:id="212"/>
      <w:bookmarkEnd w:id="213"/>
    </w:p>
    <w:p>
      <w:pPr>
        <w:pStyle w:val="7"/>
        <w:spacing w:before="0" w:beforeAutospacing="0" w:after="0" w:afterAutospacing="0" w:line="360" w:lineRule="auto"/>
        <w:ind w:firstLine="420"/>
        <w:rPr>
          <w:sz w:val="21"/>
          <w:szCs w:val="21"/>
        </w:rPr>
      </w:pPr>
      <w:bookmarkStart w:id="214" w:name="chapter_level1_26_29755_section_1"/>
      <w:bookmarkEnd w:id="214"/>
      <w:bookmarkStart w:id="215" w:name="chapter_level1_26_29755_section_1_end"/>
      <w:bookmarkEnd w:id="215"/>
      <w:r>
        <w:rPr>
          <w:rFonts w:hint="eastAsia"/>
          <w:sz w:val="21"/>
          <w:szCs w:val="21"/>
        </w:rPr>
        <w:t xml:space="preserve">基金合同如有未尽事宜，由基金合同当事人各方按有关法律法规协商解决。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6" w:name="chapter_level1_27_3499"/>
      <w:bookmarkStart w:id="217" w:name="_Toc113453371"/>
      <w:r>
        <w:rPr>
          <w:rFonts w:hint="eastAsia" w:ascii="宋体" w:hAnsi="宋体" w:eastAsia="宋体"/>
          <w:sz w:val="30"/>
        </w:rPr>
        <w:t>二十四、其他应披露的事项</w:t>
      </w:r>
      <w:bookmarkEnd w:id="216"/>
      <w:bookmarkEnd w:id="217"/>
    </w:p>
    <w:p>
      <w:pPr>
        <w:pStyle w:val="7"/>
        <w:spacing w:before="0" w:beforeAutospacing="0" w:after="0" w:afterAutospacing="0" w:line="360" w:lineRule="auto"/>
        <w:ind w:firstLine="420"/>
        <w:rPr>
          <w:sz w:val="21"/>
          <w:szCs w:val="21"/>
        </w:rPr>
      </w:pPr>
      <w:bookmarkStart w:id="218" w:name="chapter_level1_27_3499_section_1"/>
      <w:bookmarkEnd w:id="218"/>
      <w:bookmarkStart w:id="219" w:name="field_0_bsrevealinfo_1_start"/>
      <w:bookmarkEnd w:id="219"/>
      <w:r>
        <w:rPr>
          <w:rFonts w:hint="eastAsia"/>
          <w:sz w:val="21"/>
          <w:szCs w:val="21"/>
        </w:rPr>
        <w:t>（一）、 2022年08月31日，我公司公告了《博时第三产业成长混合型证券投资基金2022年中期报告》；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2022年08月25日，我公司公告了《博时第三产业成长混合型证券投资基金基金产品资料概要更新》；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2022年07月21日，我公司公告了《博时第三产业成长混合型证券投资基金2022年第2季度报告》；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2022年07月05日，我公司公告了《关于博时基金管理有限公司旗下部分基金投资非公开发行股票的公告20220705》、《博时基金管理有限公司关于部分基金在招赢通平台开展费率优惠活动的公告》；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2022年05月14日，我公司公告了《关于博时基金管理有限公司旗下部分基金投资非公开发行股票的公告20220514》；</w:t>
      </w:r>
    </w:p>
    <w:p>
      <w:pPr>
        <w:pStyle w:val="7"/>
        <w:spacing w:before="0" w:beforeAutospacing="0" w:after="0" w:afterAutospacing="0" w:line="360" w:lineRule="auto"/>
        <w:ind w:firstLine="420"/>
        <w:rPr>
          <w:sz w:val="21"/>
          <w:szCs w:val="21"/>
        </w:rPr>
      </w:pPr>
      <w:r>
        <w:rPr>
          <w:rFonts w:hint="eastAsia"/>
          <w:sz w:val="21"/>
          <w:szCs w:val="21"/>
        </w:rPr>
        <w:t>（十一）、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（十二）、 2022年04月22日，我公司公告了《博时第三产业成长混合型证券投资基金2022年第1季度报告》；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（十三）、 2022年03月30日，我公司公告了《博时第三产业成长混合型证券投资基金2021年年度报告》；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（十四）、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（十五）、 2022年02月11日，我公司公告了《博时第三产业成长混合型证券投资基金更新招募说明书》、《博时第三产业成长混合型证券投资基金基金产品资料概要更新》、《博时基金管理有限公司关于部分基金在青岛农商银行直销银行开展费率优惠活动的公告》、《博时基金管理有限公司关于博时第三产业成长混合型证券投资基金的基金经理变更的公告》；</w:t>
      </w:r>
    </w:p>
    <w:p>
      <w:pPr>
        <w:pStyle w:val="7"/>
        <w:spacing w:before="0" w:beforeAutospacing="0" w:after="0" w:afterAutospacing="0" w:line="360" w:lineRule="auto"/>
        <w:ind w:firstLine="420"/>
        <w:rPr>
          <w:sz w:val="21"/>
          <w:szCs w:val="21"/>
        </w:rPr>
      </w:pPr>
      <w:r>
        <w:rPr>
          <w:rFonts w:hint="eastAsia"/>
          <w:sz w:val="21"/>
          <w:szCs w:val="21"/>
        </w:rPr>
        <w:t>（十六）、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（十七）、 2022年01月24日，我公司公告了《博时第三产业成长混合型证券投资基金2021年第4季度报告》；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（十八）、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（十九）、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（二十）、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（二十一）、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（二十二）、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（二十三）、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（二十四）、 2021年12月28日，我公司公告了《博时基金管理有限公司关于旗下基金投资关联方承销期内承销证券的公告》；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（二十五）、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（二十六）、 2021年10月27日，我公司公告了《博时第三产业成长混合型证券投资基金2021年第3季度报告》；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（二十七）、 2021年09月30日，我公司公告了《博时基金管理有限公司关于对投资者在直销网上交易申购、认购及定投基金实施费率优惠的公告》、《博时第三产业成长混合型证券投资基金更新招募说明书》；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（二十八）、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（二十九）、 2021年08月31日，我公司公告了《博时第三产业成长混合型证券投</w:t>
      </w:r>
      <w:bookmarkStart w:id="220" w:name="chapter_level1_27_3499_section_1_end"/>
      <w:bookmarkEnd w:id="220"/>
      <w:r>
        <w:rPr>
          <w:rFonts w:hint="eastAsia"/>
          <w:sz w:val="21"/>
          <w:szCs w:val="21"/>
        </w:rPr>
        <w:t>资基金2021年中期报告》。</w:t>
      </w:r>
      <w:bookmarkStart w:id="221" w:name="field_0_bsrevealinfo_1_end"/>
      <w:bookmarkEnd w:id="22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2" w:name="chapter_level1_28_77"/>
      <w:bookmarkStart w:id="223" w:name="_Toc113453372"/>
      <w:r>
        <w:rPr>
          <w:rFonts w:hint="eastAsia" w:ascii="宋体" w:hAnsi="宋体" w:eastAsia="宋体"/>
          <w:sz w:val="30"/>
        </w:rPr>
        <w:t>二十五、招募说明书存放及查阅方式</w:t>
      </w:r>
      <w:bookmarkEnd w:id="222"/>
      <w:bookmarkEnd w:id="223"/>
    </w:p>
    <w:p>
      <w:pPr>
        <w:pStyle w:val="7"/>
        <w:spacing w:before="0" w:beforeAutospacing="0" w:after="0" w:afterAutospacing="0" w:line="360" w:lineRule="auto"/>
        <w:ind w:firstLine="420"/>
        <w:rPr>
          <w:sz w:val="21"/>
          <w:szCs w:val="21"/>
        </w:rPr>
      </w:pPr>
      <w:bookmarkStart w:id="224" w:name="chapter_level1_28_77_section_1"/>
      <w:bookmarkEnd w:id="224"/>
      <w:r>
        <w:rPr>
          <w:rFonts w:hint="eastAsia"/>
          <w:sz w:val="21"/>
          <w:szCs w:val="21"/>
        </w:rPr>
        <w:t xml:space="preserve">依法必须披露的信息发布后，基金管理人、基金托管人应当按照相关法律法规规定将信息置备于各自住所，供社会公众查阅、复制。投资者在支付工本费后，可在合理时间内取得上述文件复制件或复印件。对投资者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5" w:name="chapter_level1_28_77_section_1_end"/>
      <w:bookmarkEnd w:id="225"/>
      <w:r>
        <w:rPr>
          <w:rFonts w:hint="eastAsia"/>
          <w:sz w:val="21"/>
          <w:szCs w:val="21"/>
        </w:rPr>
        <w:t xml:space="preserve">投资者还可以直接登录基金管理人的网站(www.bosera.com)查阅和下载招募说明书。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6" w:name="chapter_level1_29_332"/>
      <w:bookmarkStart w:id="227" w:name="_Toc113453373"/>
      <w:r>
        <w:rPr>
          <w:rFonts w:hint="eastAsia" w:ascii="宋体" w:hAnsi="宋体" w:eastAsia="宋体"/>
          <w:sz w:val="30"/>
        </w:rPr>
        <w:t>二十六、备查文件</w:t>
      </w:r>
      <w:bookmarkEnd w:id="226"/>
      <w:bookmarkEnd w:id="227"/>
    </w:p>
    <w:p>
      <w:pPr>
        <w:pStyle w:val="7"/>
        <w:spacing w:before="0" w:beforeAutospacing="0" w:after="0" w:afterAutospacing="0" w:line="360" w:lineRule="auto"/>
        <w:ind w:firstLine="420"/>
        <w:rPr>
          <w:sz w:val="21"/>
          <w:szCs w:val="21"/>
        </w:rPr>
      </w:pPr>
      <w:bookmarkStart w:id="228" w:name="chapter_level1_29_332_section_1"/>
      <w:bookmarkEnd w:id="228"/>
      <w:r>
        <w:rPr>
          <w:rStyle w:val="11"/>
          <w:rFonts w:hint="eastAsia"/>
          <w:sz w:val="21"/>
          <w:szCs w:val="21"/>
        </w:rPr>
        <w:t>（一）备查文件</w:t>
      </w:r>
    </w:p>
    <w:p>
      <w:pPr>
        <w:pStyle w:val="7"/>
        <w:spacing w:before="0" w:beforeAutospacing="0" w:after="0" w:afterAutospacing="0" w:line="360" w:lineRule="auto"/>
        <w:ind w:firstLine="420"/>
        <w:rPr>
          <w:sz w:val="21"/>
          <w:szCs w:val="21"/>
        </w:rPr>
      </w:pPr>
      <w:r>
        <w:rPr>
          <w:rFonts w:hint="eastAsia"/>
          <w:sz w:val="21"/>
          <w:szCs w:val="21"/>
        </w:rPr>
        <w:t xml:space="preserve">1、中国证监会批准裕元证券投资基金募集的文件 </w:t>
      </w:r>
    </w:p>
    <w:p>
      <w:pPr>
        <w:pStyle w:val="7"/>
        <w:spacing w:before="0" w:beforeAutospacing="0" w:after="0" w:afterAutospacing="0" w:line="360" w:lineRule="auto"/>
        <w:ind w:firstLine="420"/>
        <w:rPr>
          <w:sz w:val="21"/>
          <w:szCs w:val="21"/>
        </w:rPr>
      </w:pPr>
      <w:r>
        <w:rPr>
          <w:rFonts w:hint="eastAsia"/>
          <w:sz w:val="21"/>
          <w:szCs w:val="21"/>
        </w:rPr>
        <w:t>2、《</w:t>
      </w:r>
      <w:bookmarkStart w:id="229" w:name="field_0_productfullname_14"/>
      <w:r>
        <w:rPr>
          <w:rFonts w:hint="eastAsia"/>
          <w:sz w:val="21"/>
          <w:szCs w:val="21"/>
        </w:rPr>
        <w:t>博时第三产业成长混合型证券投资基金</w:t>
      </w:r>
      <w:bookmarkEnd w:id="229"/>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3、《</w:t>
      </w:r>
      <w:bookmarkStart w:id="230" w:name="field_0_productfullname_15"/>
      <w:r>
        <w:rPr>
          <w:rFonts w:hint="eastAsia"/>
          <w:sz w:val="21"/>
          <w:szCs w:val="21"/>
        </w:rPr>
        <w:t>博时第</w:t>
      </w:r>
      <w:bookmarkStart w:id="235" w:name="_GoBack"/>
      <w:bookmarkEnd w:id="235"/>
      <w:r>
        <w:rPr>
          <w:rFonts w:hint="eastAsia"/>
          <w:sz w:val="21"/>
          <w:szCs w:val="21"/>
        </w:rPr>
        <w:t>三产业成长混合型证券投资基金</w:t>
      </w:r>
      <w:bookmarkEnd w:id="230"/>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4、基金管理人业务资格批件、营业执照和公司章程 </w:t>
      </w:r>
    </w:p>
    <w:p>
      <w:pPr>
        <w:pStyle w:val="7"/>
        <w:spacing w:before="0" w:beforeAutospacing="0" w:after="0" w:afterAutospacing="0" w:line="360" w:lineRule="auto"/>
        <w:ind w:firstLine="420"/>
        <w:rPr>
          <w:sz w:val="21"/>
          <w:szCs w:val="21"/>
        </w:rPr>
      </w:pPr>
      <w:r>
        <w:rPr>
          <w:rFonts w:hint="eastAsia"/>
          <w:sz w:val="21"/>
          <w:szCs w:val="21"/>
        </w:rPr>
        <w:t xml:space="preserve">5、基金托管人业务资格批件、营业执照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6、关于募集裕元证券投资基金之法律意见书 </w:t>
      </w:r>
    </w:p>
    <w:p>
      <w:pPr>
        <w:pStyle w:val="7"/>
        <w:spacing w:before="0" w:beforeAutospacing="0" w:after="0" w:afterAutospacing="0" w:line="360" w:lineRule="auto"/>
        <w:ind w:firstLine="420"/>
        <w:rPr>
          <w:sz w:val="21"/>
          <w:szCs w:val="21"/>
        </w:rPr>
      </w:pPr>
      <w:r>
        <w:rPr>
          <w:rStyle w:val="11"/>
          <w:rFonts w:hint="eastAsia"/>
          <w:sz w:val="21"/>
          <w:szCs w:val="21"/>
        </w:rPr>
        <w:t>（二）备查文件的存放地点和投资者查阅方式</w:t>
      </w:r>
    </w:p>
    <w:p>
      <w:pPr>
        <w:pStyle w:val="7"/>
        <w:spacing w:before="0" w:beforeAutospacing="0" w:after="0" w:afterAutospacing="0" w:line="360" w:lineRule="auto"/>
        <w:ind w:firstLine="420"/>
        <w:rPr>
          <w:sz w:val="21"/>
          <w:szCs w:val="21"/>
        </w:rPr>
      </w:pPr>
      <w:r>
        <w:rPr>
          <w:rFonts w:hint="eastAsia"/>
          <w:sz w:val="21"/>
          <w:szCs w:val="21"/>
        </w:rPr>
        <w:t xml:space="preserve">1、存放地点：《基金合同》、《托管协议》存放在基金管理人和基金托管人处；其余备查文件存放在基金管理人处。 </w:t>
      </w:r>
    </w:p>
    <w:p>
      <w:pPr>
        <w:pStyle w:val="7"/>
        <w:spacing w:before="0" w:beforeAutospacing="0" w:after="0" w:afterAutospacing="0" w:line="360" w:lineRule="auto"/>
        <w:ind w:firstLine="420"/>
        <w:rPr>
          <w:sz w:val="21"/>
          <w:szCs w:val="21"/>
        </w:rPr>
      </w:pPr>
      <w:r>
        <w:rPr>
          <w:rFonts w:hint="eastAsia"/>
          <w:sz w:val="21"/>
          <w:szCs w:val="21"/>
        </w:rPr>
        <w:t xml:space="preserve">2、查阅方式：投资者可在营业时间免费到存放地点查阅，也可按工本费购买复印件。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31" w:name="field_0_managerorgfullname_9"/>
      <w:r>
        <w:rPr>
          <w:rFonts w:hint="eastAsia"/>
          <w:sz w:val="21"/>
          <w:szCs w:val="21"/>
        </w:rPr>
        <w:t>博时基金管理有限公司</w:t>
      </w:r>
      <w:bookmarkEnd w:id="231"/>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2" w:name="chapter_level1_29_332_section_1_end"/>
      <w:bookmarkEnd w:id="232"/>
      <w:bookmarkStart w:id="233" w:name="field_0_commitmenttime_1"/>
      <w:r>
        <w:rPr>
          <w:sz w:val="21"/>
          <w:szCs w:val="21"/>
        </w:rPr>
        <w:t>202</w:t>
      </w:r>
      <w:r>
        <w:rPr>
          <w:rFonts w:hint="eastAsia"/>
          <w:sz w:val="21"/>
          <w:szCs w:val="21"/>
          <w:lang w:val="en-US" w:eastAsia="zh-CN"/>
        </w:rPr>
        <w:t>3</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10</w:t>
      </w:r>
      <w:r>
        <w:rPr>
          <w:sz w:val="21"/>
          <w:szCs w:val="21"/>
        </w:rPr>
        <w:t>日</w:t>
      </w:r>
      <w:bookmarkEnd w:id="233"/>
      <w:r>
        <w:rPr>
          <w:rFonts w:hint="eastAsia"/>
          <w:sz w:val="21"/>
          <w:szCs w:val="21"/>
        </w:rPr>
        <w:t xml:space="preserve">  </w:t>
      </w:r>
    </w:p>
    <w:p>
      <w:pPr>
        <w:rPr>
          <w:rFonts w:ascii="宋体" w:hAnsi="宋体" w:eastAsia="宋体"/>
        </w:rPr>
      </w:pPr>
      <w:bookmarkStart w:id="234" w:name="end"/>
      <w:bookmarkEnd w:id="234"/>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96</w:t>
    </w:r>
    <w:r>
      <w:fldChar w:fldCharType="end"/>
    </w:r>
    <w:r>
      <w:rPr>
        <w:rFonts w:hint="eastAsia"/>
      </w:rPr>
      <w:t>页 共</w:t>
    </w:r>
    <w:r>
      <w:fldChar w:fldCharType="begin"/>
    </w:r>
    <w:r>
      <w:instrText xml:space="preserve"> NumPages \* MERGEFORMAT </w:instrText>
    </w:r>
    <w:r>
      <w:fldChar w:fldCharType="separate"/>
    </w:r>
    <w:r>
      <w:t>166</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博时第三产业成长混合型证券投资基金更新招募说明书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NzFkNWVhMWE5NGMyZWFlYjNiN2ZkZjExOGM2OGIifQ=="/>
  </w:docVars>
  <w:rsids>
    <w:rsidRoot w:val="00A878BF"/>
    <w:rsid w:val="007640E3"/>
    <w:rsid w:val="00A878BF"/>
    <w:rsid w:val="00BC6A23"/>
    <w:rsid w:val="00DB2B3D"/>
    <w:rsid w:val="07E2351B"/>
    <w:rsid w:val="084A1630"/>
    <w:rsid w:val="21115CA5"/>
    <w:rsid w:val="2A926B5B"/>
    <w:rsid w:val="2AF34C73"/>
    <w:rsid w:val="324374B9"/>
    <w:rsid w:val="33980819"/>
    <w:rsid w:val="36B80382"/>
    <w:rsid w:val="39A67DD3"/>
    <w:rsid w:val="3A023457"/>
    <w:rsid w:val="44466875"/>
    <w:rsid w:val="4E3620FB"/>
    <w:rsid w:val="51460B4C"/>
    <w:rsid w:val="582264E2"/>
    <w:rsid w:val="5C0A7CE5"/>
    <w:rsid w:val="5D9349D1"/>
    <w:rsid w:val="78DF41F8"/>
    <w:rsid w:val="7E4C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Theme="majorHAnsi" w:hAnsiTheme="majorHAnsi" w:eastAsiaTheme="majorEastAsia" w:cstheme="majorBidi"/>
      <w:b/>
      <w:bCs/>
      <w:sz w:val="32"/>
      <w:szCs w:val="32"/>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172</Pages>
  <Words>103268</Words>
  <Characters>120547</Characters>
  <Lines>912</Lines>
  <Paragraphs>256</Paragraphs>
  <TotalTime>0</TotalTime>
  <ScaleCrop>false</ScaleCrop>
  <LinksUpToDate>false</LinksUpToDate>
  <CharactersWithSpaces>125899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2022-09-07T06:28:00Z</dcterms:created>
  <dc:creator>BSKMadminDev</dc:creator>
  <cp:lastModifiedBy>tangl</cp:lastModifiedBy>
  <dcterms:modified xsi:type="dcterms:W3CDTF">2023-07-08T14:12:31Z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ED5D963346604427AEF2F7202647D547_13</vt:lpwstr>
  </property>
</Properties>
</file>